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DDCDD">
      <w:pPr>
        <w:pStyle w:val="2"/>
        <w:spacing w:line="243" w:lineRule="auto"/>
      </w:pPr>
      <w:bookmarkStart w:id="0" w:name="_Toc22543"/>
    </w:p>
    <w:p w14:paraId="7905BB8B">
      <w:pPr>
        <w:pStyle w:val="2"/>
        <w:spacing w:line="243" w:lineRule="auto"/>
      </w:pPr>
      <w:bookmarkStart w:id="44" w:name="_GoBack"/>
      <w:bookmarkEnd w:id="44"/>
    </w:p>
    <w:p w14:paraId="348A7964">
      <w:pPr>
        <w:pStyle w:val="2"/>
        <w:spacing w:line="243" w:lineRule="auto"/>
      </w:pPr>
    </w:p>
    <w:p w14:paraId="5D465942">
      <w:pPr>
        <w:adjustRightInd w:val="0"/>
        <w:snapToGrid w:val="0"/>
        <w:ind w:firstLine="0" w:firstLineChars="0"/>
        <w:jc w:val="center"/>
        <w:outlineLvl w:val="0"/>
        <w:rPr>
          <w:rFonts w:eastAsia="方正小标宋_GBK"/>
          <w:bCs/>
          <w:sz w:val="52"/>
          <w:szCs w:val="52"/>
        </w:rPr>
      </w:pPr>
      <w:bookmarkStart w:id="1" w:name="_Toc69399385"/>
      <w:bookmarkStart w:id="2" w:name="_Toc9226"/>
      <w:bookmarkStart w:id="3" w:name="_Toc32343"/>
      <w:r>
        <w:rPr>
          <w:rFonts w:hint="eastAsia" w:eastAsia="方正小标宋_GBK"/>
          <w:b/>
          <w:sz w:val="52"/>
          <w:szCs w:val="52"/>
        </w:rPr>
        <w:t>建设项目</w:t>
      </w:r>
      <w:r>
        <w:rPr>
          <w:rFonts w:hint="eastAsia" w:eastAsia="方正小标宋_GBK"/>
          <w:b/>
          <w:sz w:val="52"/>
          <w:szCs w:val="52"/>
          <w:lang w:eastAsia="zh-CN"/>
        </w:rPr>
        <w:t>生态</w:t>
      </w:r>
      <w:r>
        <w:rPr>
          <w:rFonts w:hint="eastAsia" w:eastAsia="方正小标宋_GBK"/>
          <w:b/>
          <w:sz w:val="52"/>
          <w:szCs w:val="52"/>
        </w:rPr>
        <w:t>环境影响报告表</w:t>
      </w:r>
      <w:bookmarkEnd w:id="1"/>
      <w:bookmarkEnd w:id="2"/>
      <w:bookmarkEnd w:id="3"/>
    </w:p>
    <w:p w14:paraId="73F182F3">
      <w:pPr>
        <w:adjustRightInd w:val="0"/>
        <w:snapToGrid w:val="0"/>
        <w:spacing w:beforeLines="80" w:line="240" w:lineRule="auto"/>
        <w:ind w:firstLine="0" w:firstLineChars="0"/>
        <w:jc w:val="center"/>
        <w:rPr>
          <w:rFonts w:eastAsia="楷体_GB2312"/>
          <w:bCs/>
          <w:sz w:val="48"/>
          <w:szCs w:val="48"/>
        </w:rPr>
      </w:pPr>
      <w:r>
        <w:rPr>
          <w:rFonts w:hint="eastAsia" w:eastAsia="楷体_GB2312"/>
          <w:bCs/>
          <w:sz w:val="48"/>
          <w:szCs w:val="48"/>
        </w:rPr>
        <w:t>（</w:t>
      </w:r>
      <w:r>
        <w:rPr>
          <w:rFonts w:hint="eastAsia" w:eastAsia="楷体_GB2312"/>
          <w:bCs/>
          <w:sz w:val="48"/>
          <w:szCs w:val="48"/>
          <w:lang w:eastAsia="zh-CN"/>
        </w:rPr>
        <w:t>生态</w:t>
      </w:r>
      <w:r>
        <w:rPr>
          <w:rFonts w:hint="eastAsia" w:eastAsia="楷体_GB2312"/>
          <w:bCs/>
          <w:sz w:val="48"/>
          <w:szCs w:val="48"/>
        </w:rPr>
        <w:t>影响类）</w:t>
      </w:r>
    </w:p>
    <w:p w14:paraId="2BE77968">
      <w:pPr>
        <w:spacing w:line="240" w:lineRule="auto"/>
        <w:ind w:firstLine="1040" w:firstLineChars="0"/>
        <w:rPr>
          <w:rFonts w:eastAsia="仿宋"/>
          <w:sz w:val="44"/>
          <w:szCs w:val="44"/>
        </w:rPr>
      </w:pPr>
    </w:p>
    <w:p w14:paraId="46920C5D">
      <w:pPr>
        <w:spacing w:line="240" w:lineRule="auto"/>
        <w:ind w:firstLine="1040" w:firstLineChars="0"/>
        <w:rPr>
          <w:rFonts w:eastAsia="仿宋"/>
          <w:sz w:val="44"/>
          <w:szCs w:val="44"/>
        </w:rPr>
      </w:pPr>
    </w:p>
    <w:p w14:paraId="0487F47C">
      <w:pPr>
        <w:spacing w:line="240" w:lineRule="auto"/>
        <w:ind w:firstLine="1040" w:firstLineChars="0"/>
        <w:rPr>
          <w:rFonts w:eastAsia="仿宋"/>
          <w:sz w:val="44"/>
          <w:szCs w:val="44"/>
        </w:rPr>
      </w:pPr>
    </w:p>
    <w:p w14:paraId="0D11A748">
      <w:pPr>
        <w:spacing w:line="240" w:lineRule="auto"/>
        <w:ind w:left="0" w:leftChars="0" w:firstLine="0" w:firstLineChars="0"/>
        <w:rPr>
          <w:rFonts w:eastAsia="仿宋"/>
          <w:sz w:val="44"/>
          <w:szCs w:val="44"/>
        </w:rPr>
      </w:pPr>
    </w:p>
    <w:p w14:paraId="2C7C6B3A">
      <w:pPr>
        <w:pStyle w:val="2"/>
        <w:rPr>
          <w:rFonts w:eastAsia="仿宋"/>
          <w:sz w:val="44"/>
          <w:szCs w:val="44"/>
        </w:rPr>
      </w:pPr>
    </w:p>
    <w:p w14:paraId="0C32AD28">
      <w:pPr>
        <w:pStyle w:val="3"/>
      </w:pPr>
    </w:p>
    <w:p w14:paraId="27B20895">
      <w:pPr>
        <w:spacing w:line="240" w:lineRule="auto"/>
        <w:ind w:firstLine="1040" w:firstLineChars="0"/>
        <w:rPr>
          <w:rFonts w:eastAsia="仿宋"/>
          <w:sz w:val="44"/>
          <w:szCs w:val="44"/>
        </w:rPr>
      </w:pPr>
    </w:p>
    <w:p w14:paraId="6351FCF3">
      <w:pPr>
        <w:spacing w:line="240" w:lineRule="auto"/>
        <w:ind w:firstLine="1040" w:firstLineChars="0"/>
        <w:rPr>
          <w:rFonts w:eastAsia="仿宋"/>
          <w:sz w:val="44"/>
          <w:szCs w:val="44"/>
        </w:rPr>
      </w:pPr>
    </w:p>
    <w:p w14:paraId="168499A1">
      <w:pPr>
        <w:adjustRightInd w:val="0"/>
        <w:snapToGrid w:val="0"/>
        <w:spacing w:line="288" w:lineRule="auto"/>
        <w:ind w:left="1800" w:hanging="1800" w:hangingChars="500"/>
        <w:rPr>
          <w:rFonts w:eastAsia="仿宋_GB2312"/>
          <w:sz w:val="36"/>
          <w:szCs w:val="36"/>
          <w:u w:val="single"/>
        </w:rPr>
      </w:pPr>
      <w:r>
        <w:rPr>
          <w:rFonts w:hint="eastAsia" w:eastAsia="仿宋_GB2312"/>
          <w:sz w:val="36"/>
          <w:szCs w:val="36"/>
        </w:rPr>
        <w:t>项目名称：</w:t>
      </w:r>
      <w:r>
        <w:rPr>
          <w:rFonts w:hint="eastAsia" w:eastAsia="仿宋_GB2312"/>
          <w:sz w:val="36"/>
          <w:szCs w:val="36"/>
          <w:lang w:val="en-US" w:eastAsia="zh-CN"/>
        </w:rPr>
        <w:t xml:space="preserve"> </w:t>
      </w:r>
      <w:r>
        <w:rPr>
          <w:rFonts w:hint="eastAsia" w:eastAsia="仿宋_GB2312"/>
          <w:sz w:val="36"/>
          <w:szCs w:val="36"/>
          <w:u w:val="single"/>
        </w:rPr>
        <w:t xml:space="preserve">   </w:t>
      </w:r>
      <w:r>
        <w:rPr>
          <w:rFonts w:hint="eastAsia" w:eastAsia="仿宋_GB2312"/>
          <w:sz w:val="36"/>
          <w:szCs w:val="36"/>
          <w:u w:val="single"/>
          <w:lang w:eastAsia="zh-CN"/>
        </w:rPr>
        <w:t>云南省寻甸县柯渡黄龙溏普通建筑材料用砂岩矿</w:t>
      </w:r>
      <w:r>
        <w:rPr>
          <w:rFonts w:hint="eastAsia" w:eastAsia="仿宋_GB2312"/>
          <w:sz w:val="36"/>
          <w:szCs w:val="36"/>
          <w:u w:val="single"/>
          <w:lang w:val="en-US" w:eastAsia="zh-CN"/>
        </w:rPr>
        <w:t>50万t/a扩建项目</w:t>
      </w:r>
      <w:r>
        <w:rPr>
          <w:rFonts w:hint="eastAsia" w:eastAsia="仿宋_GB2312"/>
          <w:sz w:val="36"/>
          <w:szCs w:val="36"/>
          <w:u w:val="single"/>
        </w:rPr>
        <w:t xml:space="preserve">   </w:t>
      </w:r>
    </w:p>
    <w:p w14:paraId="712DEE2D">
      <w:pPr>
        <w:adjustRightInd w:val="0"/>
        <w:snapToGrid w:val="0"/>
        <w:spacing w:line="288" w:lineRule="auto"/>
        <w:ind w:firstLine="0" w:firstLineChars="0"/>
        <w:rPr>
          <w:rFonts w:eastAsia="仿宋_GB2312"/>
          <w:sz w:val="36"/>
          <w:szCs w:val="36"/>
          <w:u w:val="single"/>
        </w:rPr>
      </w:pPr>
      <w:r>
        <w:rPr>
          <w:rFonts w:hint="eastAsia" w:eastAsia="仿宋_GB2312"/>
          <w:sz w:val="36"/>
          <w:szCs w:val="36"/>
        </w:rPr>
        <w:t>建设单位：</w:t>
      </w:r>
      <w:r>
        <w:rPr>
          <w:rFonts w:hint="eastAsia" w:eastAsia="仿宋_GB2312"/>
          <w:sz w:val="36"/>
          <w:szCs w:val="36"/>
          <w:u w:val="single"/>
        </w:rPr>
        <w:t xml:space="preserve">    </w:t>
      </w:r>
      <w:r>
        <w:rPr>
          <w:rFonts w:hint="eastAsia" w:eastAsia="仿宋_GB2312"/>
          <w:sz w:val="36"/>
          <w:szCs w:val="36"/>
          <w:u w:val="single"/>
          <w:lang w:eastAsia="zh-CN"/>
        </w:rPr>
        <w:t>昆明达泽商贸有限公司</w:t>
      </w:r>
      <w:r>
        <w:rPr>
          <w:rFonts w:hint="eastAsia" w:eastAsia="仿宋_GB2312"/>
          <w:sz w:val="36"/>
          <w:szCs w:val="36"/>
          <w:u w:val="single"/>
        </w:rPr>
        <w:t xml:space="preserve">    </w:t>
      </w:r>
    </w:p>
    <w:p w14:paraId="6BEE561C">
      <w:pPr>
        <w:adjustRightInd w:val="0"/>
        <w:snapToGrid w:val="0"/>
        <w:spacing w:line="288" w:lineRule="auto"/>
        <w:ind w:firstLine="0" w:firstLineChars="0"/>
        <w:rPr>
          <w:rFonts w:eastAsia="仿宋_GB2312"/>
          <w:sz w:val="36"/>
          <w:szCs w:val="36"/>
          <w:u w:val="single"/>
        </w:rPr>
      </w:pPr>
      <w:r>
        <w:rPr>
          <w:rFonts w:hint="eastAsia" w:eastAsia="仿宋_GB2312"/>
          <w:sz w:val="36"/>
          <w:szCs w:val="36"/>
        </w:rPr>
        <w:t>编制日期：</w:t>
      </w:r>
      <w:r>
        <w:rPr>
          <w:rFonts w:hint="eastAsia" w:eastAsia="仿宋_GB2312"/>
          <w:sz w:val="36"/>
          <w:szCs w:val="36"/>
          <w:u w:val="single"/>
        </w:rPr>
        <w:t xml:space="preserve"> </w:t>
      </w:r>
      <w:r>
        <w:rPr>
          <w:rFonts w:eastAsia="仿宋_GB2312"/>
          <w:sz w:val="36"/>
          <w:szCs w:val="36"/>
          <w:u w:val="single"/>
        </w:rPr>
        <w:t xml:space="preserve">         </w:t>
      </w:r>
      <w:r>
        <w:rPr>
          <w:rFonts w:hint="eastAsia" w:eastAsia="仿宋_GB2312"/>
          <w:sz w:val="36"/>
          <w:szCs w:val="36"/>
          <w:u w:val="single"/>
        </w:rPr>
        <w:t xml:space="preserve"> </w:t>
      </w:r>
      <w:r>
        <w:rPr>
          <w:rFonts w:hint="eastAsia" w:eastAsia="仿宋_GB2312"/>
          <w:sz w:val="36"/>
          <w:szCs w:val="36"/>
          <w:u w:val="single"/>
          <w:lang w:val="en-US" w:eastAsia="zh-CN"/>
        </w:rPr>
        <w:t xml:space="preserve">    </w:t>
      </w:r>
      <w:r>
        <w:rPr>
          <w:rFonts w:hint="eastAsia" w:eastAsia="仿宋_GB2312"/>
          <w:sz w:val="36"/>
          <w:szCs w:val="36"/>
          <w:u w:val="single"/>
        </w:rPr>
        <w:t xml:space="preserve"> </w:t>
      </w:r>
      <w:r>
        <w:rPr>
          <w:rFonts w:hint="eastAsia" w:eastAsia="仿宋_GB2312"/>
          <w:sz w:val="36"/>
          <w:szCs w:val="36"/>
          <w:u w:val="single"/>
          <w:lang w:val="en-US" w:eastAsia="zh-CN"/>
        </w:rPr>
        <w:t>2026</w:t>
      </w:r>
      <w:r>
        <w:rPr>
          <w:rFonts w:hint="eastAsia" w:eastAsia="仿宋_GB2312"/>
          <w:sz w:val="36"/>
          <w:szCs w:val="36"/>
          <w:u w:val="single"/>
        </w:rPr>
        <w:t>年</w:t>
      </w:r>
      <w:r>
        <w:rPr>
          <w:rFonts w:hint="eastAsia" w:eastAsia="仿宋_GB2312"/>
          <w:sz w:val="36"/>
          <w:szCs w:val="36"/>
          <w:u w:val="single"/>
          <w:lang w:val="en-US" w:eastAsia="zh-CN"/>
        </w:rPr>
        <w:t>9</w:t>
      </w:r>
      <w:r>
        <w:rPr>
          <w:rFonts w:hint="eastAsia" w:eastAsia="仿宋_GB2312"/>
          <w:sz w:val="36"/>
          <w:szCs w:val="36"/>
          <w:u w:val="single"/>
        </w:rPr>
        <w:t xml:space="preserve">月 </w:t>
      </w:r>
      <w:r>
        <w:rPr>
          <w:rFonts w:eastAsia="仿宋_GB2312"/>
          <w:sz w:val="36"/>
          <w:szCs w:val="36"/>
          <w:u w:val="single"/>
        </w:rPr>
        <w:t xml:space="preserve">    </w:t>
      </w:r>
      <w:r>
        <w:rPr>
          <w:rFonts w:hint="eastAsia" w:eastAsia="仿宋_GB2312"/>
          <w:sz w:val="36"/>
          <w:szCs w:val="36"/>
          <w:u w:val="single"/>
        </w:rPr>
        <w:t xml:space="preserve">        </w:t>
      </w:r>
    </w:p>
    <w:p w14:paraId="7A9A3276">
      <w:pPr>
        <w:spacing w:line="240" w:lineRule="auto"/>
        <w:ind w:firstLine="1040" w:firstLineChars="0"/>
        <w:rPr>
          <w:rFonts w:eastAsia="仿宋"/>
          <w:sz w:val="44"/>
          <w:szCs w:val="44"/>
        </w:rPr>
      </w:pPr>
    </w:p>
    <w:p w14:paraId="27762ACB">
      <w:pPr>
        <w:spacing w:line="240" w:lineRule="auto"/>
        <w:ind w:firstLine="1040" w:firstLineChars="0"/>
        <w:rPr>
          <w:rFonts w:eastAsia="仿宋"/>
          <w:sz w:val="44"/>
          <w:szCs w:val="44"/>
        </w:rPr>
      </w:pPr>
      <w:bookmarkStart w:id="4" w:name="_Hlk57884087"/>
    </w:p>
    <w:p w14:paraId="53D640F1">
      <w:pPr>
        <w:spacing w:line="240" w:lineRule="auto"/>
        <w:ind w:left="0" w:leftChars="0" w:firstLine="0" w:firstLineChars="0"/>
        <w:rPr>
          <w:rFonts w:eastAsia="仿宋"/>
          <w:sz w:val="44"/>
          <w:szCs w:val="44"/>
        </w:rPr>
      </w:pPr>
    </w:p>
    <w:p w14:paraId="0064CFAE">
      <w:pPr>
        <w:pStyle w:val="2"/>
      </w:pPr>
    </w:p>
    <w:p w14:paraId="13C200CB">
      <w:pPr>
        <w:spacing w:line="240" w:lineRule="auto"/>
        <w:rPr>
          <w:rFonts w:eastAsia="仿宋"/>
          <w:sz w:val="44"/>
          <w:szCs w:val="44"/>
        </w:rPr>
      </w:pPr>
    </w:p>
    <w:bookmarkEnd w:id="4"/>
    <w:p w14:paraId="79FE9F1E">
      <w:pPr>
        <w:adjustRightInd w:val="0"/>
        <w:snapToGrid w:val="0"/>
        <w:spacing w:line="288" w:lineRule="auto"/>
        <w:ind w:firstLine="0" w:firstLineChars="0"/>
        <w:jc w:val="center"/>
        <w:rPr>
          <w:rFonts w:hint="eastAsia" w:eastAsia="楷体_GB2312"/>
          <w:lang w:eastAsia="zh-CN"/>
        </w:rPr>
        <w:sectPr>
          <w:headerReference r:id="rId5" w:type="default"/>
          <w:footerReference r:id="rId6" w:type="default"/>
          <w:pgSz w:w="11906" w:h="16838"/>
          <w:pgMar w:top="1701" w:right="1531" w:bottom="1701" w:left="1531" w:header="851" w:footer="1077" w:gutter="0"/>
          <w:pgNumType w:start="3"/>
          <w:cols w:space="720" w:num="1"/>
          <w:docGrid w:linePitch="312" w:charSpace="0"/>
        </w:sectPr>
      </w:pPr>
      <w:r>
        <w:rPr>
          <w:rFonts w:hint="eastAsia" w:eastAsia="楷体_GB2312"/>
          <w:sz w:val="36"/>
          <w:szCs w:val="36"/>
        </w:rPr>
        <w:t>中华人民共和国生态环</w:t>
      </w:r>
      <w:r>
        <w:rPr>
          <w:rFonts w:hint="eastAsia" w:eastAsia="楷体_GB2312"/>
          <w:sz w:val="36"/>
          <w:szCs w:val="36"/>
          <w:lang w:eastAsia="zh-CN"/>
        </w:rPr>
        <w:t>境部制</w:t>
      </w:r>
    </w:p>
    <w:p w14:paraId="25111D02">
      <w:pPr>
        <w:pStyle w:val="41"/>
        <w:spacing w:before="624" w:beforeLines="200" w:after="624" w:afterLines="200" w:line="360" w:lineRule="auto"/>
        <w:ind w:firstLine="3373" w:firstLineChars="1200"/>
        <w:jc w:val="both"/>
        <w:rPr>
          <w:rFonts w:ascii="Times New Roman" w:hAnsi="Times New Roman"/>
          <w:color w:val="auto"/>
          <w:highlight w:val="none"/>
        </w:rPr>
      </w:pPr>
      <w:r>
        <w:rPr>
          <w:rFonts w:ascii="Times New Roman" w:hAnsi="Times New Roman"/>
          <w:color w:val="auto"/>
          <w:highlight w:val="none"/>
          <w:lang w:val="zh-CN"/>
        </w:rPr>
        <w:t>目 录</w:t>
      </w:r>
      <w:bookmarkEnd w:id="0"/>
    </w:p>
    <w:p w14:paraId="5636CCA2">
      <w:pPr>
        <w:pStyle w:val="22"/>
        <w:tabs>
          <w:tab w:val="right" w:leader="dot" w:pos="8306"/>
        </w:tabs>
        <w:rPr>
          <w:b/>
          <w:bCs/>
          <w:color w:val="auto"/>
          <w:highlight w:val="none"/>
        </w:rPr>
      </w:pPr>
      <w:r>
        <w:rPr>
          <w:b/>
          <w:bCs/>
          <w:color w:val="auto"/>
          <w:highlight w:val="none"/>
        </w:rPr>
        <w:fldChar w:fldCharType="begin"/>
      </w:r>
      <w:r>
        <w:rPr>
          <w:b/>
          <w:bCs/>
          <w:color w:val="auto"/>
          <w:highlight w:val="none"/>
        </w:rPr>
        <w:instrText xml:space="preserve"> TOC \o "1-3" \h \z \u </w:instrText>
      </w:r>
      <w:r>
        <w:rPr>
          <w:b/>
          <w:bCs/>
          <w:color w:val="auto"/>
          <w:highlight w:val="none"/>
        </w:rPr>
        <w:fldChar w:fldCharType="separate"/>
      </w:r>
      <w:r>
        <w:rPr>
          <w:b/>
          <w:bCs/>
          <w:color w:val="auto"/>
          <w:highlight w:val="none"/>
        </w:rPr>
        <w:fldChar w:fldCharType="begin"/>
      </w:r>
      <w:r>
        <w:rPr>
          <w:b/>
          <w:bCs/>
          <w:color w:val="auto"/>
          <w:highlight w:val="none"/>
        </w:rPr>
        <w:instrText xml:space="preserve"> HYPERLINK \l _Toc16769 </w:instrText>
      </w:r>
      <w:r>
        <w:rPr>
          <w:b/>
          <w:bCs/>
          <w:color w:val="auto"/>
          <w:highlight w:val="none"/>
        </w:rPr>
        <w:fldChar w:fldCharType="separate"/>
      </w:r>
      <w:r>
        <w:rPr>
          <w:b/>
          <w:bCs/>
          <w:color w:val="auto"/>
          <w:highlight w:val="none"/>
        </w:rPr>
        <w:t>一、建设项目基本情况</w:t>
      </w:r>
      <w:r>
        <w:rPr>
          <w:b/>
          <w:bCs/>
          <w:color w:val="auto"/>
          <w:highlight w:val="none"/>
        </w:rPr>
        <w:tab/>
      </w:r>
      <w:r>
        <w:rPr>
          <w:b/>
          <w:bCs/>
          <w:color w:val="auto"/>
          <w:highlight w:val="none"/>
        </w:rPr>
        <w:fldChar w:fldCharType="begin"/>
      </w:r>
      <w:r>
        <w:rPr>
          <w:b/>
          <w:bCs/>
          <w:color w:val="auto"/>
          <w:highlight w:val="none"/>
        </w:rPr>
        <w:instrText xml:space="preserve"> PAGEREF _Toc16769 \h </w:instrText>
      </w:r>
      <w:r>
        <w:rPr>
          <w:b/>
          <w:bCs/>
          <w:color w:val="auto"/>
          <w:highlight w:val="none"/>
        </w:rPr>
        <w:fldChar w:fldCharType="separate"/>
      </w:r>
      <w:r>
        <w:rPr>
          <w:b/>
          <w:bCs/>
          <w:color w:val="auto"/>
          <w:highlight w:val="none"/>
        </w:rPr>
        <w:t>- 1 -</w:t>
      </w:r>
      <w:r>
        <w:rPr>
          <w:b/>
          <w:bCs/>
          <w:color w:val="auto"/>
          <w:highlight w:val="none"/>
        </w:rPr>
        <w:fldChar w:fldCharType="end"/>
      </w:r>
      <w:r>
        <w:rPr>
          <w:b/>
          <w:bCs/>
          <w:color w:val="auto"/>
          <w:highlight w:val="none"/>
        </w:rPr>
        <w:fldChar w:fldCharType="end"/>
      </w:r>
    </w:p>
    <w:p w14:paraId="38D34503">
      <w:pPr>
        <w:pStyle w:val="22"/>
        <w:tabs>
          <w:tab w:val="right" w:leader="dot" w:pos="8306"/>
        </w:tabs>
        <w:rPr>
          <w:b/>
          <w:bCs/>
          <w:color w:val="auto"/>
          <w:highlight w:val="none"/>
        </w:rPr>
      </w:pPr>
      <w:r>
        <w:rPr>
          <w:b/>
          <w:bCs/>
          <w:color w:val="auto"/>
          <w:highlight w:val="none"/>
          <w:lang w:val="zh-CN"/>
        </w:rPr>
        <w:fldChar w:fldCharType="begin"/>
      </w:r>
      <w:r>
        <w:rPr>
          <w:b/>
          <w:bCs/>
          <w:color w:val="auto"/>
          <w:highlight w:val="none"/>
          <w:lang w:val="zh-CN"/>
        </w:rPr>
        <w:instrText xml:space="preserve"> HYPERLINK \l _Toc27476 </w:instrText>
      </w:r>
      <w:r>
        <w:rPr>
          <w:b/>
          <w:bCs/>
          <w:color w:val="auto"/>
          <w:highlight w:val="none"/>
          <w:lang w:val="zh-CN"/>
        </w:rPr>
        <w:fldChar w:fldCharType="separate"/>
      </w:r>
      <w:r>
        <w:rPr>
          <w:b/>
          <w:bCs/>
          <w:color w:val="auto"/>
          <w:highlight w:val="none"/>
        </w:rPr>
        <w:t>二、建设内容</w:t>
      </w:r>
      <w:r>
        <w:rPr>
          <w:b/>
          <w:bCs/>
          <w:color w:val="auto"/>
          <w:highlight w:val="none"/>
        </w:rPr>
        <w:tab/>
      </w:r>
      <w:r>
        <w:rPr>
          <w:b/>
          <w:bCs/>
          <w:color w:val="auto"/>
          <w:highlight w:val="none"/>
        </w:rPr>
        <w:fldChar w:fldCharType="begin"/>
      </w:r>
      <w:r>
        <w:rPr>
          <w:b/>
          <w:bCs/>
          <w:color w:val="auto"/>
          <w:highlight w:val="none"/>
        </w:rPr>
        <w:instrText xml:space="preserve"> PAGEREF _Toc27476 \h </w:instrText>
      </w:r>
      <w:r>
        <w:rPr>
          <w:b/>
          <w:bCs/>
          <w:color w:val="auto"/>
          <w:highlight w:val="none"/>
        </w:rPr>
        <w:fldChar w:fldCharType="separate"/>
      </w:r>
      <w:r>
        <w:rPr>
          <w:b/>
          <w:bCs/>
          <w:color w:val="auto"/>
          <w:highlight w:val="none"/>
        </w:rPr>
        <w:t>- 43 -</w:t>
      </w:r>
      <w:r>
        <w:rPr>
          <w:b/>
          <w:bCs/>
          <w:color w:val="auto"/>
          <w:highlight w:val="none"/>
        </w:rPr>
        <w:fldChar w:fldCharType="end"/>
      </w:r>
      <w:r>
        <w:rPr>
          <w:b/>
          <w:bCs/>
          <w:color w:val="auto"/>
          <w:highlight w:val="none"/>
          <w:lang w:val="zh-CN"/>
        </w:rPr>
        <w:fldChar w:fldCharType="end"/>
      </w:r>
    </w:p>
    <w:p w14:paraId="6E13C79F">
      <w:pPr>
        <w:pStyle w:val="22"/>
        <w:tabs>
          <w:tab w:val="right" w:leader="dot" w:pos="8306"/>
        </w:tabs>
        <w:rPr>
          <w:b/>
          <w:bCs/>
          <w:color w:val="auto"/>
          <w:highlight w:val="none"/>
        </w:rPr>
      </w:pPr>
      <w:r>
        <w:rPr>
          <w:b/>
          <w:bCs/>
          <w:color w:val="auto"/>
          <w:highlight w:val="none"/>
          <w:lang w:val="zh-CN"/>
        </w:rPr>
        <w:fldChar w:fldCharType="begin"/>
      </w:r>
      <w:r>
        <w:rPr>
          <w:b/>
          <w:bCs/>
          <w:color w:val="auto"/>
          <w:highlight w:val="none"/>
          <w:lang w:val="zh-CN"/>
        </w:rPr>
        <w:instrText xml:space="preserve"> HYPERLINK \l _Toc22903 </w:instrText>
      </w:r>
      <w:r>
        <w:rPr>
          <w:b/>
          <w:bCs/>
          <w:color w:val="auto"/>
          <w:highlight w:val="none"/>
          <w:lang w:val="zh-CN"/>
        </w:rPr>
        <w:fldChar w:fldCharType="separate"/>
      </w:r>
      <w:r>
        <w:rPr>
          <w:b/>
          <w:bCs/>
          <w:color w:val="auto"/>
          <w:highlight w:val="none"/>
        </w:rPr>
        <w:t>三、生态环境现状、保护目标及评价标准</w:t>
      </w:r>
      <w:r>
        <w:rPr>
          <w:b/>
          <w:bCs/>
          <w:color w:val="auto"/>
          <w:highlight w:val="none"/>
        </w:rPr>
        <w:tab/>
      </w:r>
      <w:r>
        <w:rPr>
          <w:b/>
          <w:bCs/>
          <w:color w:val="auto"/>
          <w:highlight w:val="none"/>
        </w:rPr>
        <w:fldChar w:fldCharType="begin"/>
      </w:r>
      <w:r>
        <w:rPr>
          <w:b/>
          <w:bCs/>
          <w:color w:val="auto"/>
          <w:highlight w:val="none"/>
        </w:rPr>
        <w:instrText xml:space="preserve"> PAGEREF _Toc22903 \h </w:instrText>
      </w:r>
      <w:r>
        <w:rPr>
          <w:b/>
          <w:bCs/>
          <w:color w:val="auto"/>
          <w:highlight w:val="none"/>
        </w:rPr>
        <w:fldChar w:fldCharType="separate"/>
      </w:r>
      <w:r>
        <w:rPr>
          <w:b/>
          <w:bCs/>
          <w:color w:val="auto"/>
          <w:highlight w:val="none"/>
        </w:rPr>
        <w:t>- 63 -</w:t>
      </w:r>
      <w:r>
        <w:rPr>
          <w:b/>
          <w:bCs/>
          <w:color w:val="auto"/>
          <w:highlight w:val="none"/>
        </w:rPr>
        <w:fldChar w:fldCharType="end"/>
      </w:r>
      <w:r>
        <w:rPr>
          <w:b/>
          <w:bCs/>
          <w:color w:val="auto"/>
          <w:highlight w:val="none"/>
          <w:lang w:val="zh-CN"/>
        </w:rPr>
        <w:fldChar w:fldCharType="end"/>
      </w:r>
    </w:p>
    <w:p w14:paraId="7AA6B636">
      <w:pPr>
        <w:pStyle w:val="22"/>
        <w:tabs>
          <w:tab w:val="right" w:leader="dot" w:pos="8306"/>
        </w:tabs>
        <w:rPr>
          <w:b/>
          <w:bCs/>
          <w:color w:val="auto"/>
          <w:highlight w:val="none"/>
        </w:rPr>
      </w:pPr>
      <w:r>
        <w:rPr>
          <w:b/>
          <w:bCs/>
          <w:color w:val="auto"/>
          <w:highlight w:val="none"/>
          <w:lang w:val="zh-CN"/>
        </w:rPr>
        <w:fldChar w:fldCharType="begin"/>
      </w:r>
      <w:r>
        <w:rPr>
          <w:b/>
          <w:bCs/>
          <w:color w:val="auto"/>
          <w:highlight w:val="none"/>
          <w:lang w:val="zh-CN"/>
        </w:rPr>
        <w:instrText xml:space="preserve"> HYPERLINK \l _Toc18091 </w:instrText>
      </w:r>
      <w:r>
        <w:rPr>
          <w:b/>
          <w:bCs/>
          <w:color w:val="auto"/>
          <w:highlight w:val="none"/>
          <w:lang w:val="zh-CN"/>
        </w:rPr>
        <w:fldChar w:fldCharType="separate"/>
      </w:r>
      <w:r>
        <w:rPr>
          <w:b/>
          <w:bCs/>
          <w:color w:val="auto"/>
          <w:highlight w:val="none"/>
        </w:rPr>
        <w:t>四、生态环境影响分析</w:t>
      </w:r>
      <w:r>
        <w:rPr>
          <w:b/>
          <w:bCs/>
          <w:color w:val="auto"/>
          <w:highlight w:val="none"/>
        </w:rPr>
        <w:tab/>
      </w:r>
      <w:r>
        <w:rPr>
          <w:b/>
          <w:bCs/>
          <w:color w:val="auto"/>
          <w:highlight w:val="none"/>
        </w:rPr>
        <w:fldChar w:fldCharType="begin"/>
      </w:r>
      <w:r>
        <w:rPr>
          <w:b/>
          <w:bCs/>
          <w:color w:val="auto"/>
          <w:highlight w:val="none"/>
        </w:rPr>
        <w:instrText xml:space="preserve"> PAGEREF _Toc18091 \h </w:instrText>
      </w:r>
      <w:r>
        <w:rPr>
          <w:b/>
          <w:bCs/>
          <w:color w:val="auto"/>
          <w:highlight w:val="none"/>
        </w:rPr>
        <w:fldChar w:fldCharType="separate"/>
      </w:r>
      <w:r>
        <w:rPr>
          <w:b/>
          <w:bCs/>
          <w:color w:val="auto"/>
          <w:highlight w:val="none"/>
        </w:rPr>
        <w:t>- 83 -</w:t>
      </w:r>
      <w:r>
        <w:rPr>
          <w:b/>
          <w:bCs/>
          <w:color w:val="auto"/>
          <w:highlight w:val="none"/>
        </w:rPr>
        <w:fldChar w:fldCharType="end"/>
      </w:r>
      <w:r>
        <w:rPr>
          <w:b/>
          <w:bCs/>
          <w:color w:val="auto"/>
          <w:highlight w:val="none"/>
          <w:lang w:val="zh-CN"/>
        </w:rPr>
        <w:fldChar w:fldCharType="end"/>
      </w:r>
    </w:p>
    <w:p w14:paraId="5F717F98">
      <w:pPr>
        <w:pStyle w:val="22"/>
        <w:tabs>
          <w:tab w:val="right" w:leader="dot" w:pos="8306"/>
        </w:tabs>
        <w:rPr>
          <w:b/>
          <w:bCs/>
          <w:color w:val="auto"/>
          <w:highlight w:val="none"/>
        </w:rPr>
      </w:pPr>
      <w:r>
        <w:rPr>
          <w:b/>
          <w:bCs/>
          <w:color w:val="auto"/>
          <w:highlight w:val="none"/>
          <w:lang w:val="zh-CN"/>
        </w:rPr>
        <w:fldChar w:fldCharType="begin"/>
      </w:r>
      <w:r>
        <w:rPr>
          <w:b/>
          <w:bCs/>
          <w:color w:val="auto"/>
          <w:highlight w:val="none"/>
          <w:lang w:val="zh-CN"/>
        </w:rPr>
        <w:instrText xml:space="preserve"> HYPERLINK \l _Toc10472 </w:instrText>
      </w:r>
      <w:r>
        <w:rPr>
          <w:b/>
          <w:bCs/>
          <w:color w:val="auto"/>
          <w:highlight w:val="none"/>
          <w:lang w:val="zh-CN"/>
        </w:rPr>
        <w:fldChar w:fldCharType="separate"/>
      </w:r>
      <w:r>
        <w:rPr>
          <w:b/>
          <w:bCs/>
          <w:color w:val="auto"/>
          <w:highlight w:val="none"/>
        </w:rPr>
        <w:t>五、主要生态环境保护措施</w:t>
      </w:r>
      <w:r>
        <w:rPr>
          <w:b/>
          <w:bCs/>
          <w:color w:val="auto"/>
          <w:highlight w:val="none"/>
        </w:rPr>
        <w:tab/>
      </w:r>
      <w:r>
        <w:rPr>
          <w:b/>
          <w:bCs/>
          <w:color w:val="auto"/>
          <w:highlight w:val="none"/>
        </w:rPr>
        <w:fldChar w:fldCharType="begin"/>
      </w:r>
      <w:r>
        <w:rPr>
          <w:b/>
          <w:bCs/>
          <w:color w:val="auto"/>
          <w:highlight w:val="none"/>
        </w:rPr>
        <w:instrText xml:space="preserve"> PAGEREF _Toc10472 \h </w:instrText>
      </w:r>
      <w:r>
        <w:rPr>
          <w:b/>
          <w:bCs/>
          <w:color w:val="auto"/>
          <w:highlight w:val="none"/>
        </w:rPr>
        <w:fldChar w:fldCharType="separate"/>
      </w:r>
      <w:r>
        <w:rPr>
          <w:b/>
          <w:bCs/>
          <w:color w:val="auto"/>
          <w:highlight w:val="none"/>
        </w:rPr>
        <w:t>- 133 -</w:t>
      </w:r>
      <w:r>
        <w:rPr>
          <w:b/>
          <w:bCs/>
          <w:color w:val="auto"/>
          <w:highlight w:val="none"/>
        </w:rPr>
        <w:fldChar w:fldCharType="end"/>
      </w:r>
      <w:r>
        <w:rPr>
          <w:b/>
          <w:bCs/>
          <w:color w:val="auto"/>
          <w:highlight w:val="none"/>
          <w:lang w:val="zh-CN"/>
        </w:rPr>
        <w:fldChar w:fldCharType="end"/>
      </w:r>
    </w:p>
    <w:p w14:paraId="4A434B49">
      <w:pPr>
        <w:pStyle w:val="22"/>
        <w:tabs>
          <w:tab w:val="right" w:leader="dot" w:pos="8306"/>
        </w:tabs>
        <w:rPr>
          <w:b/>
          <w:bCs/>
          <w:color w:val="auto"/>
          <w:highlight w:val="none"/>
        </w:rPr>
      </w:pPr>
      <w:r>
        <w:rPr>
          <w:b/>
          <w:bCs/>
          <w:color w:val="auto"/>
          <w:highlight w:val="none"/>
          <w:lang w:val="zh-CN"/>
        </w:rPr>
        <w:fldChar w:fldCharType="begin"/>
      </w:r>
      <w:r>
        <w:rPr>
          <w:b/>
          <w:bCs/>
          <w:color w:val="auto"/>
          <w:highlight w:val="none"/>
          <w:lang w:val="zh-CN"/>
        </w:rPr>
        <w:instrText xml:space="preserve"> HYPERLINK \l _Toc15009 </w:instrText>
      </w:r>
      <w:r>
        <w:rPr>
          <w:b/>
          <w:bCs/>
          <w:color w:val="auto"/>
          <w:highlight w:val="none"/>
          <w:lang w:val="zh-CN"/>
        </w:rPr>
        <w:fldChar w:fldCharType="separate"/>
      </w:r>
      <w:r>
        <w:rPr>
          <w:b/>
          <w:bCs/>
          <w:color w:val="auto"/>
          <w:highlight w:val="none"/>
        </w:rPr>
        <w:t>六、</w:t>
      </w:r>
      <w:r>
        <w:rPr>
          <w:rFonts w:hint="eastAsia"/>
          <w:b/>
          <w:bCs/>
          <w:color w:val="auto"/>
          <w:highlight w:val="none"/>
        </w:rPr>
        <w:t>生态环境保护措施监督检查清单</w:t>
      </w:r>
      <w:r>
        <w:rPr>
          <w:b/>
          <w:bCs/>
          <w:color w:val="auto"/>
          <w:highlight w:val="none"/>
        </w:rPr>
        <w:tab/>
      </w:r>
      <w:r>
        <w:rPr>
          <w:b/>
          <w:bCs/>
          <w:color w:val="auto"/>
          <w:highlight w:val="none"/>
        </w:rPr>
        <w:fldChar w:fldCharType="begin"/>
      </w:r>
      <w:r>
        <w:rPr>
          <w:b/>
          <w:bCs/>
          <w:color w:val="auto"/>
          <w:highlight w:val="none"/>
        </w:rPr>
        <w:instrText xml:space="preserve"> PAGEREF _Toc15009 \h </w:instrText>
      </w:r>
      <w:r>
        <w:rPr>
          <w:b/>
          <w:bCs/>
          <w:color w:val="auto"/>
          <w:highlight w:val="none"/>
        </w:rPr>
        <w:fldChar w:fldCharType="separate"/>
      </w:r>
      <w:r>
        <w:rPr>
          <w:b/>
          <w:bCs/>
          <w:color w:val="auto"/>
          <w:highlight w:val="none"/>
        </w:rPr>
        <w:t>- 147 -</w:t>
      </w:r>
      <w:r>
        <w:rPr>
          <w:b/>
          <w:bCs/>
          <w:color w:val="auto"/>
          <w:highlight w:val="none"/>
        </w:rPr>
        <w:fldChar w:fldCharType="end"/>
      </w:r>
      <w:r>
        <w:rPr>
          <w:b/>
          <w:bCs/>
          <w:color w:val="auto"/>
          <w:highlight w:val="none"/>
          <w:lang w:val="zh-CN"/>
        </w:rPr>
        <w:fldChar w:fldCharType="end"/>
      </w:r>
    </w:p>
    <w:p w14:paraId="3F4FAD30">
      <w:pPr>
        <w:pStyle w:val="22"/>
        <w:tabs>
          <w:tab w:val="right" w:leader="dot" w:pos="8306"/>
        </w:tabs>
        <w:rPr>
          <w:color w:val="auto"/>
          <w:highlight w:val="none"/>
        </w:rPr>
      </w:pPr>
      <w:r>
        <w:rPr>
          <w:b/>
          <w:bCs/>
          <w:color w:val="auto"/>
          <w:highlight w:val="none"/>
          <w:lang w:val="zh-CN"/>
        </w:rPr>
        <w:fldChar w:fldCharType="begin"/>
      </w:r>
      <w:r>
        <w:rPr>
          <w:b/>
          <w:bCs/>
          <w:color w:val="auto"/>
          <w:highlight w:val="none"/>
          <w:lang w:val="zh-CN"/>
        </w:rPr>
        <w:instrText xml:space="preserve"> HYPERLINK \l _Toc4277 </w:instrText>
      </w:r>
      <w:r>
        <w:rPr>
          <w:b/>
          <w:bCs/>
          <w:color w:val="auto"/>
          <w:highlight w:val="none"/>
          <w:lang w:val="zh-CN"/>
        </w:rPr>
        <w:fldChar w:fldCharType="separate"/>
      </w:r>
      <w:r>
        <w:rPr>
          <w:b/>
          <w:bCs/>
          <w:color w:val="auto"/>
          <w:highlight w:val="none"/>
        </w:rPr>
        <w:t>七、结论</w:t>
      </w:r>
      <w:r>
        <w:rPr>
          <w:b/>
          <w:bCs/>
          <w:color w:val="auto"/>
          <w:highlight w:val="none"/>
        </w:rPr>
        <w:tab/>
      </w:r>
      <w:r>
        <w:rPr>
          <w:b/>
          <w:bCs/>
          <w:color w:val="auto"/>
          <w:highlight w:val="none"/>
        </w:rPr>
        <w:fldChar w:fldCharType="begin"/>
      </w:r>
      <w:r>
        <w:rPr>
          <w:b/>
          <w:bCs/>
          <w:color w:val="auto"/>
          <w:highlight w:val="none"/>
        </w:rPr>
        <w:instrText xml:space="preserve"> PAGEREF _Toc4277 \h </w:instrText>
      </w:r>
      <w:r>
        <w:rPr>
          <w:b/>
          <w:bCs/>
          <w:color w:val="auto"/>
          <w:highlight w:val="none"/>
        </w:rPr>
        <w:fldChar w:fldCharType="separate"/>
      </w:r>
      <w:r>
        <w:rPr>
          <w:b/>
          <w:bCs/>
          <w:color w:val="auto"/>
          <w:highlight w:val="none"/>
        </w:rPr>
        <w:t>- 153 -</w:t>
      </w:r>
      <w:r>
        <w:rPr>
          <w:b/>
          <w:bCs/>
          <w:color w:val="auto"/>
          <w:highlight w:val="none"/>
        </w:rPr>
        <w:fldChar w:fldCharType="end"/>
      </w:r>
      <w:r>
        <w:rPr>
          <w:b/>
          <w:bCs/>
          <w:color w:val="auto"/>
          <w:highlight w:val="none"/>
          <w:lang w:val="zh-CN"/>
        </w:rPr>
        <w:fldChar w:fldCharType="end"/>
      </w:r>
    </w:p>
    <w:p w14:paraId="0C3D54E1">
      <w:pPr>
        <w:ind w:firstLine="0" w:firstLineChars="0"/>
        <w:rPr>
          <w:bCs/>
          <w:color w:val="auto"/>
          <w:highlight w:val="none"/>
          <w:lang w:val="zh-CN"/>
        </w:rPr>
      </w:pPr>
      <w:r>
        <w:rPr>
          <w:bCs/>
          <w:color w:val="auto"/>
          <w:highlight w:val="none"/>
          <w:lang w:val="zh-CN"/>
        </w:rPr>
        <w:fldChar w:fldCharType="end"/>
      </w:r>
    </w:p>
    <w:p w14:paraId="68DD607F">
      <w:pPr>
        <w:keepNext w:val="0"/>
        <w:keepLines w:val="0"/>
        <w:pageBreakBefore w:val="0"/>
        <w:widowControl w:val="0"/>
        <w:kinsoku/>
        <w:wordWrap/>
        <w:overflowPunct/>
        <w:topLinePunct w:val="0"/>
        <w:autoSpaceDE/>
        <w:autoSpaceDN/>
        <w:bidi w:val="0"/>
        <w:adjustRightInd/>
        <w:snapToGrid/>
        <w:ind w:firstLine="482" w:firstLineChars="200"/>
        <w:textAlignment w:val="auto"/>
        <w:rPr>
          <w:bCs/>
          <w:color w:val="auto"/>
          <w:highlight w:val="none"/>
          <w:lang w:val="zh-CN"/>
        </w:rPr>
      </w:pPr>
      <w:r>
        <w:rPr>
          <w:b/>
          <w:color w:val="auto"/>
          <w:highlight w:val="none"/>
          <w:lang w:val="zh-CN"/>
        </w:rPr>
        <w:t>附件：</w:t>
      </w:r>
    </w:p>
    <w:p w14:paraId="0FCBC474">
      <w:pPr>
        <w:ind w:firstLine="480"/>
        <w:rPr>
          <w:bCs/>
          <w:color w:val="auto"/>
          <w:highlight w:val="none"/>
          <w:lang w:val="zh-CN"/>
        </w:rPr>
      </w:pPr>
      <w:r>
        <w:rPr>
          <w:bCs/>
          <w:color w:val="auto"/>
          <w:highlight w:val="none"/>
          <w:lang w:val="zh-CN"/>
        </w:rPr>
        <w:t>附件1 环评委托书</w:t>
      </w:r>
    </w:p>
    <w:p w14:paraId="173C413A">
      <w:pPr>
        <w:ind w:firstLine="480"/>
        <w:rPr>
          <w:bCs/>
          <w:color w:val="auto"/>
          <w:highlight w:val="none"/>
          <w:lang w:val="zh-CN"/>
        </w:rPr>
      </w:pPr>
      <w:r>
        <w:rPr>
          <w:bCs/>
          <w:color w:val="auto"/>
          <w:highlight w:val="none"/>
          <w:lang w:val="zh-CN"/>
        </w:rPr>
        <w:t>附件2 项目投资备案证</w:t>
      </w:r>
    </w:p>
    <w:p w14:paraId="33ADB77B">
      <w:pPr>
        <w:ind w:firstLine="480"/>
        <w:rPr>
          <w:bCs/>
          <w:color w:val="auto"/>
          <w:highlight w:val="none"/>
          <w:lang w:val="zh-CN"/>
        </w:rPr>
      </w:pPr>
      <w:r>
        <w:rPr>
          <w:bCs/>
          <w:color w:val="auto"/>
          <w:highlight w:val="none"/>
          <w:lang w:val="zh-CN"/>
        </w:rPr>
        <w:t>附件3</w:t>
      </w:r>
      <w:r>
        <w:rPr>
          <w:rFonts w:hint="eastAsia"/>
          <w:bCs/>
          <w:color w:val="auto"/>
          <w:highlight w:val="none"/>
          <w:lang w:val="en-US" w:eastAsia="zh-CN"/>
        </w:rPr>
        <w:t xml:space="preserve"> 建设单位</w:t>
      </w:r>
      <w:r>
        <w:rPr>
          <w:bCs/>
          <w:color w:val="auto"/>
          <w:highlight w:val="none"/>
          <w:lang w:val="zh-CN"/>
        </w:rPr>
        <w:t xml:space="preserve">营业执照  </w:t>
      </w:r>
    </w:p>
    <w:p w14:paraId="0C4B7E80">
      <w:pPr>
        <w:ind w:firstLine="480"/>
        <w:rPr>
          <w:bCs/>
          <w:color w:val="auto"/>
          <w:highlight w:val="none"/>
          <w:lang w:val="zh-CN"/>
        </w:rPr>
      </w:pPr>
      <w:r>
        <w:rPr>
          <w:bCs/>
          <w:color w:val="auto"/>
          <w:highlight w:val="none"/>
          <w:lang w:val="zh-CN"/>
        </w:rPr>
        <w:t>附件4 项目矿权采矿许可证</w:t>
      </w:r>
    </w:p>
    <w:p w14:paraId="70B9F19E">
      <w:pPr>
        <w:ind w:firstLine="480"/>
        <w:rPr>
          <w:bCs/>
          <w:color w:val="auto"/>
          <w:highlight w:val="none"/>
          <w:lang w:val="zh-CN"/>
        </w:rPr>
      </w:pPr>
      <w:r>
        <w:rPr>
          <w:bCs/>
          <w:color w:val="auto"/>
          <w:highlight w:val="none"/>
          <w:lang w:val="zh-CN"/>
        </w:rPr>
        <w:t>附件5 现有项目环评批复</w:t>
      </w:r>
    </w:p>
    <w:p w14:paraId="03EAD7A3">
      <w:pPr>
        <w:ind w:firstLine="480"/>
        <w:rPr>
          <w:rFonts w:hint="default" w:eastAsia="宋体"/>
          <w:bCs/>
          <w:color w:val="auto"/>
          <w:highlight w:val="none"/>
          <w:lang w:val="en-US" w:eastAsia="zh-CN"/>
        </w:rPr>
      </w:pPr>
      <w:r>
        <w:rPr>
          <w:bCs/>
          <w:color w:val="auto"/>
          <w:highlight w:val="none"/>
          <w:lang w:val="zh-CN"/>
        </w:rPr>
        <w:t xml:space="preserve">附件6 </w:t>
      </w:r>
      <w:r>
        <w:rPr>
          <w:rFonts w:hint="eastAsia"/>
          <w:bCs/>
          <w:color w:val="auto"/>
          <w:highlight w:val="none"/>
          <w:lang w:val="en-US" w:eastAsia="zh-CN"/>
        </w:rPr>
        <w:t>本项目安全设计审批书</w:t>
      </w:r>
    </w:p>
    <w:p w14:paraId="3F48A8BE">
      <w:pPr>
        <w:ind w:firstLine="480"/>
        <w:rPr>
          <w:bCs/>
          <w:color w:val="auto"/>
          <w:highlight w:val="none"/>
          <w:lang w:val="zh-CN"/>
        </w:rPr>
      </w:pPr>
      <w:r>
        <w:rPr>
          <w:bCs/>
          <w:color w:val="auto"/>
          <w:highlight w:val="none"/>
          <w:lang w:val="zh-CN"/>
        </w:rPr>
        <w:t>附件7</w:t>
      </w:r>
      <w:r>
        <w:rPr>
          <w:rFonts w:hint="eastAsia"/>
          <w:bCs/>
          <w:color w:val="auto"/>
          <w:highlight w:val="none"/>
          <w:lang w:val="en-US" w:eastAsia="zh-CN"/>
        </w:rPr>
        <w:t xml:space="preserve"> </w:t>
      </w:r>
      <w:r>
        <w:rPr>
          <w:bCs/>
          <w:color w:val="auto"/>
          <w:highlight w:val="none"/>
          <w:lang w:val="zh-CN"/>
        </w:rPr>
        <w:t>本项目</w:t>
      </w:r>
      <w:r>
        <w:rPr>
          <w:rFonts w:hint="eastAsia"/>
          <w:bCs/>
          <w:color w:val="auto"/>
          <w:highlight w:val="none"/>
          <w:lang w:val="zh-CN"/>
        </w:rPr>
        <w:t>“</w:t>
      </w:r>
      <w:r>
        <w:rPr>
          <w:bCs/>
          <w:color w:val="auto"/>
          <w:highlight w:val="none"/>
          <w:lang w:val="zh-CN"/>
        </w:rPr>
        <w:t>三区三线</w:t>
      </w:r>
      <w:r>
        <w:rPr>
          <w:rFonts w:hint="eastAsia"/>
          <w:bCs/>
          <w:color w:val="auto"/>
          <w:highlight w:val="none"/>
          <w:lang w:val="zh-CN"/>
        </w:rPr>
        <w:t>”</w:t>
      </w:r>
      <w:r>
        <w:rPr>
          <w:bCs/>
          <w:color w:val="auto"/>
          <w:highlight w:val="none"/>
          <w:lang w:val="zh-CN"/>
        </w:rPr>
        <w:t>查询情况说明</w:t>
      </w:r>
    </w:p>
    <w:p w14:paraId="4A853BF3">
      <w:pPr>
        <w:ind w:firstLine="480"/>
        <w:rPr>
          <w:bCs/>
          <w:color w:val="auto"/>
          <w:highlight w:val="none"/>
          <w:lang w:val="zh-CN"/>
        </w:rPr>
      </w:pPr>
      <w:r>
        <w:rPr>
          <w:bCs/>
          <w:color w:val="auto"/>
          <w:highlight w:val="none"/>
          <w:lang w:val="zh-CN"/>
        </w:rPr>
        <w:t xml:space="preserve">附件8 </w:t>
      </w:r>
      <w:r>
        <w:rPr>
          <w:rFonts w:hint="eastAsia"/>
          <w:bCs/>
          <w:color w:val="auto"/>
          <w:highlight w:val="none"/>
          <w:lang w:val="zh-CN"/>
        </w:rPr>
        <w:t>使用林地审核同意书</w:t>
      </w:r>
    </w:p>
    <w:p w14:paraId="3B088D46">
      <w:pPr>
        <w:ind w:firstLine="480"/>
        <w:rPr>
          <w:bCs/>
          <w:color w:val="auto"/>
          <w:highlight w:val="none"/>
          <w:lang w:val="zh-CN"/>
        </w:rPr>
      </w:pPr>
      <w:r>
        <w:rPr>
          <w:rFonts w:hint="eastAsia"/>
          <w:bCs/>
          <w:color w:val="auto"/>
          <w:highlight w:val="none"/>
          <w:lang w:val="en-US" w:eastAsia="zh-CN"/>
        </w:rPr>
        <w:t xml:space="preserve">附件9 </w:t>
      </w:r>
      <w:r>
        <w:rPr>
          <w:rFonts w:hint="eastAsia"/>
          <w:bCs/>
          <w:color w:val="auto"/>
          <w:highlight w:val="none"/>
          <w:lang w:val="zh-CN" w:eastAsia="zh-CN"/>
        </w:rPr>
        <w:t>自然资源局关于</w:t>
      </w:r>
      <w:r>
        <w:rPr>
          <w:rFonts w:hint="eastAsia"/>
          <w:bCs/>
          <w:color w:val="auto"/>
          <w:highlight w:val="none"/>
          <w:lang w:val="en-US" w:eastAsia="zh-CN"/>
        </w:rPr>
        <w:t>项目</w:t>
      </w:r>
      <w:r>
        <w:rPr>
          <w:rFonts w:hint="eastAsia"/>
          <w:bCs/>
          <w:color w:val="auto"/>
          <w:highlight w:val="none"/>
          <w:lang w:val="zh-CN" w:eastAsia="zh-CN"/>
        </w:rPr>
        <w:t>采矿权联勘联审及相关规划有关情况审查意见</w:t>
      </w:r>
    </w:p>
    <w:p w14:paraId="44479CF4">
      <w:pPr>
        <w:ind w:firstLine="480"/>
        <w:rPr>
          <w:bCs/>
          <w:color w:val="auto"/>
          <w:highlight w:val="none"/>
          <w:lang w:val="zh-CN"/>
        </w:rPr>
      </w:pPr>
      <w:r>
        <w:rPr>
          <w:bCs/>
          <w:color w:val="auto"/>
          <w:highlight w:val="none"/>
          <w:lang w:val="zh-CN"/>
        </w:rPr>
        <w:t>附件</w:t>
      </w:r>
      <w:r>
        <w:rPr>
          <w:rFonts w:hint="eastAsia"/>
          <w:bCs/>
          <w:color w:val="auto"/>
          <w:highlight w:val="none"/>
          <w:lang w:val="en-US" w:eastAsia="zh-CN"/>
        </w:rPr>
        <w:t>10</w:t>
      </w:r>
      <w:r>
        <w:rPr>
          <w:bCs/>
          <w:color w:val="auto"/>
          <w:highlight w:val="none"/>
          <w:lang w:val="zh-CN"/>
        </w:rPr>
        <w:t xml:space="preserve"> </w:t>
      </w:r>
      <w:r>
        <w:rPr>
          <w:rFonts w:hint="eastAsia"/>
          <w:bCs/>
          <w:color w:val="auto"/>
          <w:highlight w:val="none"/>
          <w:lang w:val="zh-CN"/>
        </w:rPr>
        <w:t>寻甸回族彝族自治县非煤矿山转型升级实施方案的通知</w:t>
      </w:r>
    </w:p>
    <w:p w14:paraId="295F295A">
      <w:pPr>
        <w:ind w:firstLine="480"/>
        <w:rPr>
          <w:bCs/>
          <w:color w:val="auto"/>
          <w:highlight w:val="none"/>
          <w:lang w:val="zh-CN"/>
        </w:rPr>
      </w:pPr>
      <w:r>
        <w:rPr>
          <w:rFonts w:hint="eastAsia"/>
          <w:bCs/>
          <w:color w:val="auto"/>
          <w:highlight w:val="none"/>
          <w:lang w:val="en-US" w:eastAsia="zh-CN"/>
        </w:rPr>
        <w:t>附件11现状监测报告</w:t>
      </w:r>
    </w:p>
    <w:p w14:paraId="5350C0EE">
      <w:pPr>
        <w:ind w:firstLine="480"/>
        <w:rPr>
          <w:bCs/>
          <w:color w:val="auto"/>
          <w:highlight w:val="none"/>
        </w:rPr>
      </w:pPr>
      <w:r>
        <w:rPr>
          <w:bCs/>
          <w:color w:val="auto"/>
          <w:highlight w:val="none"/>
          <w:lang w:val="zh-CN"/>
        </w:rPr>
        <w:t>附件</w:t>
      </w:r>
      <w:r>
        <w:rPr>
          <w:rFonts w:hint="eastAsia"/>
          <w:bCs/>
          <w:color w:val="auto"/>
          <w:highlight w:val="none"/>
          <w:lang w:val="en-US" w:eastAsia="zh-CN"/>
        </w:rPr>
        <w:t>12</w:t>
      </w:r>
      <w:r>
        <w:rPr>
          <w:bCs/>
          <w:color w:val="auto"/>
          <w:highlight w:val="none"/>
          <w:lang w:val="zh-CN"/>
        </w:rPr>
        <w:t xml:space="preserve"> </w:t>
      </w:r>
      <w:r>
        <w:rPr>
          <w:bCs/>
          <w:color w:val="auto"/>
          <w:highlight w:val="none"/>
        </w:rPr>
        <w:t>环评合同</w:t>
      </w:r>
    </w:p>
    <w:p w14:paraId="5C265814">
      <w:pPr>
        <w:ind w:firstLine="480"/>
        <w:rPr>
          <w:bCs/>
          <w:color w:val="auto"/>
          <w:highlight w:val="none"/>
          <w:lang w:val="zh-CN"/>
        </w:rPr>
      </w:pPr>
      <w:r>
        <w:rPr>
          <w:bCs/>
          <w:color w:val="auto"/>
          <w:highlight w:val="none"/>
          <w:lang w:val="zh-CN"/>
        </w:rPr>
        <w:t>附件1</w:t>
      </w:r>
      <w:r>
        <w:rPr>
          <w:rFonts w:hint="eastAsia"/>
          <w:bCs/>
          <w:color w:val="auto"/>
          <w:highlight w:val="none"/>
          <w:lang w:val="en-US" w:eastAsia="zh-CN"/>
        </w:rPr>
        <w:t>3</w:t>
      </w:r>
      <w:r>
        <w:rPr>
          <w:bCs/>
          <w:color w:val="auto"/>
          <w:highlight w:val="none"/>
          <w:lang w:val="zh-CN"/>
        </w:rPr>
        <w:t xml:space="preserve"> </w:t>
      </w:r>
      <w:r>
        <w:rPr>
          <w:bCs/>
          <w:color w:val="auto"/>
          <w:highlight w:val="none"/>
        </w:rPr>
        <w:t>项目进度控制表及审核表</w:t>
      </w:r>
    </w:p>
    <w:p w14:paraId="589B67A8">
      <w:pPr>
        <w:ind w:left="0" w:leftChars="0" w:firstLine="0" w:firstLineChars="0"/>
        <w:rPr>
          <w:bCs/>
          <w:color w:val="auto"/>
          <w:highlight w:val="none"/>
        </w:rPr>
      </w:pPr>
      <w:r>
        <w:rPr>
          <w:bCs/>
          <w:color w:val="auto"/>
          <w:highlight w:val="none"/>
        </w:rPr>
        <w:t xml:space="preserve"> </w:t>
      </w:r>
    </w:p>
    <w:p w14:paraId="6733BAF3">
      <w:pPr>
        <w:keepNext w:val="0"/>
        <w:keepLines w:val="0"/>
        <w:pageBreakBefore w:val="0"/>
        <w:widowControl w:val="0"/>
        <w:kinsoku/>
        <w:wordWrap/>
        <w:overflowPunct/>
        <w:topLinePunct w:val="0"/>
        <w:autoSpaceDE/>
        <w:autoSpaceDN/>
        <w:bidi w:val="0"/>
        <w:adjustRightInd/>
        <w:snapToGrid/>
        <w:ind w:firstLine="482" w:firstLineChars="200"/>
        <w:textAlignment w:val="auto"/>
        <w:rPr>
          <w:b/>
          <w:color w:val="auto"/>
          <w:highlight w:val="none"/>
        </w:rPr>
      </w:pPr>
      <w:r>
        <w:rPr>
          <w:b/>
          <w:color w:val="auto"/>
          <w:highlight w:val="none"/>
          <w:lang w:val="zh-CN"/>
        </w:rPr>
        <w:t>附图：</w:t>
      </w:r>
    </w:p>
    <w:p w14:paraId="4697DCA3">
      <w:pPr>
        <w:ind w:firstLine="480"/>
        <w:rPr>
          <w:bCs/>
          <w:color w:val="auto"/>
          <w:highlight w:val="none"/>
        </w:rPr>
      </w:pPr>
      <w:r>
        <w:rPr>
          <w:bCs/>
          <w:color w:val="auto"/>
          <w:highlight w:val="none"/>
        </w:rPr>
        <w:t>附图1 项目地理位置图</w:t>
      </w:r>
    </w:p>
    <w:p w14:paraId="4AF82352">
      <w:pPr>
        <w:ind w:firstLine="480"/>
        <w:rPr>
          <w:bCs/>
          <w:color w:val="auto"/>
          <w:highlight w:val="none"/>
        </w:rPr>
      </w:pPr>
      <w:r>
        <w:rPr>
          <w:bCs/>
          <w:color w:val="auto"/>
          <w:highlight w:val="none"/>
        </w:rPr>
        <w:t>附图2 项目区水系图</w:t>
      </w:r>
    </w:p>
    <w:p w14:paraId="2C6FCCEB">
      <w:pPr>
        <w:ind w:firstLine="480"/>
        <w:rPr>
          <w:bCs/>
          <w:color w:val="auto"/>
          <w:highlight w:val="none"/>
        </w:rPr>
      </w:pPr>
      <w:r>
        <w:rPr>
          <w:bCs/>
          <w:color w:val="auto"/>
          <w:highlight w:val="none"/>
        </w:rPr>
        <w:t>附图3</w:t>
      </w:r>
      <w:r>
        <w:rPr>
          <w:rFonts w:hint="eastAsia"/>
          <w:bCs/>
          <w:color w:val="auto"/>
          <w:highlight w:val="none"/>
          <w:lang w:val="en-US" w:eastAsia="zh-CN"/>
        </w:rPr>
        <w:t>-1</w:t>
      </w:r>
      <w:r>
        <w:rPr>
          <w:bCs/>
          <w:color w:val="auto"/>
          <w:highlight w:val="none"/>
        </w:rPr>
        <w:t xml:space="preserve"> 项目总平面布置图</w:t>
      </w:r>
    </w:p>
    <w:p w14:paraId="668430FD">
      <w:pPr>
        <w:ind w:firstLine="480"/>
        <w:rPr>
          <w:rFonts w:hint="default" w:eastAsia="宋体"/>
          <w:bCs/>
          <w:color w:val="auto"/>
          <w:highlight w:val="none"/>
          <w:lang w:val="en-US" w:eastAsia="zh-CN"/>
        </w:rPr>
      </w:pPr>
      <w:r>
        <w:rPr>
          <w:rFonts w:hint="eastAsia"/>
          <w:bCs/>
          <w:color w:val="auto"/>
          <w:highlight w:val="none"/>
          <w:lang w:val="en-US" w:eastAsia="zh-CN"/>
        </w:rPr>
        <w:t>附图3-2 破碎系统布置图</w:t>
      </w:r>
    </w:p>
    <w:p w14:paraId="58151BD3">
      <w:pPr>
        <w:ind w:firstLine="480"/>
        <w:rPr>
          <w:bCs/>
          <w:color w:val="auto"/>
          <w:highlight w:val="none"/>
        </w:rPr>
      </w:pPr>
      <w:r>
        <w:rPr>
          <w:bCs/>
          <w:color w:val="auto"/>
          <w:highlight w:val="none"/>
        </w:rPr>
        <w:t>附图4 项目周边关系图</w:t>
      </w:r>
    </w:p>
    <w:p w14:paraId="465EB1C4">
      <w:pPr>
        <w:ind w:firstLine="480"/>
        <w:rPr>
          <w:rFonts w:hint="default" w:eastAsia="宋体"/>
          <w:bCs/>
          <w:color w:val="auto"/>
          <w:highlight w:val="none"/>
          <w:lang w:val="en-US" w:eastAsia="zh-CN"/>
        </w:rPr>
      </w:pPr>
      <w:r>
        <w:rPr>
          <w:rFonts w:hint="eastAsia"/>
          <w:bCs/>
          <w:color w:val="auto"/>
          <w:highlight w:val="none"/>
          <w:lang w:val="en-US" w:eastAsia="zh-CN"/>
        </w:rPr>
        <w:t>附图5 项目开采终了平面布置图</w:t>
      </w:r>
    </w:p>
    <w:p w14:paraId="3CD9604B">
      <w:pPr>
        <w:ind w:firstLine="480"/>
        <w:rPr>
          <w:rFonts w:hint="default" w:eastAsia="宋体"/>
          <w:bCs/>
          <w:color w:val="auto"/>
          <w:highlight w:val="none"/>
          <w:lang w:val="en-US" w:eastAsia="zh-CN"/>
        </w:rPr>
      </w:pPr>
      <w:r>
        <w:rPr>
          <w:bCs/>
          <w:color w:val="auto"/>
          <w:highlight w:val="none"/>
        </w:rPr>
        <w:t>附图</w:t>
      </w:r>
      <w:r>
        <w:rPr>
          <w:rFonts w:hint="eastAsia"/>
          <w:bCs/>
          <w:color w:val="auto"/>
          <w:highlight w:val="none"/>
          <w:lang w:val="en-US" w:eastAsia="zh-CN"/>
        </w:rPr>
        <w:t>6</w:t>
      </w:r>
      <w:r>
        <w:rPr>
          <w:bCs/>
          <w:color w:val="auto"/>
          <w:highlight w:val="none"/>
        </w:rPr>
        <w:t xml:space="preserve"> 项目</w:t>
      </w:r>
      <w:r>
        <w:rPr>
          <w:rFonts w:hint="eastAsia"/>
          <w:bCs/>
          <w:color w:val="auto"/>
          <w:highlight w:val="none"/>
          <w:lang w:val="en-US" w:eastAsia="zh-CN"/>
        </w:rPr>
        <w:t>施工布置图</w:t>
      </w:r>
    </w:p>
    <w:p w14:paraId="7A4FF3A3">
      <w:pPr>
        <w:ind w:firstLine="480"/>
        <w:rPr>
          <w:rFonts w:hint="default" w:eastAsia="宋体"/>
          <w:bCs/>
          <w:color w:val="auto"/>
          <w:highlight w:val="none"/>
          <w:lang w:val="en-US" w:eastAsia="zh-CN"/>
        </w:rPr>
      </w:pPr>
      <w:r>
        <w:rPr>
          <w:bCs/>
          <w:color w:val="auto"/>
          <w:highlight w:val="none"/>
        </w:rPr>
        <w:t>附图</w:t>
      </w:r>
      <w:r>
        <w:rPr>
          <w:rFonts w:hint="eastAsia"/>
          <w:bCs/>
          <w:color w:val="auto"/>
          <w:highlight w:val="none"/>
          <w:lang w:val="en-US" w:eastAsia="zh-CN"/>
        </w:rPr>
        <w:t>7</w:t>
      </w:r>
      <w:r>
        <w:rPr>
          <w:bCs/>
          <w:color w:val="auto"/>
          <w:highlight w:val="none"/>
        </w:rPr>
        <w:t xml:space="preserve"> </w:t>
      </w:r>
      <w:r>
        <w:rPr>
          <w:rFonts w:hint="eastAsia"/>
          <w:bCs/>
          <w:color w:val="auto"/>
          <w:highlight w:val="none"/>
          <w:lang w:val="en-US" w:eastAsia="zh-CN"/>
        </w:rPr>
        <w:t>项目现状监测点位图</w:t>
      </w:r>
    </w:p>
    <w:p w14:paraId="68429E9C">
      <w:pPr>
        <w:ind w:firstLine="480"/>
        <w:rPr>
          <w:bCs/>
          <w:color w:val="auto"/>
          <w:highlight w:val="none"/>
        </w:rPr>
      </w:pPr>
      <w:r>
        <w:rPr>
          <w:bCs/>
          <w:color w:val="auto"/>
          <w:highlight w:val="none"/>
        </w:rPr>
        <w:t>附图</w:t>
      </w:r>
      <w:r>
        <w:rPr>
          <w:rFonts w:hint="eastAsia"/>
          <w:bCs/>
          <w:color w:val="auto"/>
          <w:highlight w:val="none"/>
          <w:lang w:val="en-US" w:eastAsia="zh-CN"/>
        </w:rPr>
        <w:t>8</w:t>
      </w:r>
      <w:r>
        <w:rPr>
          <w:bCs/>
          <w:color w:val="auto"/>
          <w:highlight w:val="none"/>
        </w:rPr>
        <w:t xml:space="preserve"> </w:t>
      </w:r>
      <w:r>
        <w:rPr>
          <w:rFonts w:hint="eastAsia"/>
          <w:bCs/>
          <w:color w:val="auto"/>
          <w:highlight w:val="none"/>
        </w:rPr>
        <w:t>项目生态评价范围</w:t>
      </w:r>
      <w:r>
        <w:rPr>
          <w:bCs/>
          <w:color w:val="auto"/>
          <w:highlight w:val="none"/>
        </w:rPr>
        <w:t>土地利用现状图</w:t>
      </w:r>
    </w:p>
    <w:p w14:paraId="75E2587A">
      <w:pPr>
        <w:ind w:firstLine="480"/>
        <w:rPr>
          <w:bCs/>
          <w:color w:val="auto"/>
          <w:highlight w:val="none"/>
        </w:rPr>
      </w:pPr>
      <w:r>
        <w:rPr>
          <w:bCs/>
          <w:color w:val="auto"/>
          <w:highlight w:val="none"/>
        </w:rPr>
        <w:t>附图</w:t>
      </w:r>
      <w:r>
        <w:rPr>
          <w:rFonts w:hint="eastAsia"/>
          <w:bCs/>
          <w:color w:val="auto"/>
          <w:highlight w:val="none"/>
          <w:lang w:val="en-US" w:eastAsia="zh-CN"/>
        </w:rPr>
        <w:t>9</w:t>
      </w:r>
      <w:r>
        <w:rPr>
          <w:bCs/>
          <w:color w:val="auto"/>
          <w:highlight w:val="none"/>
        </w:rPr>
        <w:t xml:space="preserve"> </w:t>
      </w:r>
      <w:r>
        <w:rPr>
          <w:rFonts w:hint="eastAsia"/>
          <w:bCs/>
          <w:color w:val="auto"/>
          <w:highlight w:val="none"/>
        </w:rPr>
        <w:t>项目生态评价范围</w:t>
      </w:r>
      <w:r>
        <w:rPr>
          <w:bCs/>
          <w:color w:val="auto"/>
          <w:highlight w:val="none"/>
        </w:rPr>
        <w:t>植被类型图</w:t>
      </w:r>
    </w:p>
    <w:p w14:paraId="54F7F7C6">
      <w:pPr>
        <w:ind w:firstLine="480"/>
        <w:rPr>
          <w:rFonts w:hint="eastAsia"/>
          <w:bCs/>
          <w:color w:val="auto"/>
          <w:highlight w:val="none"/>
        </w:rPr>
      </w:pPr>
      <w:r>
        <w:rPr>
          <w:rFonts w:hint="eastAsia"/>
          <w:bCs/>
          <w:color w:val="auto"/>
          <w:highlight w:val="none"/>
        </w:rPr>
        <w:t>附图</w:t>
      </w:r>
      <w:r>
        <w:rPr>
          <w:rFonts w:hint="eastAsia"/>
          <w:bCs/>
          <w:color w:val="auto"/>
          <w:highlight w:val="none"/>
          <w:lang w:val="en-US" w:eastAsia="zh-CN"/>
        </w:rPr>
        <w:t>10</w:t>
      </w:r>
      <w:r>
        <w:rPr>
          <w:rFonts w:hint="eastAsia"/>
          <w:bCs/>
          <w:color w:val="auto"/>
          <w:highlight w:val="none"/>
        </w:rPr>
        <w:t xml:space="preserve"> 项目监测</w:t>
      </w:r>
      <w:r>
        <w:rPr>
          <w:rFonts w:hint="eastAsia"/>
          <w:bCs/>
          <w:color w:val="auto"/>
          <w:highlight w:val="none"/>
          <w:lang w:val="en-US" w:eastAsia="zh-CN"/>
        </w:rPr>
        <w:t>计划点位分布图</w:t>
      </w:r>
    </w:p>
    <w:p w14:paraId="386BF015">
      <w:pPr>
        <w:ind w:firstLine="480"/>
        <w:rPr>
          <w:rFonts w:hint="default"/>
          <w:color w:val="auto"/>
          <w:lang w:val="en-US" w:eastAsia="zh-CN"/>
        </w:rPr>
        <w:sectPr>
          <w:headerReference r:id="rId7" w:type="default"/>
          <w:footerReference r:id="rId8" w:type="default"/>
          <w:pgSz w:w="11906" w:h="16838"/>
          <w:pgMar w:top="1440" w:right="1800" w:bottom="1440" w:left="1800" w:header="851" w:footer="992" w:gutter="0"/>
          <w:cols w:space="720" w:num="1"/>
          <w:docGrid w:type="lines" w:linePitch="312" w:charSpace="0"/>
        </w:sectPr>
      </w:pPr>
      <w:r>
        <w:rPr>
          <w:rFonts w:hint="eastAsia"/>
          <w:bCs/>
          <w:color w:val="auto"/>
          <w:highlight w:val="none"/>
          <w:lang w:val="en-US" w:eastAsia="zh-CN"/>
        </w:rPr>
        <w:t>附图11项目送审前公示截图</w:t>
      </w:r>
    </w:p>
    <w:p w14:paraId="74E02EAF">
      <w:pPr>
        <w:pStyle w:val="4"/>
        <w:jc w:val="center"/>
        <w:rPr>
          <w:color w:val="auto"/>
          <w:highlight w:val="none"/>
        </w:rPr>
      </w:pPr>
      <w:bookmarkStart w:id="5" w:name="_Toc16769"/>
      <w:r>
        <w:rPr>
          <w:color w:val="auto"/>
          <w:highlight w:val="none"/>
        </w:rPr>
        <w:t>一、建设项目基本情况</w:t>
      </w:r>
      <w:bookmarkEnd w:id="5"/>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7" w:type="dxa"/>
          <w:bottom w:w="0" w:type="dxa"/>
          <w:right w:w="57" w:type="dxa"/>
        </w:tblCellMar>
      </w:tblPr>
      <w:tblGrid>
        <w:gridCol w:w="513"/>
        <w:gridCol w:w="1111"/>
        <w:gridCol w:w="2229"/>
        <w:gridCol w:w="1762"/>
        <w:gridCol w:w="2805"/>
      </w:tblGrid>
      <w:tr w14:paraId="23EE29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31" w:hRule="atLeast"/>
          <w:jc w:val="center"/>
        </w:trPr>
        <w:tc>
          <w:tcPr>
            <w:tcW w:w="964" w:type="pct"/>
            <w:gridSpan w:val="2"/>
            <w:vAlign w:val="center"/>
          </w:tcPr>
          <w:p w14:paraId="576BD6AD">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项目名称</w:t>
            </w:r>
          </w:p>
        </w:tc>
        <w:tc>
          <w:tcPr>
            <w:tcW w:w="4035" w:type="pct"/>
            <w:gridSpan w:val="3"/>
            <w:vAlign w:val="center"/>
          </w:tcPr>
          <w:p w14:paraId="37D211A5">
            <w:pPr>
              <w:spacing w:line="240" w:lineRule="auto"/>
              <w:ind w:left="0" w:leftChars="0" w:firstLine="0" w:firstLineChars="0"/>
              <w:jc w:val="center"/>
              <w:rPr>
                <w:rFonts w:hint="default" w:ascii="Times New Roman" w:hAnsi="Times New Roman" w:cs="Times New Roman"/>
                <w:color w:val="auto"/>
                <w:szCs w:val="24"/>
                <w:highlight w:val="none"/>
              </w:rPr>
            </w:pPr>
            <w:r>
              <w:rPr>
                <w:rFonts w:hint="default" w:ascii="Times New Roman" w:hAnsi="Times New Roman" w:cs="Times New Roman"/>
                <w:color w:val="auto"/>
                <w:highlight w:val="none"/>
                <w:lang w:eastAsia="zh-CN"/>
              </w:rPr>
              <w:t>云南省寻甸县柯渡黄龙溏普通建筑材料用砂岩矿50万t/a扩建项目</w:t>
            </w:r>
          </w:p>
        </w:tc>
      </w:tr>
      <w:tr w14:paraId="52CF86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34" w:hRule="atLeast"/>
          <w:jc w:val="center"/>
        </w:trPr>
        <w:tc>
          <w:tcPr>
            <w:tcW w:w="964" w:type="pct"/>
            <w:gridSpan w:val="2"/>
            <w:vAlign w:val="center"/>
          </w:tcPr>
          <w:p w14:paraId="02C46E90">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项目代码</w:t>
            </w:r>
          </w:p>
        </w:tc>
        <w:tc>
          <w:tcPr>
            <w:tcW w:w="4035" w:type="pct"/>
            <w:gridSpan w:val="3"/>
            <w:vAlign w:val="center"/>
          </w:tcPr>
          <w:p w14:paraId="44D24C8D">
            <w:pPr>
              <w:spacing w:line="240" w:lineRule="auto"/>
              <w:ind w:firstLine="0" w:firstLineChars="0"/>
              <w:jc w:val="center"/>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2508-530129-04-01-381161</w:t>
            </w:r>
          </w:p>
        </w:tc>
      </w:tr>
      <w:tr w14:paraId="725B55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37" w:hRule="atLeast"/>
          <w:jc w:val="center"/>
        </w:trPr>
        <w:tc>
          <w:tcPr>
            <w:tcW w:w="964" w:type="pct"/>
            <w:gridSpan w:val="2"/>
            <w:vAlign w:val="center"/>
          </w:tcPr>
          <w:p w14:paraId="7E6AC5EF">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建设单位联系人</w:t>
            </w:r>
          </w:p>
        </w:tc>
        <w:tc>
          <w:tcPr>
            <w:tcW w:w="1323" w:type="pct"/>
            <w:vAlign w:val="center"/>
          </w:tcPr>
          <w:p w14:paraId="613870C9">
            <w:pPr>
              <w:spacing w:line="240" w:lineRule="auto"/>
              <w:ind w:firstLine="0" w:firstLineChars="0"/>
              <w:jc w:val="center"/>
              <w:rPr>
                <w:rFonts w:hint="default" w:ascii="Times New Roman" w:hAnsi="Times New Roman" w:eastAsia="宋体" w:cs="Times New Roman"/>
                <w:color w:val="auto"/>
                <w:highlight w:val="none"/>
                <w:lang w:val="en-US" w:eastAsia="zh-CN"/>
              </w:rPr>
            </w:pPr>
          </w:p>
        </w:tc>
        <w:tc>
          <w:tcPr>
            <w:tcW w:w="1046" w:type="pct"/>
            <w:vAlign w:val="center"/>
          </w:tcPr>
          <w:p w14:paraId="4D4BBEBD">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联系方式</w:t>
            </w:r>
          </w:p>
        </w:tc>
        <w:tc>
          <w:tcPr>
            <w:tcW w:w="1665" w:type="pct"/>
            <w:vAlign w:val="center"/>
          </w:tcPr>
          <w:p w14:paraId="6DE12BD4">
            <w:pPr>
              <w:spacing w:line="240" w:lineRule="auto"/>
              <w:ind w:firstLine="0" w:firstLineChars="0"/>
              <w:jc w:val="center"/>
              <w:rPr>
                <w:rFonts w:hint="default" w:ascii="Times New Roman" w:hAnsi="Times New Roman" w:eastAsia="宋体" w:cs="Times New Roman"/>
                <w:color w:val="auto"/>
                <w:highlight w:val="none"/>
                <w:lang w:val="en-US" w:eastAsia="zh-CN"/>
              </w:rPr>
            </w:pPr>
          </w:p>
        </w:tc>
      </w:tr>
      <w:tr w14:paraId="20DE73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72" w:hRule="atLeast"/>
          <w:jc w:val="center"/>
        </w:trPr>
        <w:tc>
          <w:tcPr>
            <w:tcW w:w="964" w:type="pct"/>
            <w:gridSpan w:val="2"/>
            <w:vAlign w:val="center"/>
          </w:tcPr>
          <w:p w14:paraId="34F2E32E">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建设地点</w:t>
            </w:r>
          </w:p>
        </w:tc>
        <w:tc>
          <w:tcPr>
            <w:tcW w:w="4035" w:type="pct"/>
            <w:gridSpan w:val="3"/>
            <w:vAlign w:val="center"/>
          </w:tcPr>
          <w:p w14:paraId="650235FF">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寻甸县柯渡镇乐郎村委会稗子田村境内</w:t>
            </w:r>
          </w:p>
        </w:tc>
      </w:tr>
      <w:tr w14:paraId="5292CE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62" w:hRule="atLeast"/>
          <w:jc w:val="center"/>
        </w:trPr>
        <w:tc>
          <w:tcPr>
            <w:tcW w:w="964" w:type="pct"/>
            <w:gridSpan w:val="2"/>
            <w:vAlign w:val="center"/>
          </w:tcPr>
          <w:p w14:paraId="10F32CEE">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地理坐标</w:t>
            </w:r>
          </w:p>
        </w:tc>
        <w:tc>
          <w:tcPr>
            <w:tcW w:w="4035" w:type="pct"/>
            <w:gridSpan w:val="3"/>
            <w:vAlign w:val="center"/>
          </w:tcPr>
          <w:p w14:paraId="5C0F5092">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b w:val="0"/>
                <w:bCs w:val="0"/>
                <w:color w:val="auto"/>
                <w:highlight w:val="none"/>
                <w:lang w:val="zh-CN" w:eastAsia="zh-CN"/>
              </w:rPr>
              <w:t>东经</w:t>
            </w:r>
            <w:r>
              <w:rPr>
                <w:rFonts w:hint="default" w:ascii="Times New Roman" w:hAnsi="Times New Roman" w:eastAsia="宋体" w:cs="Times New Roman"/>
                <w:b w:val="0"/>
                <w:bCs w:val="0"/>
                <w:color w:val="auto"/>
                <w:highlight w:val="none"/>
                <w:lang w:val="en-US" w:eastAsia="zh-CN"/>
              </w:rPr>
              <w:t>102°46′54.74″</w:t>
            </w:r>
            <w:r>
              <w:rPr>
                <w:rFonts w:hint="default" w:ascii="Times New Roman" w:hAnsi="Times New Roman" w:eastAsia="宋体" w:cs="Times New Roman"/>
                <w:b w:val="0"/>
                <w:bCs w:val="0"/>
                <w:color w:val="auto"/>
                <w:highlight w:val="none"/>
                <w:lang w:val="zh-CN" w:eastAsia="zh-CN"/>
              </w:rPr>
              <w:t>，北纬</w:t>
            </w:r>
            <w:r>
              <w:rPr>
                <w:rFonts w:hint="default" w:ascii="Times New Roman" w:hAnsi="Times New Roman" w:eastAsia="宋体" w:cs="Times New Roman"/>
                <w:b w:val="0"/>
                <w:bCs w:val="0"/>
                <w:color w:val="auto"/>
                <w:highlight w:val="none"/>
                <w:lang w:val="en-US" w:eastAsia="zh-CN"/>
              </w:rPr>
              <w:t>25°29′31.04″</w:t>
            </w:r>
          </w:p>
        </w:tc>
      </w:tr>
      <w:tr w14:paraId="654F0E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54" w:hRule="atLeast"/>
          <w:jc w:val="center"/>
        </w:trPr>
        <w:tc>
          <w:tcPr>
            <w:tcW w:w="964" w:type="pct"/>
            <w:gridSpan w:val="2"/>
            <w:vAlign w:val="center"/>
          </w:tcPr>
          <w:p w14:paraId="64F6A5FA">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建设项目</w:t>
            </w:r>
          </w:p>
          <w:p w14:paraId="654A53F1">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行业类别</w:t>
            </w:r>
          </w:p>
        </w:tc>
        <w:tc>
          <w:tcPr>
            <w:tcW w:w="1323" w:type="pct"/>
            <w:vAlign w:val="center"/>
          </w:tcPr>
          <w:p w14:paraId="6F832282">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八、非金属矿采选业10_土砂石开采101（不含河道采砂项目）</w:t>
            </w:r>
          </w:p>
        </w:tc>
        <w:tc>
          <w:tcPr>
            <w:tcW w:w="1046" w:type="pct"/>
            <w:vAlign w:val="center"/>
          </w:tcPr>
          <w:p w14:paraId="14CFCCE4">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用地（用海）面积（m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）/长度（km）</w:t>
            </w:r>
          </w:p>
        </w:tc>
        <w:tc>
          <w:tcPr>
            <w:tcW w:w="1665" w:type="pct"/>
            <w:vAlign w:val="center"/>
          </w:tcPr>
          <w:p w14:paraId="02F3FD74">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69915</w:t>
            </w:r>
            <w:r>
              <w:rPr>
                <w:rFonts w:hint="default" w:ascii="Times New Roman" w:hAnsi="Times New Roman" w:eastAsia="宋体" w:cs="Times New Roman"/>
                <w:color w:val="auto"/>
                <w:highlight w:val="none"/>
                <w:lang w:eastAsia="zh-CN"/>
              </w:rPr>
              <w:t>m</w:t>
            </w:r>
            <w:r>
              <w:rPr>
                <w:rFonts w:hint="default" w:ascii="Times New Roman" w:hAnsi="Times New Roman" w:eastAsia="宋体" w:cs="Times New Roman"/>
                <w:color w:val="auto"/>
                <w:highlight w:val="none"/>
                <w:vertAlign w:val="superscript"/>
                <w:lang w:eastAsia="zh-CN"/>
              </w:rPr>
              <w:t>2</w:t>
            </w:r>
          </w:p>
        </w:tc>
      </w:tr>
      <w:tr w14:paraId="4A2457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1278" w:hRule="atLeast"/>
          <w:jc w:val="center"/>
        </w:trPr>
        <w:tc>
          <w:tcPr>
            <w:tcW w:w="964" w:type="pct"/>
            <w:gridSpan w:val="2"/>
            <w:vAlign w:val="center"/>
          </w:tcPr>
          <w:p w14:paraId="24EF0987">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建设性质</w:t>
            </w:r>
          </w:p>
        </w:tc>
        <w:tc>
          <w:tcPr>
            <w:tcW w:w="1323" w:type="pct"/>
            <w:vAlign w:val="center"/>
          </w:tcPr>
          <w:p w14:paraId="014D4EA6">
            <w:pPr>
              <w:spacing w:line="240" w:lineRule="auto"/>
              <w:ind w:firstLine="0" w:firstLineChars="0"/>
              <w:jc w:val="left"/>
              <w:rPr>
                <w:rFonts w:hint="default" w:ascii="Times New Roman" w:hAnsi="Times New Roman" w:cs="Times New Roman"/>
                <w:color w:val="auto"/>
                <w:highlight w:val="none"/>
              </w:rPr>
            </w:pPr>
            <w:r>
              <w:rPr>
                <w:rFonts w:hint="default" w:ascii="Times New Roman" w:hAnsi="Times New Roman" w:cs="Times New Roman" w:eastAsiaTheme="minorEastAsia"/>
                <w:color w:val="auto"/>
                <w:highlight w:val="none"/>
              </w:rPr>
              <w:t>□</w:t>
            </w:r>
            <w:r>
              <w:rPr>
                <w:rFonts w:hint="default" w:ascii="Times New Roman" w:hAnsi="Times New Roman" w:cs="Times New Roman"/>
                <w:color w:val="auto"/>
                <w:highlight w:val="none"/>
              </w:rPr>
              <w:t>新建（迁建）</w:t>
            </w:r>
          </w:p>
          <w:p w14:paraId="0DCED82D">
            <w:pPr>
              <w:spacing w:line="240" w:lineRule="auto"/>
              <w:ind w:firstLine="0" w:firstLineChars="0"/>
              <w:jc w:val="left"/>
              <w:rPr>
                <w:rFonts w:hint="default" w:ascii="Times New Roman" w:hAnsi="Times New Roman" w:cs="Times New Roman"/>
                <w:color w:val="auto"/>
                <w:highlight w:val="none"/>
              </w:rPr>
            </w:pPr>
            <w:r>
              <w:rPr>
                <w:rFonts w:hint="default" w:ascii="Times New Roman" w:hAnsi="Times New Roman" w:cs="Times New Roman" w:eastAsiaTheme="minorEastAsia"/>
                <w:color w:val="auto"/>
                <w:highlight w:val="none"/>
              </w:rPr>
              <w:t>□</w:t>
            </w:r>
            <w:r>
              <w:rPr>
                <w:rFonts w:hint="default" w:ascii="Times New Roman" w:hAnsi="Times New Roman" w:cs="Times New Roman"/>
                <w:color w:val="auto"/>
                <w:highlight w:val="none"/>
              </w:rPr>
              <w:t>改建</w:t>
            </w:r>
          </w:p>
          <w:p w14:paraId="5347EDB8">
            <w:pPr>
              <w:spacing w:line="240" w:lineRule="auto"/>
              <w:ind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2" w:char="0052"/>
            </w:r>
            <w:r>
              <w:rPr>
                <w:rFonts w:hint="default" w:ascii="Times New Roman" w:hAnsi="Times New Roman" w:cs="Times New Roman"/>
                <w:color w:val="auto"/>
                <w:highlight w:val="none"/>
              </w:rPr>
              <w:t>扩建</w:t>
            </w:r>
          </w:p>
          <w:p w14:paraId="09779A1B">
            <w:pPr>
              <w:spacing w:line="240" w:lineRule="auto"/>
              <w:ind w:firstLine="0" w:firstLineChars="0"/>
              <w:jc w:val="left"/>
              <w:rPr>
                <w:rFonts w:hint="default" w:ascii="Times New Roman" w:hAnsi="Times New Roman" w:cs="Times New Roman"/>
                <w:color w:val="auto"/>
                <w:highlight w:val="none"/>
              </w:rPr>
            </w:pPr>
            <w:r>
              <w:rPr>
                <w:rFonts w:hint="default" w:ascii="Times New Roman" w:hAnsi="Times New Roman" w:cs="Times New Roman" w:eastAsiaTheme="minorEastAsia"/>
                <w:color w:val="auto"/>
                <w:highlight w:val="none"/>
              </w:rPr>
              <w:t>□</w:t>
            </w:r>
            <w:r>
              <w:rPr>
                <w:rFonts w:hint="default" w:ascii="Times New Roman" w:hAnsi="Times New Roman" w:cs="Times New Roman"/>
                <w:color w:val="auto"/>
                <w:highlight w:val="none"/>
              </w:rPr>
              <w:t>技术改造</w:t>
            </w:r>
          </w:p>
        </w:tc>
        <w:tc>
          <w:tcPr>
            <w:tcW w:w="1046" w:type="pct"/>
            <w:vAlign w:val="center"/>
          </w:tcPr>
          <w:p w14:paraId="4C5FA8F8">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建设项目</w:t>
            </w:r>
          </w:p>
          <w:p w14:paraId="0CE1FD8D">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申报情况</w:t>
            </w:r>
          </w:p>
        </w:tc>
        <w:tc>
          <w:tcPr>
            <w:tcW w:w="1665" w:type="pct"/>
            <w:vAlign w:val="center"/>
          </w:tcPr>
          <w:p w14:paraId="54C8BA53">
            <w:pPr>
              <w:spacing w:line="240" w:lineRule="auto"/>
              <w:ind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2" w:char="0052"/>
            </w:r>
            <w:r>
              <w:rPr>
                <w:rFonts w:hint="default" w:ascii="Times New Roman" w:hAnsi="Times New Roman" w:cs="Times New Roman"/>
                <w:color w:val="auto"/>
                <w:highlight w:val="none"/>
              </w:rPr>
              <w:t>首次申报项目</w:t>
            </w:r>
          </w:p>
          <w:p w14:paraId="33A0F385">
            <w:pPr>
              <w:spacing w:line="240" w:lineRule="auto"/>
              <w:ind w:firstLine="0" w:firstLineChars="0"/>
              <w:jc w:val="left"/>
              <w:rPr>
                <w:rFonts w:hint="default" w:ascii="Times New Roman" w:hAnsi="Times New Roman" w:cs="Times New Roman"/>
                <w:color w:val="auto"/>
                <w:highlight w:val="none"/>
              </w:rPr>
            </w:pPr>
            <w:r>
              <w:rPr>
                <w:rFonts w:hint="default" w:ascii="Times New Roman" w:hAnsi="Times New Roman" w:cs="Times New Roman" w:eastAsiaTheme="minorEastAsia"/>
                <w:color w:val="auto"/>
                <w:highlight w:val="none"/>
              </w:rPr>
              <w:t>□</w:t>
            </w:r>
            <w:r>
              <w:rPr>
                <w:rFonts w:hint="default" w:ascii="Times New Roman" w:hAnsi="Times New Roman" w:cs="Times New Roman"/>
                <w:color w:val="auto"/>
                <w:highlight w:val="none"/>
              </w:rPr>
              <w:t>不予批准后再次申报项目</w:t>
            </w:r>
          </w:p>
          <w:p w14:paraId="40AB0856">
            <w:pPr>
              <w:spacing w:line="240" w:lineRule="auto"/>
              <w:ind w:firstLine="0" w:firstLineChars="0"/>
              <w:jc w:val="left"/>
              <w:rPr>
                <w:rFonts w:hint="default" w:ascii="Times New Roman" w:hAnsi="Times New Roman" w:cs="Times New Roman"/>
                <w:color w:val="auto"/>
                <w:highlight w:val="none"/>
              </w:rPr>
            </w:pPr>
            <w:r>
              <w:rPr>
                <w:rFonts w:hint="default" w:ascii="Times New Roman" w:hAnsi="Times New Roman" w:cs="Times New Roman" w:eastAsiaTheme="minorEastAsia"/>
                <w:color w:val="auto"/>
                <w:highlight w:val="none"/>
              </w:rPr>
              <w:t>□</w:t>
            </w:r>
            <w:r>
              <w:rPr>
                <w:rFonts w:hint="default" w:ascii="Times New Roman" w:hAnsi="Times New Roman" w:cs="Times New Roman"/>
                <w:color w:val="auto"/>
                <w:highlight w:val="none"/>
              </w:rPr>
              <w:t>超五年重新审核项目</w:t>
            </w:r>
          </w:p>
          <w:p w14:paraId="7C6BAEF8">
            <w:pPr>
              <w:spacing w:line="240" w:lineRule="auto"/>
              <w:ind w:firstLine="0" w:firstLineChars="0"/>
              <w:jc w:val="left"/>
              <w:rPr>
                <w:rFonts w:hint="default" w:ascii="Times New Roman" w:hAnsi="Times New Roman" w:cs="Times New Roman"/>
                <w:color w:val="auto"/>
                <w:highlight w:val="none"/>
              </w:rPr>
            </w:pPr>
            <w:r>
              <w:rPr>
                <w:rFonts w:hint="default" w:ascii="Times New Roman" w:hAnsi="Times New Roman" w:cs="Times New Roman" w:eastAsiaTheme="minorEastAsia"/>
                <w:color w:val="auto"/>
                <w:highlight w:val="none"/>
              </w:rPr>
              <w:t>□</w:t>
            </w:r>
            <w:r>
              <w:rPr>
                <w:rFonts w:hint="default" w:ascii="Times New Roman" w:hAnsi="Times New Roman" w:cs="Times New Roman"/>
                <w:color w:val="auto"/>
                <w:highlight w:val="none"/>
              </w:rPr>
              <w:t>重大变动重新报批项目</w:t>
            </w:r>
          </w:p>
        </w:tc>
      </w:tr>
      <w:tr w14:paraId="28E1CE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727" w:hRule="atLeast"/>
          <w:jc w:val="center"/>
        </w:trPr>
        <w:tc>
          <w:tcPr>
            <w:tcW w:w="964" w:type="pct"/>
            <w:gridSpan w:val="2"/>
            <w:vAlign w:val="center"/>
          </w:tcPr>
          <w:p w14:paraId="6F334514">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项目审批（核准/备案）部门</w:t>
            </w:r>
          </w:p>
        </w:tc>
        <w:tc>
          <w:tcPr>
            <w:tcW w:w="1323" w:type="pct"/>
            <w:vAlign w:val="center"/>
          </w:tcPr>
          <w:p w14:paraId="1CEDF785">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寻甸回族彝族自治县发展和改革局</w:t>
            </w:r>
          </w:p>
        </w:tc>
        <w:tc>
          <w:tcPr>
            <w:tcW w:w="1046" w:type="pct"/>
            <w:vAlign w:val="center"/>
          </w:tcPr>
          <w:p w14:paraId="703D687A">
            <w:pPr>
              <w:spacing w:line="240" w:lineRule="auto"/>
              <w:ind w:firstLine="0" w:firstLineChars="0"/>
              <w:jc w:val="center"/>
              <w:rPr>
                <w:rFonts w:hint="default" w:ascii="Times New Roman" w:hAnsi="Times New Roman" w:cs="Times New Roman"/>
                <w:color w:val="auto"/>
                <w:w w:val="80"/>
                <w:highlight w:val="none"/>
              </w:rPr>
            </w:pPr>
            <w:r>
              <w:rPr>
                <w:rFonts w:hint="default" w:ascii="Times New Roman" w:hAnsi="Times New Roman" w:cs="Times New Roman"/>
                <w:color w:val="auto"/>
                <w:highlight w:val="none"/>
              </w:rPr>
              <w:t>项目审批（核准/备案）文号</w:t>
            </w:r>
          </w:p>
        </w:tc>
        <w:tc>
          <w:tcPr>
            <w:tcW w:w="1665" w:type="pct"/>
            <w:vAlign w:val="center"/>
          </w:tcPr>
          <w:p w14:paraId="7EDE153D">
            <w:pPr>
              <w:spacing w:line="240" w:lineRule="auto"/>
              <w:ind w:right="-58" w:rightChars="-24"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2508-530129-04-01-381161</w:t>
            </w:r>
          </w:p>
        </w:tc>
      </w:tr>
      <w:tr w14:paraId="18A300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563" w:hRule="atLeast"/>
          <w:jc w:val="center"/>
        </w:trPr>
        <w:tc>
          <w:tcPr>
            <w:tcW w:w="964" w:type="pct"/>
            <w:gridSpan w:val="2"/>
            <w:vAlign w:val="center"/>
          </w:tcPr>
          <w:p w14:paraId="79B64302">
            <w:pPr>
              <w:spacing w:line="240" w:lineRule="auto"/>
              <w:ind w:firstLine="0" w:firstLineChars="0"/>
              <w:jc w:val="center"/>
              <w:rPr>
                <w:rFonts w:hint="default" w:ascii="Times New Roman" w:hAnsi="Times New Roman" w:eastAsia="宋体" w:cs="Times New Roman"/>
                <w:color w:val="auto"/>
                <w:spacing w:val="-22"/>
                <w:highlight w:val="none"/>
                <w:lang w:eastAsia="zh-CN"/>
              </w:rPr>
            </w:pPr>
            <w:r>
              <w:rPr>
                <w:rFonts w:hint="default" w:ascii="Times New Roman" w:hAnsi="Times New Roman" w:cs="Times New Roman"/>
                <w:color w:val="auto"/>
                <w:spacing w:val="-22"/>
                <w:highlight w:val="none"/>
              </w:rPr>
              <w:t>总投资</w:t>
            </w:r>
            <w:r>
              <w:rPr>
                <w:rFonts w:hint="default" w:ascii="Times New Roman" w:hAnsi="Times New Roman" w:cs="Times New Roman"/>
                <w:color w:val="auto"/>
                <w:spacing w:val="-22"/>
                <w:highlight w:val="none"/>
                <w:lang w:eastAsia="zh-CN"/>
              </w:rPr>
              <w:t>（</w:t>
            </w:r>
            <w:r>
              <w:rPr>
                <w:rFonts w:hint="default" w:ascii="Times New Roman" w:hAnsi="Times New Roman" w:cs="Times New Roman"/>
                <w:color w:val="auto"/>
                <w:spacing w:val="-22"/>
                <w:highlight w:val="none"/>
                <w:lang w:val="en-US" w:eastAsia="zh-CN"/>
              </w:rPr>
              <w:t>万元</w:t>
            </w:r>
            <w:r>
              <w:rPr>
                <w:rFonts w:hint="default" w:ascii="Times New Roman" w:hAnsi="Times New Roman" w:cs="Times New Roman"/>
                <w:color w:val="auto"/>
                <w:spacing w:val="-22"/>
                <w:highlight w:val="none"/>
                <w:lang w:eastAsia="zh-CN"/>
              </w:rPr>
              <w:t>）</w:t>
            </w:r>
          </w:p>
        </w:tc>
        <w:tc>
          <w:tcPr>
            <w:tcW w:w="1323" w:type="pct"/>
            <w:vAlign w:val="center"/>
          </w:tcPr>
          <w:p w14:paraId="6035AEA4">
            <w:pPr>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707.93</w:t>
            </w:r>
          </w:p>
        </w:tc>
        <w:tc>
          <w:tcPr>
            <w:tcW w:w="1046" w:type="pct"/>
            <w:vAlign w:val="center"/>
          </w:tcPr>
          <w:p w14:paraId="0679C0CB">
            <w:pPr>
              <w:spacing w:line="240" w:lineRule="auto"/>
              <w:ind w:left="-122" w:leftChars="-51" w:firstLine="0" w:firstLineChars="0"/>
              <w:jc w:val="center"/>
              <w:rPr>
                <w:rFonts w:hint="default" w:ascii="Times New Roman" w:hAnsi="Times New Roman" w:cs="Times New Roman"/>
                <w:color w:val="auto"/>
                <w:spacing w:val="-18"/>
                <w:highlight w:val="none"/>
              </w:rPr>
            </w:pPr>
            <w:r>
              <w:rPr>
                <w:rFonts w:hint="default" w:ascii="Times New Roman" w:hAnsi="Times New Roman" w:cs="Times New Roman"/>
                <w:color w:val="auto"/>
                <w:spacing w:val="-18"/>
                <w:highlight w:val="none"/>
              </w:rPr>
              <w:t>环保投资</w:t>
            </w:r>
            <w:r>
              <w:rPr>
                <w:rFonts w:hint="default" w:ascii="Times New Roman" w:hAnsi="Times New Roman" w:cs="Times New Roman"/>
                <w:color w:val="auto"/>
                <w:spacing w:val="-22"/>
                <w:highlight w:val="none"/>
                <w:lang w:eastAsia="zh-CN"/>
              </w:rPr>
              <w:t>（</w:t>
            </w:r>
            <w:r>
              <w:rPr>
                <w:rFonts w:hint="default" w:ascii="Times New Roman" w:hAnsi="Times New Roman" w:cs="Times New Roman"/>
                <w:color w:val="auto"/>
                <w:spacing w:val="-22"/>
                <w:highlight w:val="none"/>
                <w:lang w:val="en-US" w:eastAsia="zh-CN"/>
              </w:rPr>
              <w:t>万元</w:t>
            </w:r>
            <w:r>
              <w:rPr>
                <w:rFonts w:hint="default" w:ascii="Times New Roman" w:hAnsi="Times New Roman" w:cs="Times New Roman"/>
                <w:color w:val="auto"/>
                <w:spacing w:val="-22"/>
                <w:highlight w:val="none"/>
                <w:lang w:eastAsia="zh-CN"/>
              </w:rPr>
              <w:t>）</w:t>
            </w:r>
          </w:p>
        </w:tc>
        <w:tc>
          <w:tcPr>
            <w:tcW w:w="1665" w:type="pct"/>
            <w:vAlign w:val="center"/>
          </w:tcPr>
          <w:p w14:paraId="07E5DEDA">
            <w:pPr>
              <w:spacing w:line="240" w:lineRule="auto"/>
              <w:ind w:right="-65" w:rightChars="-27"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108.45</w:t>
            </w:r>
          </w:p>
        </w:tc>
      </w:tr>
      <w:tr w14:paraId="33D964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359" w:hRule="atLeast"/>
          <w:jc w:val="center"/>
        </w:trPr>
        <w:tc>
          <w:tcPr>
            <w:tcW w:w="964" w:type="pct"/>
            <w:gridSpan w:val="2"/>
            <w:vAlign w:val="center"/>
          </w:tcPr>
          <w:p w14:paraId="4044D42D">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环保投资占比（%）</w:t>
            </w:r>
          </w:p>
        </w:tc>
        <w:tc>
          <w:tcPr>
            <w:tcW w:w="1323" w:type="pct"/>
            <w:vAlign w:val="center"/>
          </w:tcPr>
          <w:p w14:paraId="2B8C8EB3">
            <w:pPr>
              <w:spacing w:line="240" w:lineRule="auto"/>
              <w:ind w:firstLine="0" w:firstLineChars="0"/>
              <w:jc w:val="center"/>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15.42</w:t>
            </w:r>
          </w:p>
        </w:tc>
        <w:tc>
          <w:tcPr>
            <w:tcW w:w="1046" w:type="pct"/>
            <w:vAlign w:val="center"/>
          </w:tcPr>
          <w:p w14:paraId="4A4B4663">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施工工期</w:t>
            </w:r>
          </w:p>
        </w:tc>
        <w:tc>
          <w:tcPr>
            <w:tcW w:w="1665" w:type="pct"/>
            <w:vAlign w:val="center"/>
          </w:tcPr>
          <w:p w14:paraId="44D82A3E">
            <w:pPr>
              <w:spacing w:line="240" w:lineRule="auto"/>
              <w:ind w:firstLine="0" w:firstLineChars="0"/>
              <w:jc w:val="center"/>
              <w:rPr>
                <w:rFonts w:hint="default" w:ascii="Times New Roman" w:hAnsi="Times New Roman" w:cs="Times New Roman"/>
                <w:color w:val="auto"/>
                <w:highlight w:val="none"/>
              </w:rPr>
            </w:pPr>
            <w:r>
              <w:rPr>
                <w:rFonts w:hint="eastAsia" w:cs="Times New Roman"/>
                <w:color w:val="auto"/>
                <w:highlight w:val="none"/>
                <w:lang w:val="en-US" w:eastAsia="zh-CN"/>
              </w:rPr>
              <w:t>6</w:t>
            </w:r>
            <w:r>
              <w:rPr>
                <w:rFonts w:hint="default" w:ascii="Times New Roman" w:hAnsi="Times New Roman" w:cs="Times New Roman"/>
                <w:color w:val="auto"/>
                <w:highlight w:val="none"/>
              </w:rPr>
              <w:t>个月</w:t>
            </w:r>
          </w:p>
        </w:tc>
      </w:tr>
      <w:tr w14:paraId="51A637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654" w:hRule="atLeast"/>
          <w:jc w:val="center"/>
        </w:trPr>
        <w:tc>
          <w:tcPr>
            <w:tcW w:w="964" w:type="pct"/>
            <w:gridSpan w:val="2"/>
            <w:vAlign w:val="center"/>
          </w:tcPr>
          <w:p w14:paraId="35DFB378">
            <w:pPr>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是否开工建设</w:t>
            </w:r>
          </w:p>
        </w:tc>
        <w:tc>
          <w:tcPr>
            <w:tcW w:w="4035" w:type="pct"/>
            <w:gridSpan w:val="3"/>
            <w:vAlign w:val="center"/>
          </w:tcPr>
          <w:p w14:paraId="61F4C248">
            <w:pPr>
              <w:spacing w:line="240" w:lineRule="auto"/>
              <w:ind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sym w:font="Wingdings 2" w:char="0052"/>
            </w:r>
            <w:r>
              <w:rPr>
                <w:rFonts w:hint="default" w:ascii="Times New Roman" w:hAnsi="Times New Roman" w:cs="Times New Roman"/>
                <w:color w:val="auto"/>
                <w:highlight w:val="none"/>
              </w:rPr>
              <w:t>否：</w:t>
            </w:r>
          </w:p>
          <w:p w14:paraId="05CE2D22">
            <w:pPr>
              <w:spacing w:line="240" w:lineRule="auto"/>
              <w:ind w:firstLine="0" w:firstLineChars="0"/>
              <w:jc w:val="left"/>
              <w:rPr>
                <w:rFonts w:hint="default" w:ascii="Times New Roman" w:hAnsi="Times New Roman" w:cs="Times New Roman"/>
                <w:color w:val="auto"/>
                <w:highlight w:val="none"/>
                <w:u w:val="single"/>
              </w:rPr>
            </w:pPr>
            <w:r>
              <w:rPr>
                <w:rFonts w:hint="default" w:ascii="Times New Roman" w:hAnsi="Times New Roman" w:cs="Times New Roman" w:eastAsiaTheme="minorEastAsia"/>
                <w:color w:val="auto"/>
                <w:highlight w:val="none"/>
                <w:lang w:eastAsia="zh-CN"/>
              </w:rPr>
              <w:t>□</w:t>
            </w:r>
            <w:r>
              <w:rPr>
                <w:rFonts w:hint="default" w:ascii="Times New Roman" w:hAnsi="Times New Roman" w:cs="Times New Roman"/>
                <w:color w:val="auto"/>
                <w:highlight w:val="none"/>
              </w:rPr>
              <w:t>是</w:t>
            </w:r>
          </w:p>
        </w:tc>
      </w:tr>
      <w:tr w14:paraId="32627F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98" w:hRule="atLeast"/>
          <w:jc w:val="center"/>
        </w:trPr>
        <w:tc>
          <w:tcPr>
            <w:tcW w:w="304" w:type="pct"/>
            <w:vAlign w:val="center"/>
          </w:tcPr>
          <w:p w14:paraId="709FEB00">
            <w:pPr>
              <w:snapToGrid w:val="0"/>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专项评价设置情况</w:t>
            </w:r>
          </w:p>
        </w:tc>
        <w:tc>
          <w:tcPr>
            <w:tcW w:w="4695" w:type="pct"/>
            <w:gridSpan w:val="4"/>
            <w:vAlign w:val="center"/>
          </w:tcPr>
          <w:p w14:paraId="4207528A">
            <w:pPr>
              <w:spacing w:before="156" w:beforeLines="50"/>
              <w:ind w:firstLine="480"/>
              <w:rPr>
                <w:rFonts w:hint="default" w:ascii="Times New Roman" w:hAnsi="Times New Roman" w:cs="Times New Roman"/>
                <w:bCs/>
                <w:color w:val="auto"/>
                <w:szCs w:val="24"/>
                <w:highlight w:val="none"/>
              </w:rPr>
            </w:pPr>
            <w:r>
              <w:rPr>
                <w:rFonts w:hint="default" w:ascii="Times New Roman" w:hAnsi="Times New Roman" w:cs="Times New Roman"/>
                <w:bCs/>
                <w:color w:val="auto"/>
                <w:szCs w:val="24"/>
                <w:highlight w:val="none"/>
              </w:rPr>
              <w:t>根据《建设项目环境影响报告表编制技术指南（生态影响类）》（试行），本项目专项评价设置情况见下表：</w:t>
            </w:r>
          </w:p>
          <w:p w14:paraId="2DF65592">
            <w:pPr>
              <w:spacing w:line="240" w:lineRule="auto"/>
              <w:ind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表1-1  专项评价设置判定表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937"/>
              <w:gridCol w:w="3456"/>
              <w:gridCol w:w="2494"/>
              <w:gridCol w:w="897"/>
            </w:tblGrid>
            <w:tr w14:paraId="5203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01" w:type="pct"/>
                  <w:tcBorders>
                    <w:top w:val="single" w:color="auto" w:sz="4" w:space="0"/>
                    <w:left w:val="single" w:color="auto" w:sz="4" w:space="0"/>
                    <w:bottom w:val="single" w:color="auto" w:sz="4" w:space="0"/>
                    <w:right w:val="single" w:color="auto" w:sz="4" w:space="0"/>
                  </w:tcBorders>
                  <w:vAlign w:val="center"/>
                </w:tcPr>
                <w:p w14:paraId="5E3D88EB">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专项评价类别</w:t>
                  </w:r>
                </w:p>
              </w:tc>
              <w:tc>
                <w:tcPr>
                  <w:tcW w:w="2219" w:type="pct"/>
                  <w:tcBorders>
                    <w:top w:val="single" w:color="auto" w:sz="4" w:space="0"/>
                    <w:left w:val="single" w:color="auto" w:sz="4" w:space="0"/>
                    <w:bottom w:val="single" w:color="auto" w:sz="4" w:space="0"/>
                    <w:right w:val="single" w:color="auto" w:sz="4" w:space="0"/>
                  </w:tcBorders>
                  <w:vAlign w:val="center"/>
                </w:tcPr>
                <w:p w14:paraId="79BA9920">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涉及项目类别</w:t>
                  </w:r>
                </w:p>
              </w:tc>
              <w:tc>
                <w:tcPr>
                  <w:tcW w:w="1602" w:type="pct"/>
                  <w:tcBorders>
                    <w:top w:val="single" w:color="auto" w:sz="4" w:space="0"/>
                    <w:left w:val="single" w:color="auto" w:sz="4" w:space="0"/>
                    <w:bottom w:val="single" w:color="auto" w:sz="4" w:space="0"/>
                    <w:right w:val="single" w:color="auto" w:sz="4" w:space="0"/>
                  </w:tcBorders>
                  <w:vAlign w:val="center"/>
                </w:tcPr>
                <w:p w14:paraId="06916733">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4"/>
                      <w:highlight w:val="none"/>
                    </w:rPr>
                    <w:t>本项目情况</w:t>
                  </w:r>
                </w:p>
              </w:tc>
              <w:tc>
                <w:tcPr>
                  <w:tcW w:w="576" w:type="pct"/>
                  <w:tcBorders>
                    <w:top w:val="single" w:color="auto" w:sz="4" w:space="0"/>
                    <w:left w:val="single" w:color="auto" w:sz="4" w:space="0"/>
                    <w:bottom w:val="single" w:color="auto" w:sz="4" w:space="0"/>
                    <w:right w:val="single" w:color="auto" w:sz="4" w:space="0"/>
                  </w:tcBorders>
                  <w:vAlign w:val="center"/>
                </w:tcPr>
                <w:p w14:paraId="1330CBB3">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4"/>
                      <w:highlight w:val="none"/>
                    </w:rPr>
                    <w:t>是否设置专项</w:t>
                  </w:r>
                </w:p>
              </w:tc>
            </w:tr>
            <w:tr w14:paraId="68E7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01" w:type="pct"/>
                  <w:tcBorders>
                    <w:top w:val="single" w:color="auto" w:sz="4" w:space="0"/>
                    <w:left w:val="single" w:color="auto" w:sz="4" w:space="0"/>
                    <w:bottom w:val="single" w:color="auto" w:sz="4" w:space="0"/>
                    <w:right w:val="single" w:color="auto" w:sz="4" w:space="0"/>
                  </w:tcBorders>
                  <w:vAlign w:val="center"/>
                </w:tcPr>
                <w:p w14:paraId="61BC60F9">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地表水</w:t>
                  </w:r>
                </w:p>
              </w:tc>
              <w:tc>
                <w:tcPr>
                  <w:tcW w:w="2219" w:type="pct"/>
                  <w:tcBorders>
                    <w:top w:val="single" w:color="auto" w:sz="4" w:space="0"/>
                    <w:left w:val="single" w:color="auto" w:sz="4" w:space="0"/>
                    <w:bottom w:val="single" w:color="auto" w:sz="4" w:space="0"/>
                    <w:right w:val="single" w:color="auto" w:sz="4" w:space="0"/>
                  </w:tcBorders>
                  <w:vAlign w:val="center"/>
                </w:tcPr>
                <w:p w14:paraId="12E12A25">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水力发电：引水式发电、涉及调峰发电的项目；</w:t>
                  </w:r>
                </w:p>
                <w:p w14:paraId="631A8051">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人工湖、人工湿地：全部；</w:t>
                  </w:r>
                </w:p>
                <w:p w14:paraId="0AB98A15">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水库：全部；</w:t>
                  </w:r>
                </w:p>
                <w:p w14:paraId="0AF2F544">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引水工程：全部（配套的管线工程等除外）；</w:t>
                  </w:r>
                </w:p>
                <w:p w14:paraId="25B7D692">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防洪除涝工程：包含水库的项目；</w:t>
                  </w:r>
                </w:p>
                <w:p w14:paraId="18AF609B">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河湖整治：涉及清淤且底泥存在重金属污染的项目；</w:t>
                  </w:r>
                </w:p>
              </w:tc>
              <w:tc>
                <w:tcPr>
                  <w:tcW w:w="1602" w:type="pct"/>
                  <w:tcBorders>
                    <w:top w:val="single" w:color="auto" w:sz="4" w:space="0"/>
                    <w:left w:val="single" w:color="auto" w:sz="4" w:space="0"/>
                    <w:bottom w:val="single" w:color="auto" w:sz="4" w:space="0"/>
                    <w:right w:val="single" w:color="auto" w:sz="4" w:space="0"/>
                  </w:tcBorders>
                  <w:vAlign w:val="center"/>
                </w:tcPr>
                <w:p w14:paraId="1B19CB50">
                  <w:pPr>
                    <w:spacing w:line="240" w:lineRule="auto"/>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kern w:val="0"/>
                      <w:sz w:val="21"/>
                      <w:szCs w:val="21"/>
                      <w:highlight w:val="none"/>
                    </w:rPr>
                    <w:t>本项目属于非金属矿采矿业，不属于水力发电、人工湖、人工湿地、水库、引水工程、防洪除涝工程、河湖整治等行业类别，</w:t>
                  </w:r>
                  <w:r>
                    <w:rPr>
                      <w:rFonts w:hint="default" w:ascii="Times New Roman" w:hAnsi="Times New Roman" w:cs="Times New Roman"/>
                      <w:color w:val="auto"/>
                      <w:sz w:val="21"/>
                      <w:szCs w:val="21"/>
                      <w:highlight w:val="none"/>
                    </w:rPr>
                    <w:t>不设地表水专项</w:t>
                  </w:r>
                  <w:r>
                    <w:rPr>
                      <w:rFonts w:hint="default" w:ascii="Times New Roman" w:hAnsi="Times New Roman" w:cs="Times New Roman"/>
                      <w:color w:val="auto"/>
                      <w:kern w:val="0"/>
                      <w:sz w:val="21"/>
                      <w:szCs w:val="21"/>
                      <w:highlight w:val="none"/>
                    </w:rPr>
                    <w:t>。</w:t>
                  </w:r>
                </w:p>
              </w:tc>
              <w:tc>
                <w:tcPr>
                  <w:tcW w:w="576" w:type="pct"/>
                  <w:tcBorders>
                    <w:top w:val="single" w:color="auto" w:sz="4" w:space="0"/>
                    <w:left w:val="single" w:color="auto" w:sz="4" w:space="0"/>
                    <w:bottom w:val="single" w:color="auto" w:sz="4" w:space="0"/>
                    <w:right w:val="single" w:color="auto" w:sz="4" w:space="0"/>
                  </w:tcBorders>
                  <w:vAlign w:val="center"/>
                </w:tcPr>
                <w:p w14:paraId="47998DF6">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否</w:t>
                  </w:r>
                </w:p>
              </w:tc>
            </w:tr>
            <w:tr w14:paraId="0BF4D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6" w:hRule="atLeast"/>
                <w:jc w:val="center"/>
              </w:trPr>
              <w:tc>
                <w:tcPr>
                  <w:tcW w:w="601" w:type="pct"/>
                  <w:tcBorders>
                    <w:top w:val="single" w:color="auto" w:sz="4" w:space="0"/>
                    <w:left w:val="single" w:color="auto" w:sz="4" w:space="0"/>
                    <w:bottom w:val="single" w:color="auto" w:sz="4" w:space="0"/>
                    <w:right w:val="single" w:color="auto" w:sz="4" w:space="0"/>
                  </w:tcBorders>
                  <w:vAlign w:val="center"/>
                </w:tcPr>
                <w:p w14:paraId="2247F1D6">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地下水</w:t>
                  </w:r>
                </w:p>
              </w:tc>
              <w:tc>
                <w:tcPr>
                  <w:tcW w:w="2219" w:type="pct"/>
                  <w:tcBorders>
                    <w:top w:val="single" w:color="auto" w:sz="4" w:space="0"/>
                    <w:left w:val="single" w:color="auto" w:sz="4" w:space="0"/>
                    <w:bottom w:val="single" w:color="auto" w:sz="4" w:space="0"/>
                    <w:right w:val="single" w:color="auto" w:sz="4" w:space="0"/>
                  </w:tcBorders>
                  <w:vAlign w:val="center"/>
                </w:tcPr>
                <w:p w14:paraId="3D156B9E">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陆地石油和天然气开采：全部；</w:t>
                  </w:r>
                </w:p>
                <w:p w14:paraId="79CE742C">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地下水（含矿泉水）开采：全部；</w:t>
                  </w:r>
                </w:p>
                <w:p w14:paraId="004BABC8">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水利、水电、交通等：含穿越可溶岩地层隧道的项目；</w:t>
                  </w:r>
                </w:p>
              </w:tc>
              <w:tc>
                <w:tcPr>
                  <w:tcW w:w="1602" w:type="pct"/>
                  <w:tcBorders>
                    <w:top w:val="single" w:color="auto" w:sz="4" w:space="0"/>
                    <w:left w:val="single" w:color="auto" w:sz="4" w:space="0"/>
                    <w:bottom w:val="single" w:color="auto" w:sz="4" w:space="0"/>
                    <w:right w:val="single" w:color="auto" w:sz="4" w:space="0"/>
                  </w:tcBorders>
                  <w:vAlign w:val="center"/>
                </w:tcPr>
                <w:p w14:paraId="7209CB6E">
                  <w:pPr>
                    <w:autoSpaceDE w:val="0"/>
                    <w:autoSpaceDN w:val="0"/>
                    <w:adjustRightInd w:val="0"/>
                    <w:snapToGrid w:val="0"/>
                    <w:spacing w:line="240" w:lineRule="auto"/>
                    <w:ind w:firstLine="0" w:firstLineChars="0"/>
                    <w:jc w:val="center"/>
                    <w:rPr>
                      <w:rFonts w:hint="default" w:ascii="Times New Roman" w:hAnsi="Times New Roman" w:cs="Times New Roman"/>
                      <w:color w:val="auto"/>
                      <w:kern w:val="0"/>
                      <w:sz w:val="21"/>
                      <w:szCs w:val="24"/>
                      <w:highlight w:val="none"/>
                    </w:rPr>
                  </w:pPr>
                  <w:r>
                    <w:rPr>
                      <w:rFonts w:hint="default" w:ascii="Times New Roman" w:hAnsi="Times New Roman" w:cs="Times New Roman"/>
                      <w:color w:val="auto"/>
                      <w:kern w:val="0"/>
                      <w:sz w:val="21"/>
                      <w:szCs w:val="21"/>
                      <w:highlight w:val="none"/>
                    </w:rPr>
                    <w:t>本项目属于非金属矿采矿业，不属于</w:t>
                  </w:r>
                  <w:r>
                    <w:rPr>
                      <w:rFonts w:hint="default" w:ascii="Times New Roman" w:hAnsi="Times New Roman" w:cs="Times New Roman"/>
                      <w:color w:val="auto"/>
                      <w:sz w:val="21"/>
                      <w:szCs w:val="21"/>
                      <w:highlight w:val="none"/>
                    </w:rPr>
                    <w:t>陆地石油和天然气开采、地下水（含矿泉水）开采、水利、水电、交通等项目，不设地下水专项。</w:t>
                  </w:r>
                </w:p>
              </w:tc>
              <w:tc>
                <w:tcPr>
                  <w:tcW w:w="576" w:type="pct"/>
                  <w:tcBorders>
                    <w:top w:val="single" w:color="auto" w:sz="4" w:space="0"/>
                    <w:left w:val="single" w:color="auto" w:sz="4" w:space="0"/>
                    <w:bottom w:val="single" w:color="auto" w:sz="4" w:space="0"/>
                    <w:right w:val="single" w:color="auto" w:sz="4" w:space="0"/>
                  </w:tcBorders>
                  <w:vAlign w:val="center"/>
                </w:tcPr>
                <w:p w14:paraId="7CCE2881">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否</w:t>
                  </w:r>
                </w:p>
              </w:tc>
            </w:tr>
            <w:tr w14:paraId="3CFF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01" w:type="pct"/>
                  <w:tcBorders>
                    <w:top w:val="single" w:color="auto" w:sz="4" w:space="0"/>
                    <w:left w:val="single" w:color="auto" w:sz="4" w:space="0"/>
                    <w:bottom w:val="single" w:color="auto" w:sz="4" w:space="0"/>
                    <w:right w:val="single" w:color="auto" w:sz="4" w:space="0"/>
                  </w:tcBorders>
                  <w:vAlign w:val="center"/>
                </w:tcPr>
                <w:p w14:paraId="4B6FEB52">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生态</w:t>
                  </w:r>
                </w:p>
              </w:tc>
              <w:tc>
                <w:tcPr>
                  <w:tcW w:w="2219" w:type="pct"/>
                  <w:tcBorders>
                    <w:top w:val="single" w:color="auto" w:sz="4" w:space="0"/>
                    <w:left w:val="single" w:color="auto" w:sz="4" w:space="0"/>
                    <w:bottom w:val="single" w:color="auto" w:sz="4" w:space="0"/>
                    <w:right w:val="single" w:color="auto" w:sz="4" w:space="0"/>
                  </w:tcBorders>
                  <w:vAlign w:val="center"/>
                </w:tcPr>
                <w:p w14:paraId="1FA37BD0">
                  <w:pPr>
                    <w:spacing w:line="240" w:lineRule="auto"/>
                    <w:ind w:firstLine="0" w:firstLineChars="0"/>
                    <w:rPr>
                      <w:rFonts w:hint="default" w:ascii="Times New Roman" w:hAnsi="Times New Roman" w:cs="Times New Roman"/>
                      <w:color w:val="auto"/>
                      <w:sz w:val="21"/>
                      <w:szCs w:val="21"/>
                      <w:highlight w:val="none"/>
                      <w:vertAlign w:val="subscript"/>
                    </w:rPr>
                  </w:pPr>
                  <w:r>
                    <w:rPr>
                      <w:rFonts w:hint="default" w:ascii="Times New Roman" w:hAnsi="Times New Roman" w:cs="Times New Roman"/>
                      <w:color w:val="auto"/>
                      <w:sz w:val="21"/>
                      <w:szCs w:val="21"/>
                      <w:highlight w:val="none"/>
                    </w:rPr>
                    <w:t>涉及环境敏感区（不包括饮用水水源保护区，以居住、医疗卫生、文化教育、科研、行政办公为主要功能的区域，以及文物保护单位）的项目。</w:t>
                  </w:r>
                </w:p>
              </w:tc>
              <w:tc>
                <w:tcPr>
                  <w:tcW w:w="1602" w:type="pct"/>
                  <w:tcBorders>
                    <w:top w:val="single" w:color="auto" w:sz="4" w:space="0"/>
                    <w:left w:val="single" w:color="auto" w:sz="4" w:space="0"/>
                    <w:bottom w:val="single" w:color="auto" w:sz="4" w:space="0"/>
                    <w:right w:val="single" w:color="auto" w:sz="4" w:space="0"/>
                  </w:tcBorders>
                  <w:vAlign w:val="center"/>
                </w:tcPr>
                <w:p w14:paraId="5DD197ED">
                  <w:pPr>
                    <w:autoSpaceDE w:val="0"/>
                    <w:autoSpaceDN w:val="0"/>
                    <w:adjustRightInd w:val="0"/>
                    <w:snapToGrid w:val="0"/>
                    <w:spacing w:line="240" w:lineRule="auto"/>
                    <w:ind w:firstLine="0" w:firstLineChars="0"/>
                    <w:jc w:val="center"/>
                    <w:rPr>
                      <w:rFonts w:hint="default" w:ascii="Times New Roman" w:hAnsi="Times New Roman" w:cs="Times New Roman"/>
                      <w:color w:val="auto"/>
                      <w:kern w:val="0"/>
                      <w:sz w:val="21"/>
                      <w:szCs w:val="24"/>
                      <w:highlight w:val="none"/>
                    </w:rPr>
                  </w:pPr>
                  <w:r>
                    <w:rPr>
                      <w:rFonts w:hint="default" w:ascii="Times New Roman" w:hAnsi="Times New Roman" w:cs="Times New Roman"/>
                      <w:color w:val="auto"/>
                      <w:kern w:val="0"/>
                      <w:sz w:val="21"/>
                      <w:szCs w:val="21"/>
                      <w:highlight w:val="none"/>
                    </w:rPr>
                    <w:t>根据《建设项目环境影响评价分类管理名录》（2021年版），本项目不涉及</w:t>
                  </w:r>
                  <w:r>
                    <w:rPr>
                      <w:rFonts w:hint="default" w:ascii="Times New Roman" w:hAnsi="Times New Roman" w:cs="Times New Roman"/>
                      <w:color w:val="auto"/>
                      <w:sz w:val="21"/>
                      <w:szCs w:val="21"/>
                      <w:highlight w:val="none"/>
                    </w:rPr>
                    <w:t>《建设项目环境影响评价分类管理名录》中针对该类项目所列的敏感区，不设生态专项</w:t>
                  </w:r>
                  <w:r>
                    <w:rPr>
                      <w:rFonts w:hint="default" w:ascii="Times New Roman" w:hAnsi="Times New Roman" w:cs="Times New Roman"/>
                      <w:color w:val="auto"/>
                      <w:kern w:val="0"/>
                      <w:sz w:val="21"/>
                      <w:szCs w:val="21"/>
                      <w:highlight w:val="none"/>
                    </w:rPr>
                    <w:t>。</w:t>
                  </w:r>
                </w:p>
              </w:tc>
              <w:tc>
                <w:tcPr>
                  <w:tcW w:w="576" w:type="pct"/>
                  <w:tcBorders>
                    <w:top w:val="single" w:color="auto" w:sz="4" w:space="0"/>
                    <w:left w:val="single" w:color="auto" w:sz="4" w:space="0"/>
                    <w:bottom w:val="single" w:color="auto" w:sz="4" w:space="0"/>
                    <w:right w:val="single" w:color="auto" w:sz="4" w:space="0"/>
                  </w:tcBorders>
                  <w:vAlign w:val="center"/>
                </w:tcPr>
                <w:p w14:paraId="4CBE563C">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否</w:t>
                  </w:r>
                </w:p>
              </w:tc>
            </w:tr>
            <w:tr w14:paraId="660E0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01" w:type="pct"/>
                  <w:tcBorders>
                    <w:top w:val="single" w:color="auto" w:sz="4" w:space="0"/>
                    <w:left w:val="single" w:color="auto" w:sz="4" w:space="0"/>
                    <w:bottom w:val="single" w:color="auto" w:sz="4" w:space="0"/>
                    <w:right w:val="single" w:color="auto" w:sz="4" w:space="0"/>
                  </w:tcBorders>
                  <w:vAlign w:val="center"/>
                </w:tcPr>
                <w:p w14:paraId="1FD42C90">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大气</w:t>
                  </w:r>
                </w:p>
              </w:tc>
              <w:tc>
                <w:tcPr>
                  <w:tcW w:w="2219" w:type="pct"/>
                  <w:tcBorders>
                    <w:top w:val="single" w:color="auto" w:sz="4" w:space="0"/>
                    <w:left w:val="single" w:color="auto" w:sz="4" w:space="0"/>
                    <w:bottom w:val="single" w:color="auto" w:sz="4" w:space="0"/>
                    <w:right w:val="single" w:color="auto" w:sz="4" w:space="0"/>
                  </w:tcBorders>
                  <w:vAlign w:val="center"/>
                </w:tcPr>
                <w:p w14:paraId="29BE5792">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油气、液体化工码头：全部；</w:t>
                  </w:r>
                </w:p>
                <w:p w14:paraId="06324BEB">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干散货（含煤炭、矿石）、件杂、多用途、通用码头：涉及粉尘、挥发性有机物排放的项目</w:t>
                  </w:r>
                </w:p>
              </w:tc>
              <w:tc>
                <w:tcPr>
                  <w:tcW w:w="1602" w:type="pct"/>
                  <w:tcBorders>
                    <w:top w:val="single" w:color="auto" w:sz="4" w:space="0"/>
                    <w:left w:val="single" w:color="auto" w:sz="4" w:space="0"/>
                    <w:bottom w:val="single" w:color="auto" w:sz="4" w:space="0"/>
                    <w:right w:val="single" w:color="auto" w:sz="4" w:space="0"/>
                  </w:tcBorders>
                  <w:vAlign w:val="center"/>
                </w:tcPr>
                <w:p w14:paraId="52971B9C">
                  <w:pPr>
                    <w:autoSpaceDE w:val="0"/>
                    <w:autoSpaceDN w:val="0"/>
                    <w:adjustRightInd w:val="0"/>
                    <w:snapToGrid w:val="0"/>
                    <w:spacing w:line="240" w:lineRule="auto"/>
                    <w:ind w:firstLine="0" w:firstLineChars="0"/>
                    <w:jc w:val="center"/>
                    <w:rPr>
                      <w:rFonts w:hint="default" w:ascii="Times New Roman" w:hAnsi="Times New Roman" w:cs="Times New Roman"/>
                      <w:color w:val="auto"/>
                      <w:kern w:val="0"/>
                      <w:sz w:val="21"/>
                      <w:szCs w:val="24"/>
                      <w:highlight w:val="none"/>
                    </w:rPr>
                  </w:pPr>
                  <w:r>
                    <w:rPr>
                      <w:rFonts w:hint="default" w:ascii="Times New Roman" w:hAnsi="Times New Roman" w:cs="Times New Roman"/>
                      <w:color w:val="auto"/>
                      <w:kern w:val="0"/>
                      <w:sz w:val="21"/>
                      <w:szCs w:val="21"/>
                      <w:highlight w:val="none"/>
                    </w:rPr>
                    <w:t>本项目属于非金属矿采矿业，不属于</w:t>
                  </w:r>
                  <w:r>
                    <w:rPr>
                      <w:rFonts w:hint="default" w:ascii="Times New Roman" w:hAnsi="Times New Roman" w:cs="Times New Roman"/>
                      <w:color w:val="auto"/>
                      <w:sz w:val="21"/>
                      <w:szCs w:val="21"/>
                      <w:highlight w:val="none"/>
                    </w:rPr>
                    <w:t>油气、液体化工码头、干散货（含煤炭、矿石）、件杂、多用途、通用码头类别，不设大气专项。</w:t>
                  </w:r>
                </w:p>
              </w:tc>
              <w:tc>
                <w:tcPr>
                  <w:tcW w:w="576" w:type="pct"/>
                  <w:tcBorders>
                    <w:top w:val="single" w:color="auto" w:sz="4" w:space="0"/>
                    <w:left w:val="single" w:color="auto" w:sz="4" w:space="0"/>
                    <w:bottom w:val="single" w:color="auto" w:sz="4" w:space="0"/>
                    <w:right w:val="single" w:color="auto" w:sz="4" w:space="0"/>
                  </w:tcBorders>
                  <w:vAlign w:val="center"/>
                </w:tcPr>
                <w:p w14:paraId="0A0B1414">
                  <w:pPr>
                    <w:spacing w:line="240" w:lineRule="auto"/>
                    <w:ind w:firstLine="0" w:firstLineChars="0"/>
                    <w:jc w:val="center"/>
                    <w:rPr>
                      <w:rFonts w:hint="default" w:ascii="Times New Roman" w:hAnsi="Times New Roman" w:cs="Times New Roman"/>
                      <w:color w:val="auto"/>
                      <w:sz w:val="21"/>
                      <w:szCs w:val="21"/>
                      <w:highlight w:val="none"/>
                      <w:lang w:val="en-GB"/>
                    </w:rPr>
                  </w:pPr>
                  <w:r>
                    <w:rPr>
                      <w:rFonts w:hint="default" w:ascii="Times New Roman" w:hAnsi="Times New Roman" w:cs="Times New Roman"/>
                      <w:color w:val="auto"/>
                      <w:sz w:val="21"/>
                      <w:szCs w:val="21"/>
                      <w:highlight w:val="none"/>
                      <w:lang w:val="en-GB"/>
                    </w:rPr>
                    <w:t>否</w:t>
                  </w:r>
                </w:p>
              </w:tc>
            </w:tr>
            <w:tr w14:paraId="28E9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601" w:type="pct"/>
                  <w:tcBorders>
                    <w:top w:val="single" w:color="auto" w:sz="4" w:space="0"/>
                    <w:left w:val="single" w:color="auto" w:sz="4" w:space="0"/>
                    <w:bottom w:val="single" w:color="auto" w:sz="4" w:space="0"/>
                    <w:right w:val="single" w:color="auto" w:sz="4" w:space="0"/>
                  </w:tcBorders>
                  <w:vAlign w:val="center"/>
                </w:tcPr>
                <w:p w14:paraId="430A0E50">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噪声</w:t>
                  </w:r>
                </w:p>
              </w:tc>
              <w:tc>
                <w:tcPr>
                  <w:tcW w:w="2219" w:type="pct"/>
                  <w:tcBorders>
                    <w:top w:val="single" w:color="auto" w:sz="4" w:space="0"/>
                    <w:left w:val="single" w:color="auto" w:sz="4" w:space="0"/>
                    <w:bottom w:val="single" w:color="auto" w:sz="4" w:space="0"/>
                    <w:right w:val="single" w:color="auto" w:sz="4" w:space="0"/>
                  </w:tcBorders>
                  <w:vAlign w:val="center"/>
                </w:tcPr>
                <w:p w14:paraId="73D3EFBF">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公路、铁路、机场等交通运输业涉及环境敏感区（以居住、医疗卫生、文化教育、科研、行政办公为主要功能的区域）的项目；</w:t>
                  </w:r>
                </w:p>
                <w:p w14:paraId="24A166AD">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城市道路（不含维护，不含支路、人行天桥、人行地道）：全部</w:t>
                  </w:r>
                </w:p>
              </w:tc>
              <w:tc>
                <w:tcPr>
                  <w:tcW w:w="1602" w:type="pct"/>
                  <w:tcBorders>
                    <w:top w:val="single" w:color="auto" w:sz="4" w:space="0"/>
                    <w:left w:val="single" w:color="auto" w:sz="4" w:space="0"/>
                    <w:bottom w:val="single" w:color="auto" w:sz="4" w:space="0"/>
                    <w:right w:val="single" w:color="auto" w:sz="4" w:space="0"/>
                  </w:tcBorders>
                  <w:vAlign w:val="center"/>
                </w:tcPr>
                <w:p w14:paraId="5EECD117">
                  <w:pPr>
                    <w:autoSpaceDE w:val="0"/>
                    <w:autoSpaceDN w:val="0"/>
                    <w:adjustRightInd w:val="0"/>
                    <w:snapToGrid w:val="0"/>
                    <w:spacing w:line="240" w:lineRule="auto"/>
                    <w:ind w:firstLine="0" w:firstLineChars="0"/>
                    <w:jc w:val="center"/>
                    <w:rPr>
                      <w:rFonts w:hint="default" w:ascii="Times New Roman" w:hAnsi="Times New Roman" w:cs="Times New Roman"/>
                      <w:color w:val="auto"/>
                      <w:kern w:val="0"/>
                      <w:sz w:val="21"/>
                      <w:szCs w:val="24"/>
                      <w:highlight w:val="none"/>
                    </w:rPr>
                  </w:pPr>
                  <w:r>
                    <w:rPr>
                      <w:rFonts w:hint="default" w:ascii="Times New Roman" w:hAnsi="Times New Roman" w:cs="Times New Roman"/>
                      <w:color w:val="auto"/>
                      <w:kern w:val="0"/>
                      <w:sz w:val="21"/>
                      <w:szCs w:val="21"/>
                      <w:highlight w:val="none"/>
                    </w:rPr>
                    <w:t>本项目属于非金属矿采矿业，不涉及</w:t>
                  </w:r>
                  <w:r>
                    <w:rPr>
                      <w:rFonts w:hint="default" w:ascii="Times New Roman" w:hAnsi="Times New Roman" w:cs="Times New Roman"/>
                      <w:color w:val="auto"/>
                      <w:sz w:val="21"/>
                      <w:szCs w:val="21"/>
                      <w:highlight w:val="none"/>
                    </w:rPr>
                    <w:t>公路、铁路、机场等交通运输业、文化教育、科研、行政办公为主要功能的区域）的项目、城市道路（不含维护，不含支路、人行天桥、人行地道），不设噪声专项。</w:t>
                  </w:r>
                </w:p>
              </w:tc>
              <w:tc>
                <w:tcPr>
                  <w:tcW w:w="576" w:type="pct"/>
                  <w:tcBorders>
                    <w:top w:val="single" w:color="auto" w:sz="4" w:space="0"/>
                    <w:left w:val="single" w:color="auto" w:sz="4" w:space="0"/>
                    <w:bottom w:val="single" w:color="auto" w:sz="4" w:space="0"/>
                    <w:right w:val="single" w:color="auto" w:sz="4" w:space="0"/>
                  </w:tcBorders>
                  <w:vAlign w:val="center"/>
                </w:tcPr>
                <w:p w14:paraId="3E1E3BD1">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否</w:t>
                  </w:r>
                </w:p>
              </w:tc>
            </w:tr>
            <w:tr w14:paraId="4464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97" w:hRule="atLeast"/>
                <w:jc w:val="center"/>
              </w:trPr>
              <w:tc>
                <w:tcPr>
                  <w:tcW w:w="601" w:type="pct"/>
                  <w:tcBorders>
                    <w:top w:val="single" w:color="auto" w:sz="4" w:space="0"/>
                    <w:left w:val="single" w:color="auto" w:sz="4" w:space="0"/>
                    <w:bottom w:val="single" w:color="auto" w:sz="4" w:space="0"/>
                    <w:right w:val="single" w:color="auto" w:sz="4" w:space="0"/>
                  </w:tcBorders>
                  <w:vAlign w:val="center"/>
                </w:tcPr>
                <w:p w14:paraId="25B7D94F">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环境风险</w:t>
                  </w:r>
                </w:p>
              </w:tc>
              <w:tc>
                <w:tcPr>
                  <w:tcW w:w="2219" w:type="pct"/>
                  <w:tcBorders>
                    <w:top w:val="single" w:color="auto" w:sz="4" w:space="0"/>
                    <w:left w:val="single" w:color="auto" w:sz="4" w:space="0"/>
                    <w:bottom w:val="single" w:color="auto" w:sz="4" w:space="0"/>
                    <w:right w:val="single" w:color="auto" w:sz="4" w:space="0"/>
                  </w:tcBorders>
                  <w:vAlign w:val="center"/>
                </w:tcPr>
                <w:p w14:paraId="191860AD">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石油和天然气开采：全部；</w:t>
                  </w:r>
                </w:p>
                <w:p w14:paraId="5741906F">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油气、液体化工码头：全部；</w:t>
                  </w:r>
                </w:p>
                <w:p w14:paraId="094EC606">
                  <w:pPr>
                    <w:spacing w:line="240" w:lineRule="auto"/>
                    <w:ind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原油、成品油、天然气管线（不含城镇天然气管线、企业厂区内管线），危险化学品输送管线（不含企业厂区内管线）：全部</w:t>
                  </w:r>
                </w:p>
              </w:tc>
              <w:tc>
                <w:tcPr>
                  <w:tcW w:w="1602" w:type="pct"/>
                  <w:tcBorders>
                    <w:top w:val="single" w:color="auto" w:sz="4" w:space="0"/>
                    <w:left w:val="single" w:color="auto" w:sz="4" w:space="0"/>
                    <w:bottom w:val="single" w:color="auto" w:sz="4" w:space="0"/>
                    <w:right w:val="single" w:color="auto" w:sz="4" w:space="0"/>
                  </w:tcBorders>
                  <w:vAlign w:val="center"/>
                </w:tcPr>
                <w:p w14:paraId="2E0F8389">
                  <w:pPr>
                    <w:autoSpaceDE w:val="0"/>
                    <w:autoSpaceDN w:val="0"/>
                    <w:adjustRightInd w:val="0"/>
                    <w:snapToGrid w:val="0"/>
                    <w:spacing w:line="240" w:lineRule="auto"/>
                    <w:ind w:firstLine="0" w:firstLineChars="0"/>
                    <w:jc w:val="center"/>
                    <w:rPr>
                      <w:rFonts w:hint="default" w:ascii="Times New Roman" w:hAnsi="Times New Roman" w:cs="Times New Roman"/>
                      <w:color w:val="auto"/>
                      <w:kern w:val="0"/>
                      <w:sz w:val="21"/>
                      <w:szCs w:val="24"/>
                      <w:highlight w:val="none"/>
                    </w:rPr>
                  </w:pPr>
                  <w:r>
                    <w:rPr>
                      <w:rFonts w:hint="default" w:ascii="Times New Roman" w:hAnsi="Times New Roman" w:cs="Times New Roman"/>
                      <w:color w:val="auto"/>
                      <w:kern w:val="0"/>
                      <w:sz w:val="21"/>
                      <w:szCs w:val="21"/>
                      <w:highlight w:val="none"/>
                    </w:rPr>
                    <w:t>本项目属于非金属矿采矿业，不涉及</w:t>
                  </w:r>
                  <w:r>
                    <w:rPr>
                      <w:rFonts w:hint="default" w:ascii="Times New Roman" w:hAnsi="Times New Roman" w:cs="Times New Roman"/>
                      <w:color w:val="auto"/>
                      <w:sz w:val="21"/>
                      <w:szCs w:val="21"/>
                      <w:highlight w:val="none"/>
                    </w:rPr>
                    <w:t>石油和天然气开采、油气、液体化工码头、原油、成品油、天然气管线（不含城镇天然气管线、企业厂区内管线），危险化学品输送管线（不含企业厂区内管线），不设环境风险专项。</w:t>
                  </w:r>
                </w:p>
              </w:tc>
              <w:tc>
                <w:tcPr>
                  <w:tcW w:w="576" w:type="pct"/>
                  <w:tcBorders>
                    <w:top w:val="single" w:color="auto" w:sz="4" w:space="0"/>
                    <w:left w:val="single" w:color="auto" w:sz="4" w:space="0"/>
                    <w:bottom w:val="single" w:color="auto" w:sz="4" w:space="0"/>
                    <w:right w:val="single" w:color="auto" w:sz="4" w:space="0"/>
                  </w:tcBorders>
                  <w:vAlign w:val="center"/>
                </w:tcPr>
                <w:p w14:paraId="2435F0D1">
                  <w:pPr>
                    <w:spacing w:line="240" w:lineRule="auto"/>
                    <w:ind w:firstLine="0" w:firstLineChars="0"/>
                    <w:jc w:val="center"/>
                    <w:rPr>
                      <w:rFonts w:hint="default" w:ascii="Times New Roman" w:hAnsi="Times New Roman" w:cs="Times New Roman"/>
                      <w:color w:val="auto"/>
                      <w:sz w:val="21"/>
                      <w:szCs w:val="21"/>
                      <w:highlight w:val="none"/>
                      <w:lang w:val="en-GB"/>
                    </w:rPr>
                  </w:pPr>
                  <w:r>
                    <w:rPr>
                      <w:rFonts w:hint="default" w:ascii="Times New Roman" w:hAnsi="Times New Roman" w:cs="Times New Roman"/>
                      <w:color w:val="auto"/>
                      <w:sz w:val="21"/>
                      <w:szCs w:val="21"/>
                      <w:highlight w:val="none"/>
                      <w:lang w:val="en-GB"/>
                    </w:rPr>
                    <w:t>否</w:t>
                  </w:r>
                </w:p>
              </w:tc>
            </w:tr>
            <w:tr w14:paraId="17086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2" w:hRule="atLeast"/>
                <w:jc w:val="center"/>
              </w:trPr>
              <w:tc>
                <w:tcPr>
                  <w:tcW w:w="5000" w:type="pct"/>
                  <w:gridSpan w:val="4"/>
                  <w:tcBorders>
                    <w:top w:val="single" w:color="auto" w:sz="4" w:space="0"/>
                    <w:left w:val="single" w:color="auto" w:sz="4" w:space="0"/>
                    <w:bottom w:val="single" w:color="auto" w:sz="4" w:space="0"/>
                    <w:right w:val="single" w:color="auto" w:sz="4" w:space="0"/>
                  </w:tcBorders>
                  <w:vAlign w:val="center"/>
                </w:tcPr>
                <w:p w14:paraId="5888E6BA">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涉及环境敏感区”是指建设项目位于、穿（跨）越（无害化通过的除外）环境敏感区，或环境影响范围涵盖环境敏感区。环境敏感区是指《建设项目环境影响评价分类管理名录》中针对该类项目所列的敏感区。</w:t>
                  </w:r>
                </w:p>
              </w:tc>
            </w:tr>
          </w:tbl>
          <w:p w14:paraId="37938BAF">
            <w:pPr>
              <w:ind w:firstLine="480"/>
              <w:rPr>
                <w:rFonts w:hint="default" w:ascii="Times New Roman" w:hAnsi="Times New Roman" w:cs="Times New Roman"/>
                <w:color w:val="auto"/>
                <w:highlight w:val="none"/>
              </w:rPr>
            </w:pPr>
            <w:r>
              <w:rPr>
                <w:rFonts w:hint="default" w:ascii="Times New Roman" w:hAnsi="Times New Roman" w:cs="Times New Roman"/>
                <w:color w:val="auto"/>
                <w:kern w:val="0"/>
                <w:szCs w:val="24"/>
                <w:highlight w:val="none"/>
              </w:rPr>
              <w:t>根据上表可知，本项目不设置专项评价。</w:t>
            </w:r>
          </w:p>
        </w:tc>
      </w:tr>
      <w:tr w14:paraId="2A3E63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417" w:hRule="atLeast"/>
          <w:jc w:val="center"/>
        </w:trPr>
        <w:tc>
          <w:tcPr>
            <w:tcW w:w="304" w:type="pct"/>
            <w:vAlign w:val="center"/>
          </w:tcPr>
          <w:p w14:paraId="07B4FF6C">
            <w:pPr>
              <w:snapToGrid w:val="0"/>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规划情况</w:t>
            </w:r>
          </w:p>
        </w:tc>
        <w:tc>
          <w:tcPr>
            <w:tcW w:w="4695" w:type="pct"/>
            <w:gridSpan w:val="4"/>
            <w:vAlign w:val="center"/>
          </w:tcPr>
          <w:p w14:paraId="12C042D3">
            <w:pPr>
              <w:ind w:firstLine="0" w:firstLineChars="0"/>
              <w:jc w:val="left"/>
              <w:rPr>
                <w:rFonts w:hint="default" w:ascii="Times New Roman" w:hAnsi="Times New Roman" w:cs="Times New Roman"/>
                <w:b/>
                <w:bCs/>
                <w:color w:val="auto"/>
                <w:kern w:val="0"/>
                <w:lang w:bidi="ar"/>
              </w:rPr>
            </w:pPr>
            <w:r>
              <w:rPr>
                <w:rFonts w:hint="default" w:ascii="Times New Roman" w:hAnsi="Times New Roman" w:cs="Times New Roman"/>
                <w:b/>
                <w:bCs/>
                <w:color w:val="auto"/>
                <w:kern w:val="0"/>
                <w:lang w:bidi="ar"/>
              </w:rPr>
              <w:t>1.规划名称：</w:t>
            </w:r>
            <w:r>
              <w:rPr>
                <w:rFonts w:hint="default" w:ascii="Times New Roman" w:hAnsi="Times New Roman" w:cs="Times New Roman"/>
                <w:color w:val="auto"/>
                <w:kern w:val="0"/>
                <w:lang w:bidi="ar"/>
              </w:rPr>
              <w:t>《云南省矿产资源总体规划（2021-2025年）》；</w:t>
            </w:r>
          </w:p>
          <w:p w14:paraId="74D0538B">
            <w:pPr>
              <w:ind w:firstLine="482"/>
              <w:jc w:val="left"/>
              <w:rPr>
                <w:rFonts w:hint="default" w:ascii="Times New Roman" w:hAnsi="Times New Roman" w:cs="Times New Roman"/>
                <w:color w:val="auto"/>
                <w:szCs w:val="24"/>
              </w:rPr>
            </w:pPr>
            <w:r>
              <w:rPr>
                <w:rFonts w:hint="default" w:ascii="Times New Roman" w:hAnsi="Times New Roman" w:cs="Times New Roman"/>
                <w:b/>
                <w:bCs/>
                <w:color w:val="auto"/>
                <w:kern w:val="0"/>
                <w:lang w:bidi="ar"/>
              </w:rPr>
              <w:t>印发机关：</w:t>
            </w:r>
            <w:r>
              <w:rPr>
                <w:rFonts w:hint="default" w:ascii="Times New Roman" w:hAnsi="Times New Roman" w:cs="Times New Roman"/>
                <w:color w:val="auto"/>
                <w:kern w:val="0"/>
                <w:lang w:bidi="ar"/>
              </w:rPr>
              <w:t>云南省自然资源厅、云南省发展和改革委员会、云南省工业和信息化厅、云南省财政厅、云南省生态环境厅、云南省商务厅、云南省能源局联合印发；</w:t>
            </w:r>
          </w:p>
          <w:p w14:paraId="7721F2DB">
            <w:pPr>
              <w:ind w:firstLine="0" w:firstLineChars="0"/>
              <w:jc w:val="left"/>
              <w:rPr>
                <w:rFonts w:hint="default" w:ascii="Times New Roman" w:hAnsi="Times New Roman" w:cs="Times New Roman"/>
                <w:color w:val="auto"/>
                <w:szCs w:val="24"/>
              </w:rPr>
            </w:pPr>
            <w:r>
              <w:rPr>
                <w:rFonts w:hint="default" w:ascii="Times New Roman" w:hAnsi="Times New Roman" w:cs="Times New Roman"/>
                <w:b/>
                <w:bCs/>
                <w:color w:val="auto"/>
                <w:szCs w:val="24"/>
              </w:rPr>
              <w:t>2.</w:t>
            </w:r>
            <w:r>
              <w:rPr>
                <w:rFonts w:hint="default" w:ascii="Times New Roman" w:hAnsi="Times New Roman" w:cs="Times New Roman"/>
                <w:b/>
                <w:bCs/>
                <w:color w:val="auto"/>
              </w:rPr>
              <w:t>规划名称：</w:t>
            </w:r>
            <w:r>
              <w:rPr>
                <w:rFonts w:hint="default" w:ascii="Times New Roman" w:hAnsi="Times New Roman" w:cs="Times New Roman"/>
                <w:color w:val="auto"/>
                <w:szCs w:val="24"/>
              </w:rPr>
              <w:t>《寻甸回族彝族自治县矿产资源规划（2021-2025年）》；</w:t>
            </w:r>
          </w:p>
          <w:p w14:paraId="6C6EA308">
            <w:pPr>
              <w:ind w:firstLine="482"/>
              <w:jc w:val="left"/>
              <w:rPr>
                <w:rFonts w:hint="default" w:ascii="Times New Roman" w:hAnsi="Times New Roman" w:cs="Times New Roman"/>
                <w:color w:val="auto"/>
                <w:szCs w:val="24"/>
              </w:rPr>
            </w:pPr>
            <w:r>
              <w:rPr>
                <w:rFonts w:hint="default" w:ascii="Times New Roman" w:hAnsi="Times New Roman" w:cs="Times New Roman"/>
                <w:b/>
                <w:bCs/>
                <w:color w:val="auto"/>
                <w:kern w:val="0"/>
                <w:lang w:bidi="ar"/>
              </w:rPr>
              <w:t>审批机关：</w:t>
            </w:r>
            <w:r>
              <w:rPr>
                <w:rFonts w:hint="default" w:ascii="Times New Roman" w:hAnsi="Times New Roman" w:cs="Times New Roman"/>
                <w:color w:val="auto"/>
                <w:kern w:val="0"/>
                <w:lang w:bidi="ar"/>
              </w:rPr>
              <w:t>昆明市人民政府；</w:t>
            </w:r>
          </w:p>
          <w:p w14:paraId="6DC7832B">
            <w:pPr>
              <w:ind w:firstLine="480"/>
              <w:rPr>
                <w:rFonts w:hint="default" w:ascii="Times New Roman" w:hAnsi="Times New Roman" w:cs="Times New Roman"/>
                <w:color w:val="auto"/>
                <w:highlight w:val="none"/>
              </w:rPr>
            </w:pPr>
            <w:r>
              <w:rPr>
                <w:rFonts w:hint="default" w:ascii="Times New Roman" w:hAnsi="Times New Roman" w:cs="Times New Roman"/>
                <w:b/>
                <w:bCs/>
                <w:color w:val="auto"/>
              </w:rPr>
              <w:t>3.规划名称</w:t>
            </w:r>
            <w:r>
              <w:rPr>
                <w:rFonts w:hint="default" w:ascii="Times New Roman" w:hAnsi="Times New Roman" w:cs="Times New Roman"/>
                <w:color w:val="auto"/>
                <w:szCs w:val="24"/>
              </w:rPr>
              <w:t>：</w:t>
            </w:r>
            <w:r>
              <w:rPr>
                <w:rFonts w:hint="default" w:ascii="Times New Roman" w:hAnsi="Times New Roman" w:cs="Times New Roman"/>
                <w:color w:val="auto"/>
                <w:kern w:val="0"/>
                <w:lang w:bidi="ar"/>
              </w:rPr>
              <w:t>《寻甸回族彝族自治县国土空间总体规划（2021-2035）》。</w:t>
            </w:r>
          </w:p>
        </w:tc>
      </w:tr>
      <w:tr w14:paraId="27A68C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541" w:hRule="atLeast"/>
          <w:jc w:val="center"/>
        </w:trPr>
        <w:tc>
          <w:tcPr>
            <w:tcW w:w="304" w:type="pct"/>
            <w:vAlign w:val="center"/>
          </w:tcPr>
          <w:p w14:paraId="367E4768">
            <w:pPr>
              <w:snapToGrid w:val="0"/>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规划环境影响评价情况</w:t>
            </w:r>
          </w:p>
        </w:tc>
        <w:tc>
          <w:tcPr>
            <w:tcW w:w="4695" w:type="pct"/>
            <w:gridSpan w:val="4"/>
            <w:vAlign w:val="center"/>
          </w:tcPr>
          <w:p w14:paraId="3C67082B">
            <w:pPr>
              <w:widowControl/>
              <w:ind w:firstLine="0" w:firstLineChars="0"/>
              <w:jc w:val="left"/>
              <w:rPr>
                <w:rFonts w:hint="default" w:ascii="Times New Roman" w:hAnsi="Times New Roman" w:cs="Times New Roman"/>
                <w:color w:val="auto"/>
              </w:rPr>
            </w:pPr>
            <w:r>
              <w:rPr>
                <w:rFonts w:hint="default" w:ascii="Times New Roman" w:hAnsi="Times New Roman" w:cs="Times New Roman"/>
                <w:b/>
                <w:bCs/>
                <w:color w:val="auto"/>
              </w:rPr>
              <w:t>规划环评名称</w:t>
            </w:r>
            <w:r>
              <w:rPr>
                <w:rFonts w:hint="default" w:ascii="Times New Roman" w:hAnsi="Times New Roman" w:cs="Times New Roman"/>
                <w:color w:val="auto"/>
                <w:szCs w:val="24"/>
              </w:rPr>
              <w:t>：</w:t>
            </w:r>
            <w:r>
              <w:rPr>
                <w:rFonts w:hint="default" w:ascii="Times New Roman" w:hAnsi="Times New Roman" w:cs="Times New Roman"/>
                <w:color w:val="auto"/>
              </w:rPr>
              <w:t>《云南省矿产资源总体规划（2021-2025年）环境影响报告书》</w:t>
            </w:r>
          </w:p>
          <w:p w14:paraId="6AAD9B05">
            <w:pPr>
              <w:ind w:firstLine="480"/>
              <w:rPr>
                <w:rFonts w:hint="default" w:ascii="Times New Roman" w:hAnsi="Times New Roman" w:cs="Times New Roman"/>
                <w:color w:val="auto"/>
                <w:highlight w:val="none"/>
              </w:rPr>
            </w:pPr>
            <w:r>
              <w:rPr>
                <w:rFonts w:hint="default" w:ascii="Times New Roman" w:hAnsi="Times New Roman" w:cs="Times New Roman"/>
                <w:b/>
                <w:bCs/>
                <w:color w:val="auto"/>
                <w:kern w:val="0"/>
                <w:lang w:bidi="ar"/>
              </w:rPr>
              <w:t>审批机关</w:t>
            </w:r>
            <w:r>
              <w:rPr>
                <w:rFonts w:hint="default" w:ascii="Times New Roman" w:hAnsi="Times New Roman" w:cs="Times New Roman"/>
                <w:color w:val="auto"/>
                <w:kern w:val="0"/>
                <w:lang w:bidi="ar"/>
              </w:rPr>
              <w:t>：中华人民共和国生态环境部，环</w:t>
            </w:r>
            <w:r>
              <w:rPr>
                <w:rFonts w:hint="default" w:ascii="Times New Roman" w:hAnsi="Times New Roman" w:cs="Times New Roman"/>
                <w:color w:val="auto"/>
                <w:szCs w:val="24"/>
              </w:rPr>
              <w:t>审〔2022〕130。</w:t>
            </w:r>
          </w:p>
        </w:tc>
      </w:tr>
      <w:tr w14:paraId="03947C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2429" w:hRule="atLeast"/>
          <w:jc w:val="center"/>
        </w:trPr>
        <w:tc>
          <w:tcPr>
            <w:tcW w:w="304" w:type="pct"/>
            <w:vAlign w:val="center"/>
          </w:tcPr>
          <w:p w14:paraId="3B784CDD">
            <w:pPr>
              <w:snapToGrid w:val="0"/>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规划及规划环境影响评价符合性分析</w:t>
            </w:r>
          </w:p>
        </w:tc>
        <w:tc>
          <w:tcPr>
            <w:tcW w:w="4695" w:type="pct"/>
            <w:gridSpan w:val="4"/>
            <w:vAlign w:val="center"/>
          </w:tcPr>
          <w:p w14:paraId="1F51B022">
            <w:pPr>
              <w:ind w:firstLine="482"/>
              <w:jc w:val="left"/>
              <w:rPr>
                <w:rFonts w:hint="default" w:ascii="Times New Roman" w:hAnsi="Times New Roman" w:cs="Times New Roman"/>
                <w:b/>
                <w:bCs/>
                <w:color w:val="auto"/>
              </w:rPr>
            </w:pPr>
            <w:r>
              <w:rPr>
                <w:rFonts w:hint="default" w:ascii="Times New Roman" w:hAnsi="Times New Roman" w:cs="Times New Roman"/>
                <w:b/>
                <w:bCs/>
                <w:color w:val="auto"/>
              </w:rPr>
              <w:t>1.与《云南省矿产资源总体规划（2021-2025年）》符合性分析</w:t>
            </w:r>
          </w:p>
          <w:p w14:paraId="1BDECBCA">
            <w:pPr>
              <w:ind w:firstLine="480"/>
              <w:rPr>
                <w:rFonts w:hint="default" w:ascii="Times New Roman" w:hAnsi="Times New Roman" w:cs="Times New Roman"/>
                <w:color w:val="auto"/>
                <w:lang w:bidi="ar"/>
              </w:rPr>
            </w:pPr>
            <w:r>
              <w:rPr>
                <w:rFonts w:hint="default" w:ascii="Times New Roman" w:hAnsi="Times New Roman" w:cs="Times New Roman"/>
                <w:color w:val="auto"/>
                <w:lang w:bidi="ar"/>
              </w:rPr>
              <w:t>本项目与《云南省矿产资源总体规划（2021-2025年）》中针对矿产资源勘查开发利用与保护符合性分析详见下表1-2。</w:t>
            </w:r>
          </w:p>
          <w:p w14:paraId="4D3CCA24">
            <w:pPr>
              <w:widowControl/>
              <w:ind w:firstLine="0" w:firstLineChars="0"/>
              <w:jc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表1-2  与《云南省矿产资源总体规划（2021-2025年）》符合性分析</w:t>
            </w:r>
          </w:p>
          <w:tbl>
            <w:tblPr>
              <w:tblStyle w:val="31"/>
              <w:tblW w:w="7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6"/>
              <w:gridCol w:w="2927"/>
              <w:gridCol w:w="716"/>
            </w:tblGrid>
            <w:tr w14:paraId="77AD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4076" w:type="dxa"/>
                  <w:vAlign w:val="center"/>
                </w:tcPr>
                <w:p w14:paraId="3023A50A">
                  <w:pPr>
                    <w:widowControl/>
                    <w:spacing w:line="360" w:lineRule="exact"/>
                    <w:ind w:firstLine="0" w:firstLineChars="0"/>
                    <w:jc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sz w:val="21"/>
                      <w:szCs w:val="21"/>
                    </w:rPr>
                    <w:t>规划要求</w:t>
                  </w:r>
                </w:p>
              </w:tc>
              <w:tc>
                <w:tcPr>
                  <w:tcW w:w="2927" w:type="dxa"/>
                  <w:vAlign w:val="center"/>
                </w:tcPr>
                <w:p w14:paraId="627F41EE">
                  <w:pPr>
                    <w:widowControl/>
                    <w:spacing w:line="360" w:lineRule="exact"/>
                    <w:ind w:firstLine="0" w:firstLineChars="0"/>
                    <w:jc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本项目情况</w:t>
                  </w:r>
                </w:p>
              </w:tc>
              <w:tc>
                <w:tcPr>
                  <w:tcW w:w="716" w:type="dxa"/>
                  <w:vAlign w:val="center"/>
                </w:tcPr>
                <w:p w14:paraId="4711245F">
                  <w:pPr>
                    <w:widowControl/>
                    <w:spacing w:line="240" w:lineRule="auto"/>
                    <w:ind w:firstLine="0" w:firstLineChars="0"/>
                    <w:jc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符合性</w:t>
                  </w:r>
                </w:p>
              </w:tc>
            </w:tr>
            <w:tr w14:paraId="60EFE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6" w:type="dxa"/>
                  <w:vAlign w:val="center"/>
                </w:tcPr>
                <w:p w14:paraId="4A9780D9">
                  <w:pPr>
                    <w:spacing w:line="360" w:lineRule="exact"/>
                    <w:ind w:firstLine="0" w:firstLineChars="0"/>
                    <w:rPr>
                      <w:rFonts w:hint="default" w:ascii="Times New Roman" w:hAnsi="Times New Roman" w:cs="Times New Roman"/>
                      <w:color w:val="auto"/>
                      <w:kern w:val="0"/>
                      <w:sz w:val="21"/>
                      <w:szCs w:val="21"/>
                      <w:lang w:bidi="ar"/>
                    </w:rPr>
                  </w:pPr>
                  <w:r>
                    <w:rPr>
                      <w:rFonts w:hint="default" w:ascii="Times New Roman" w:hAnsi="Times New Roman" w:cs="Times New Roman"/>
                      <w:b/>
                      <w:bCs/>
                      <w:color w:val="auto"/>
                      <w:sz w:val="21"/>
                      <w:szCs w:val="21"/>
                    </w:rPr>
                    <w:t>加强非煤矿山管控</w:t>
                  </w:r>
                  <w:r>
                    <w:rPr>
                      <w:rFonts w:hint="default" w:ascii="Times New Roman" w:hAnsi="Times New Roman" w:cs="Times New Roman"/>
                      <w:color w:val="auto"/>
                      <w:sz w:val="21"/>
                      <w:szCs w:val="21"/>
                    </w:rPr>
                    <w:t>：提高矿山准入门槛，严格执行非煤矿山最低开采规模和服务年限标准，切实提高非煤矿山开采规模，严防边关闭边低水平重复建设。逐步优化非煤矿山布局，提升非煤矿山资源保障能力。综合考虑矿产资源潜力、市场供求状况、资源保障程度、采矿权设置等因素，合理确定年度开采总量。到2025年，在巩固和深化非煤矿山专项整治工作的基础上，全省非煤矿山总量控制、动态管理、依法监管机制进一步健全和完善。</w:t>
                  </w:r>
                </w:p>
              </w:tc>
              <w:tc>
                <w:tcPr>
                  <w:tcW w:w="2927" w:type="dxa"/>
                  <w:vAlign w:val="center"/>
                </w:tcPr>
                <w:p w14:paraId="3136E292">
                  <w:pPr>
                    <w:widowControl/>
                    <w:spacing w:line="360" w:lineRule="exact"/>
                    <w:ind w:firstLine="0" w:firstLineChars="0"/>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本项目生产规模为</w:t>
                  </w:r>
                  <w:r>
                    <w:rPr>
                      <w:rFonts w:hint="default" w:ascii="Times New Roman" w:hAnsi="Times New Roman" w:cs="Times New Roman"/>
                      <w:color w:val="auto"/>
                      <w:kern w:val="0"/>
                      <w:sz w:val="21"/>
                      <w:szCs w:val="21"/>
                      <w:lang w:val="en-US" w:eastAsia="zh-CN" w:bidi="ar"/>
                    </w:rPr>
                    <w:t>50</w:t>
                  </w:r>
                  <w:r>
                    <w:rPr>
                      <w:rFonts w:hint="default" w:ascii="Times New Roman" w:hAnsi="Times New Roman" w:cs="Times New Roman"/>
                      <w:color w:val="auto"/>
                      <w:kern w:val="0"/>
                      <w:sz w:val="21"/>
                      <w:szCs w:val="21"/>
                      <w:lang w:bidi="ar"/>
                    </w:rPr>
                    <w:t>万t/a，服务年限为</w:t>
                  </w:r>
                  <w:r>
                    <w:rPr>
                      <w:rFonts w:hint="default" w:ascii="Times New Roman" w:hAnsi="Times New Roman" w:cs="Times New Roman"/>
                      <w:color w:val="auto"/>
                      <w:kern w:val="0"/>
                      <w:sz w:val="21"/>
                      <w:szCs w:val="21"/>
                      <w:lang w:val="en-US" w:eastAsia="zh-CN" w:bidi="ar"/>
                    </w:rPr>
                    <w:t>3.91</w:t>
                  </w:r>
                  <w:r>
                    <w:rPr>
                      <w:rFonts w:hint="default" w:ascii="Times New Roman" w:hAnsi="Times New Roman" w:cs="Times New Roman"/>
                      <w:color w:val="auto"/>
                      <w:kern w:val="0"/>
                      <w:sz w:val="21"/>
                      <w:szCs w:val="21"/>
                      <w:lang w:bidi="ar"/>
                    </w:rPr>
                    <w:t>年。根据《云南省全面加强非煤矿山安全生产工作若干措施》的通知（云政办发〔2024〕44号）中“将现有采石（砂）场最小开采规模提高到50万吨/年”，本项目矿山生产规模能满足最低要求。</w:t>
                  </w:r>
                </w:p>
              </w:tc>
              <w:tc>
                <w:tcPr>
                  <w:tcW w:w="716" w:type="dxa"/>
                  <w:vAlign w:val="center"/>
                </w:tcPr>
                <w:p w14:paraId="219EB76F">
                  <w:pPr>
                    <w:widowControl/>
                    <w:spacing w:line="360" w:lineRule="exact"/>
                    <w:ind w:firstLine="0" w:firstLineChars="0"/>
                    <w:jc w:val="center"/>
                    <w:rPr>
                      <w:rFonts w:hint="default" w:ascii="Times New Roman" w:hAnsi="Times New Roman" w:cs="Times New Roman"/>
                      <w:b/>
                      <w:bCs/>
                      <w:color w:val="auto"/>
                      <w:kern w:val="0"/>
                      <w:sz w:val="21"/>
                      <w:szCs w:val="21"/>
                      <w:lang w:bidi="ar"/>
                    </w:rPr>
                  </w:pPr>
                  <w:r>
                    <w:rPr>
                      <w:rFonts w:hint="default" w:ascii="Times New Roman" w:hAnsi="Times New Roman" w:cs="Times New Roman"/>
                      <w:color w:val="auto"/>
                      <w:kern w:val="0"/>
                      <w:sz w:val="21"/>
                      <w:szCs w:val="21"/>
                      <w:lang w:bidi="ar"/>
                    </w:rPr>
                    <w:t>符合</w:t>
                  </w:r>
                </w:p>
              </w:tc>
            </w:tr>
            <w:tr w14:paraId="6B6A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7" w:hRule="atLeast"/>
                <w:jc w:val="center"/>
              </w:trPr>
              <w:tc>
                <w:tcPr>
                  <w:tcW w:w="4076" w:type="dxa"/>
                  <w:vAlign w:val="center"/>
                </w:tcPr>
                <w:p w14:paraId="51B05AD5">
                  <w:pPr>
                    <w:spacing w:line="360" w:lineRule="exact"/>
                    <w:ind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促进砂石产业有序发展</w:t>
                  </w:r>
                  <w:r>
                    <w:rPr>
                      <w:rFonts w:hint="default" w:ascii="Times New Roman" w:hAnsi="Times New Roman" w:cs="Times New Roman"/>
                      <w:color w:val="auto"/>
                      <w:sz w:val="21"/>
                      <w:szCs w:val="21"/>
                    </w:rPr>
                    <w:t>：统筹考虑资源禀赋、市场需求、交通物流等因素，优化普通建筑用砂石土类矿产开采规划布局，划定集中开采区，引导集中开采、规模开采、绿色开采，保障一定区域内城乡建设、交通、水利等重点项目砂石需求。鼓励通过市场手段，引导砂石土类矿山企业做大做强，支持建设大型砂石生产基地。探索研究云南省第三类矿产划分标准及类型。</w:t>
                  </w:r>
                </w:p>
              </w:tc>
              <w:tc>
                <w:tcPr>
                  <w:tcW w:w="2927" w:type="dxa"/>
                  <w:vAlign w:val="center"/>
                </w:tcPr>
                <w:p w14:paraId="743F4741">
                  <w:pPr>
                    <w:widowControl/>
                    <w:spacing w:line="360" w:lineRule="exact"/>
                    <w:ind w:firstLine="0" w:firstLineChars="0"/>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本项目属于扩建项目，具有较为完善交通等基础设施，在原有开采区域内扩大产能，规</w:t>
                  </w:r>
                  <w:r>
                    <w:rPr>
                      <w:rFonts w:hint="default" w:ascii="Times New Roman" w:hAnsi="Times New Roman" w:cs="Times New Roman"/>
                      <w:color w:val="auto"/>
                      <w:sz w:val="21"/>
                      <w:szCs w:val="21"/>
                    </w:rPr>
                    <w:t>模开采、绿色开采，保障所在区域内城乡建设、交通、水利等重点项目砂石需求。</w:t>
                  </w:r>
                </w:p>
              </w:tc>
              <w:tc>
                <w:tcPr>
                  <w:tcW w:w="716" w:type="dxa"/>
                  <w:vAlign w:val="center"/>
                </w:tcPr>
                <w:p w14:paraId="0C04FBAB">
                  <w:pPr>
                    <w:widowControl/>
                    <w:spacing w:line="360" w:lineRule="exact"/>
                    <w:ind w:firstLine="0" w:firstLineChars="0"/>
                    <w:jc w:val="center"/>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符合</w:t>
                  </w:r>
                </w:p>
              </w:tc>
            </w:tr>
            <w:tr w14:paraId="110E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2" w:hRule="atLeast"/>
                <w:jc w:val="center"/>
              </w:trPr>
              <w:tc>
                <w:tcPr>
                  <w:tcW w:w="4076" w:type="dxa"/>
                  <w:vAlign w:val="center"/>
                </w:tcPr>
                <w:p w14:paraId="619D0F8E">
                  <w:pPr>
                    <w:spacing w:line="360" w:lineRule="exact"/>
                    <w:ind w:firstLine="0" w:firstLineChars="0"/>
                    <w:rPr>
                      <w:rFonts w:hint="default" w:ascii="Times New Roman" w:hAnsi="Times New Roman" w:cs="Times New Roman"/>
                      <w:color w:val="auto"/>
                      <w:kern w:val="0"/>
                      <w:sz w:val="21"/>
                      <w:szCs w:val="21"/>
                      <w:lang w:bidi="ar"/>
                    </w:rPr>
                  </w:pPr>
                  <w:r>
                    <w:rPr>
                      <w:rFonts w:hint="default" w:ascii="Times New Roman" w:hAnsi="Times New Roman" w:cs="Times New Roman"/>
                      <w:b/>
                      <w:bCs/>
                      <w:color w:val="auto"/>
                      <w:sz w:val="21"/>
                      <w:szCs w:val="21"/>
                    </w:rPr>
                    <w:t>加强重要非金属矿产开发利用</w:t>
                  </w:r>
                  <w:r>
                    <w:rPr>
                      <w:rFonts w:hint="default" w:ascii="Times New Roman" w:hAnsi="Times New Roman" w:cs="Times New Roman"/>
                      <w:color w:val="auto"/>
                      <w:sz w:val="21"/>
                      <w:szCs w:val="21"/>
                    </w:rPr>
                    <w:t>：加大硅石矿、建材等非金属矿产供应。以开采天然装饰石材、建筑用石材、水泥灰岩、冶金辅助原料和化工辅助原料等非金属矿产为重点，引导规模开采、绿色开采，推进资源集约化、规模化开发。</w:t>
                  </w:r>
                </w:p>
              </w:tc>
              <w:tc>
                <w:tcPr>
                  <w:tcW w:w="2927" w:type="dxa"/>
                  <w:vAlign w:val="center"/>
                </w:tcPr>
                <w:p w14:paraId="616AAC07">
                  <w:pPr>
                    <w:widowControl/>
                    <w:spacing w:line="360" w:lineRule="exact"/>
                    <w:ind w:firstLine="0" w:firstLineChars="0"/>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本项目开采矿种为建筑用</w:t>
                  </w:r>
                  <w:r>
                    <w:rPr>
                      <w:rFonts w:hint="default" w:ascii="Times New Roman" w:hAnsi="Times New Roman" w:cs="Times New Roman"/>
                      <w:color w:val="auto"/>
                      <w:kern w:val="0"/>
                      <w:sz w:val="21"/>
                      <w:szCs w:val="21"/>
                      <w:lang w:val="en-US" w:eastAsia="zh-CN" w:bidi="ar"/>
                    </w:rPr>
                    <w:t>砂</w:t>
                  </w:r>
                  <w:r>
                    <w:rPr>
                      <w:rFonts w:hint="default" w:ascii="Times New Roman" w:hAnsi="Times New Roman" w:cs="Times New Roman"/>
                      <w:color w:val="auto"/>
                      <w:kern w:val="0"/>
                      <w:sz w:val="21"/>
                      <w:szCs w:val="21"/>
                      <w:lang w:bidi="ar"/>
                    </w:rPr>
                    <w:t>岩，符合</w:t>
                  </w:r>
                  <w:r>
                    <w:rPr>
                      <w:rFonts w:hint="default" w:ascii="Times New Roman" w:hAnsi="Times New Roman" w:cs="Times New Roman"/>
                      <w:color w:val="auto"/>
                      <w:sz w:val="21"/>
                      <w:szCs w:val="21"/>
                    </w:rPr>
                    <w:t>加强重要非金属矿产开发利用的规划。</w:t>
                  </w:r>
                </w:p>
              </w:tc>
              <w:tc>
                <w:tcPr>
                  <w:tcW w:w="716" w:type="dxa"/>
                  <w:vAlign w:val="center"/>
                </w:tcPr>
                <w:p w14:paraId="54566288">
                  <w:pPr>
                    <w:widowControl/>
                    <w:spacing w:line="360" w:lineRule="exact"/>
                    <w:ind w:firstLine="0" w:firstLineChars="0"/>
                    <w:jc w:val="center"/>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符合</w:t>
                  </w:r>
                </w:p>
              </w:tc>
            </w:tr>
            <w:tr w14:paraId="32FD9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7" w:hRule="atLeast"/>
                <w:jc w:val="center"/>
              </w:trPr>
              <w:tc>
                <w:tcPr>
                  <w:tcW w:w="4076" w:type="dxa"/>
                  <w:vAlign w:val="center"/>
                </w:tcPr>
                <w:p w14:paraId="01F4F99B">
                  <w:pPr>
                    <w:spacing w:line="360" w:lineRule="exact"/>
                    <w:ind w:firstLine="0" w:firstLineChars="0"/>
                    <w:rPr>
                      <w:rFonts w:hint="default" w:ascii="Times New Roman" w:hAnsi="Times New Roman" w:cs="Times New Roman"/>
                      <w:color w:val="auto"/>
                      <w:kern w:val="0"/>
                      <w:sz w:val="21"/>
                      <w:szCs w:val="21"/>
                      <w:lang w:bidi="ar"/>
                    </w:rPr>
                  </w:pPr>
                  <w:r>
                    <w:rPr>
                      <w:rFonts w:hint="default" w:ascii="Times New Roman" w:hAnsi="Times New Roman" w:cs="Times New Roman"/>
                      <w:b/>
                      <w:bCs/>
                      <w:color w:val="auto"/>
                      <w:sz w:val="21"/>
                      <w:szCs w:val="21"/>
                    </w:rPr>
                    <w:t>强化矿山企业生态修复责任</w:t>
                  </w:r>
                  <w:r>
                    <w:rPr>
                      <w:rFonts w:hint="default" w:ascii="Times New Roman" w:hAnsi="Times New Roman" w:cs="Times New Roman"/>
                      <w:color w:val="auto"/>
                      <w:sz w:val="21"/>
                      <w:szCs w:val="21"/>
                    </w:rPr>
                    <w:t>：新建和生产矿山要明确预防地质环境问题的措施，严格落实矿区生态保护责任。矿山企业应当按照“谁开发、谁保护、谁破坏、谁治理”的原则，编制《矿山地质环境保护和土地复垦方案》，建立矿山地质环境治理恢复基金，结合矿山生产实际，切实履行矿山地质环境保护与土地复垦义务。</w:t>
                  </w:r>
                </w:p>
              </w:tc>
              <w:tc>
                <w:tcPr>
                  <w:tcW w:w="2927" w:type="dxa"/>
                  <w:vAlign w:val="center"/>
                </w:tcPr>
                <w:p w14:paraId="2E1857EC">
                  <w:pPr>
                    <w:widowControl/>
                    <w:spacing w:line="360" w:lineRule="exact"/>
                    <w:ind w:firstLine="0" w:firstLineChars="0"/>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本项目开采前开展专项地质灾害危险性评估，采取“边开采、边恢复”的措施，遵循</w:t>
                  </w:r>
                  <w:r>
                    <w:rPr>
                      <w:rFonts w:hint="default" w:ascii="Times New Roman" w:hAnsi="Times New Roman" w:cs="Times New Roman"/>
                      <w:color w:val="auto"/>
                      <w:sz w:val="21"/>
                      <w:szCs w:val="21"/>
                    </w:rPr>
                    <w:t>“谁开发、谁保护、谁破坏、谁治理”的原则，严格按照《矿山地质环境保护和土地复垦方案》实施，建立矿山地质环境治理恢复基金，结合矿山生产实际，切实履行矿山地质环境保护与土地复垦义务。</w:t>
                  </w:r>
                </w:p>
              </w:tc>
              <w:tc>
                <w:tcPr>
                  <w:tcW w:w="716" w:type="dxa"/>
                  <w:vAlign w:val="center"/>
                </w:tcPr>
                <w:p w14:paraId="76F1BD71">
                  <w:pPr>
                    <w:widowControl/>
                    <w:spacing w:line="360" w:lineRule="exact"/>
                    <w:ind w:firstLine="0" w:firstLineChars="0"/>
                    <w:jc w:val="center"/>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符合</w:t>
                  </w:r>
                </w:p>
              </w:tc>
            </w:tr>
          </w:tbl>
          <w:p w14:paraId="46B83C7F">
            <w:pPr>
              <w:widowControl/>
              <w:spacing w:before="156" w:beforeLines="50"/>
              <w:ind w:firstLine="480"/>
              <w:jc w:val="left"/>
              <w:rPr>
                <w:rFonts w:hint="default" w:ascii="Times New Roman" w:hAnsi="Times New Roman" w:cs="Times New Roman"/>
                <w:color w:val="auto"/>
              </w:rPr>
            </w:pPr>
            <w:r>
              <w:rPr>
                <w:rFonts w:hint="default" w:ascii="Times New Roman" w:hAnsi="Times New Roman" w:cs="Times New Roman"/>
                <w:color w:val="auto"/>
                <w:kern w:val="0"/>
                <w:szCs w:val="24"/>
                <w:lang w:bidi="ar"/>
              </w:rPr>
              <w:t>综上分析，本项目符合</w:t>
            </w:r>
            <w:r>
              <w:rPr>
                <w:rFonts w:hint="default" w:ascii="Times New Roman" w:hAnsi="Times New Roman" w:cs="Times New Roman"/>
                <w:color w:val="auto"/>
                <w:lang w:bidi="ar"/>
              </w:rPr>
              <w:t>《云南省矿产资源总体规划（2021-2025年）》</w:t>
            </w:r>
            <w:r>
              <w:rPr>
                <w:rFonts w:hint="default" w:ascii="Times New Roman" w:hAnsi="Times New Roman" w:cs="Times New Roman"/>
                <w:color w:val="auto"/>
                <w:kern w:val="0"/>
                <w:szCs w:val="24"/>
                <w:lang w:bidi="ar"/>
              </w:rPr>
              <w:t>相关要求</w:t>
            </w:r>
            <w:r>
              <w:rPr>
                <w:rFonts w:hint="default" w:ascii="Times New Roman" w:hAnsi="Times New Roman" w:cs="Times New Roman"/>
                <w:color w:val="auto"/>
              </w:rPr>
              <w:t>。</w:t>
            </w:r>
          </w:p>
          <w:p w14:paraId="24F5B399">
            <w:pPr>
              <w:ind w:firstLine="482"/>
              <w:jc w:val="left"/>
              <w:rPr>
                <w:rFonts w:hint="default" w:ascii="Times New Roman" w:hAnsi="Times New Roman" w:cs="Times New Roman"/>
                <w:b/>
                <w:bCs/>
                <w:color w:val="auto"/>
              </w:rPr>
            </w:pPr>
            <w:r>
              <w:rPr>
                <w:rFonts w:hint="default" w:ascii="Times New Roman" w:hAnsi="Times New Roman" w:cs="Times New Roman"/>
                <w:b/>
                <w:bCs/>
                <w:color w:val="auto"/>
              </w:rPr>
              <w:t>2.与《寻甸回族彝族自治县矿产资源规划（2021-2025年）》符合性分析</w:t>
            </w:r>
          </w:p>
          <w:p w14:paraId="00F7B7CC">
            <w:pPr>
              <w:ind w:firstLine="480"/>
              <w:rPr>
                <w:rFonts w:hint="default" w:ascii="Times New Roman" w:hAnsi="Times New Roman" w:cs="Times New Roman"/>
                <w:color w:val="auto"/>
                <w:lang w:bidi="ar"/>
              </w:rPr>
            </w:pPr>
            <w:r>
              <w:rPr>
                <w:rFonts w:hint="default" w:ascii="Times New Roman" w:hAnsi="Times New Roman" w:cs="Times New Roman"/>
                <w:color w:val="auto"/>
                <w:lang w:bidi="ar"/>
              </w:rPr>
              <w:t>本项目与《寻甸回族彝族自治县矿产资源规划（2021-2025年）》（寻甸回族彝族自治县人民政府）中针对矿产资源勘查开发利用与保护符合性分析详见下表1-3。</w:t>
            </w:r>
          </w:p>
          <w:p w14:paraId="3A52BDF7">
            <w:pPr>
              <w:widowControl/>
              <w:ind w:firstLine="0" w:firstLineChars="0"/>
              <w:jc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表1-3  与《寻甸回族彝族自治县矿产资源规划（2021-2025年）》符合性分析</w:t>
            </w:r>
          </w:p>
          <w:tbl>
            <w:tblPr>
              <w:tblStyle w:val="31"/>
              <w:tblW w:w="7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9"/>
              <w:gridCol w:w="2815"/>
              <w:gridCol w:w="675"/>
            </w:tblGrid>
            <w:tr w14:paraId="7737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4229" w:type="dxa"/>
                  <w:vAlign w:val="center"/>
                </w:tcPr>
                <w:p w14:paraId="134E70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sz w:val="21"/>
                      <w:szCs w:val="21"/>
                    </w:rPr>
                    <w:t>规划要求</w:t>
                  </w:r>
                </w:p>
              </w:tc>
              <w:tc>
                <w:tcPr>
                  <w:tcW w:w="2815" w:type="dxa"/>
                  <w:vAlign w:val="center"/>
                </w:tcPr>
                <w:p w14:paraId="434611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本项目情况</w:t>
                  </w:r>
                </w:p>
              </w:tc>
              <w:tc>
                <w:tcPr>
                  <w:tcW w:w="675" w:type="dxa"/>
                  <w:vAlign w:val="center"/>
                </w:tcPr>
                <w:p w14:paraId="722B03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符合性</w:t>
                  </w:r>
                </w:p>
              </w:tc>
            </w:tr>
            <w:tr w14:paraId="551B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4229" w:type="dxa"/>
                  <w:vAlign w:val="center"/>
                </w:tcPr>
                <w:p w14:paraId="37720091">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二、加强非煤矿山管控</w:t>
                  </w:r>
                </w:p>
                <w:p w14:paraId="26E684EB">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b/>
                      <w:bCs/>
                      <w:color w:val="auto"/>
                      <w:sz w:val="21"/>
                      <w:szCs w:val="21"/>
                    </w:rPr>
                  </w:pPr>
                  <w:r>
                    <w:rPr>
                      <w:rFonts w:hint="default" w:ascii="Times New Roman" w:hAnsi="Times New Roman" w:cs="Times New Roman"/>
                      <w:color w:val="auto"/>
                      <w:kern w:val="0"/>
                      <w:sz w:val="21"/>
                      <w:szCs w:val="21"/>
                      <w:lang w:bidi="ar"/>
                    </w:rPr>
                    <w:t>提高矿山准入门槛，严格执行非煤矿山最低开采规模和服务年限标准，严防边关闭边低水平重复建设，切实提高非煤矿山开采规模。开展非煤矿山专项整治，逐步优化非煤矿山布局，鼓励大型建筑材料用矿产开采基地建设，提升非煤矿山资源保障能力。到2025年底，在巩固和深化非煤矿山专项整治工作的基础上，寻甸县非煤矿山总量控制、动态管理、依法监管机制进一步健全和完善。</w:t>
                  </w:r>
                </w:p>
              </w:tc>
              <w:tc>
                <w:tcPr>
                  <w:tcW w:w="2815" w:type="dxa"/>
                  <w:vAlign w:val="center"/>
                </w:tcPr>
                <w:p w14:paraId="0C4B8908">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color w:val="auto"/>
                      <w:kern w:val="0"/>
                      <w:sz w:val="21"/>
                      <w:szCs w:val="21"/>
                      <w:lang w:bidi="ar"/>
                    </w:rPr>
                    <w:t>本项目生产规模为</w:t>
                  </w:r>
                  <w:r>
                    <w:rPr>
                      <w:rFonts w:hint="eastAsia" w:cs="Times New Roman"/>
                      <w:color w:val="auto"/>
                      <w:kern w:val="0"/>
                      <w:sz w:val="21"/>
                      <w:szCs w:val="21"/>
                      <w:lang w:val="en-US" w:eastAsia="zh-CN" w:bidi="ar"/>
                    </w:rPr>
                    <w:t>50</w:t>
                  </w:r>
                  <w:r>
                    <w:rPr>
                      <w:rFonts w:hint="default" w:ascii="Times New Roman" w:hAnsi="Times New Roman" w:cs="Times New Roman"/>
                      <w:color w:val="auto"/>
                      <w:kern w:val="0"/>
                      <w:sz w:val="21"/>
                      <w:szCs w:val="21"/>
                      <w:lang w:bidi="ar"/>
                    </w:rPr>
                    <w:t>万t/a。根据《云南省全面加强非煤矿山安全生产工作若干措施》的通知（云政办发〔2024〕44号）中“将现有采石（砂）场最小开采规模提高到50万吨/年”，本项目矿山生产规模能满足最低要求。</w:t>
                  </w:r>
                </w:p>
              </w:tc>
              <w:tc>
                <w:tcPr>
                  <w:tcW w:w="675" w:type="dxa"/>
                  <w:vAlign w:val="center"/>
                </w:tcPr>
                <w:p w14:paraId="6333D1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color w:val="auto"/>
                      <w:kern w:val="0"/>
                      <w:sz w:val="21"/>
                      <w:szCs w:val="21"/>
                      <w:lang w:bidi="ar"/>
                    </w:rPr>
                    <w:t>符合</w:t>
                  </w:r>
                </w:p>
              </w:tc>
            </w:tr>
            <w:tr w14:paraId="135B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1" w:hRule="atLeast"/>
                <w:jc w:val="center"/>
              </w:trPr>
              <w:tc>
                <w:tcPr>
                  <w:tcW w:w="4229" w:type="dxa"/>
                  <w:vAlign w:val="center"/>
                </w:tcPr>
                <w:p w14:paraId="6AFCD05B">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三、推进砂石产业高质量绿色发展</w:t>
                  </w:r>
                </w:p>
                <w:p w14:paraId="7FD22E9D">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坚持生态优先、绿色发展，进一步优化砂石资源规划布局，支持有条件的地区划定集中开采区。鼓励砂石资源开发整合，引导砂石矿山企业做大做强，促进砂石矿产资源集约化、规模化、现代化、绿色化开采。统筹资源禀赋、市场需求、运输半径、绿色环保等因素，积极推进“净矿”出让，有序投放第三类矿产采矿权。支持建设大型绿色砂石生产基地，发展和推广应用机制砂石、积极有序投放机制砂石采矿权，鼓励采矿权人依法回收利用废石尾矿，增加砂石供给。</w:t>
                  </w:r>
                </w:p>
              </w:tc>
              <w:tc>
                <w:tcPr>
                  <w:tcW w:w="2815" w:type="dxa"/>
                  <w:vAlign w:val="center"/>
                </w:tcPr>
                <w:p w14:paraId="3D532B1B">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本项目为改建项目，</w:t>
                  </w:r>
                  <w:r>
                    <w:rPr>
                      <w:rFonts w:hint="default" w:ascii="Times New Roman" w:hAnsi="Times New Roman" w:cs="Times New Roman"/>
                      <w:color w:val="auto"/>
                      <w:sz w:val="21"/>
                      <w:szCs w:val="21"/>
                    </w:rPr>
                    <w:t>将其生产规模变更为</w:t>
                  </w:r>
                  <w:r>
                    <w:rPr>
                      <w:rFonts w:hint="eastAsia" w:cs="Times New Roman"/>
                      <w:color w:val="auto"/>
                      <w:sz w:val="21"/>
                      <w:szCs w:val="21"/>
                      <w:lang w:val="en-US" w:eastAsia="zh-CN"/>
                    </w:rPr>
                    <w:t>5</w:t>
                  </w:r>
                  <w:r>
                    <w:rPr>
                      <w:rFonts w:hint="default" w:ascii="Times New Roman" w:hAnsi="Times New Roman" w:cs="Times New Roman"/>
                      <w:color w:val="auto"/>
                      <w:sz w:val="21"/>
                      <w:szCs w:val="21"/>
                    </w:rPr>
                    <w:t>0万t/a，项目破碎站产生废气经布袋除尘器处理后由排气筒排放，无组织粉尘采取洒水降尘等措施；淋滤水和初期雨水经沉砂池处理后用于厂区洒水降尘；产生固废均得到合理处置；通过植被恢复、土地复垦等措施减轻对土地利用、动植物资源影响，</w:t>
                  </w:r>
                  <w:r>
                    <w:rPr>
                      <w:rFonts w:hint="default" w:ascii="Times New Roman" w:hAnsi="Times New Roman" w:cs="Times New Roman"/>
                      <w:color w:val="auto"/>
                      <w:kern w:val="0"/>
                      <w:sz w:val="21"/>
                      <w:szCs w:val="21"/>
                      <w:lang w:bidi="ar"/>
                    </w:rPr>
                    <w:t>做到绿色、高质量发展。</w:t>
                  </w:r>
                </w:p>
              </w:tc>
              <w:tc>
                <w:tcPr>
                  <w:tcW w:w="675" w:type="dxa"/>
                  <w:vAlign w:val="center"/>
                </w:tcPr>
                <w:p w14:paraId="3AA97E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color w:val="auto"/>
                      <w:kern w:val="0"/>
                      <w:sz w:val="21"/>
                      <w:szCs w:val="21"/>
                      <w:lang w:bidi="ar"/>
                    </w:rPr>
                    <w:t>符合</w:t>
                  </w:r>
                </w:p>
              </w:tc>
            </w:tr>
          </w:tbl>
          <w:p w14:paraId="360EAE9D">
            <w:pPr>
              <w:widowControl/>
              <w:spacing w:before="156" w:beforeLines="50"/>
              <w:ind w:firstLine="480"/>
              <w:jc w:val="left"/>
              <w:rPr>
                <w:rFonts w:hint="default" w:ascii="Times New Roman" w:hAnsi="Times New Roman" w:cs="Times New Roman"/>
                <w:b/>
                <w:bCs/>
                <w:color w:val="auto"/>
              </w:rPr>
            </w:pPr>
            <w:r>
              <w:rPr>
                <w:rFonts w:hint="default" w:ascii="Times New Roman" w:hAnsi="Times New Roman" w:cs="Times New Roman"/>
                <w:color w:val="auto"/>
                <w:kern w:val="0"/>
                <w:szCs w:val="24"/>
                <w:lang w:bidi="ar"/>
              </w:rPr>
              <w:t>综上分析，本项目符合《寻甸回族彝族自治县矿产资源规划（2021-2025年）》相关要求。</w:t>
            </w:r>
          </w:p>
          <w:p w14:paraId="6C4D9167">
            <w:pPr>
              <w:ind w:firstLine="482"/>
              <w:jc w:val="left"/>
              <w:rPr>
                <w:rFonts w:hint="default" w:ascii="Times New Roman" w:hAnsi="Times New Roman" w:cs="Times New Roman"/>
                <w:b/>
                <w:bCs/>
                <w:color w:val="auto"/>
              </w:rPr>
            </w:pPr>
            <w:r>
              <w:rPr>
                <w:rFonts w:hint="default" w:ascii="Times New Roman" w:hAnsi="Times New Roman" w:cs="Times New Roman"/>
                <w:b/>
                <w:bCs/>
                <w:color w:val="auto"/>
              </w:rPr>
              <w:t>3.与《云南省矿产资源总体规划（2021-2025年）环境影响报告书》及审查意见的符合性分析</w:t>
            </w:r>
          </w:p>
          <w:p w14:paraId="76D00A7C">
            <w:pPr>
              <w:ind w:firstLine="480"/>
              <w:rPr>
                <w:rFonts w:hint="default" w:ascii="Times New Roman" w:hAnsi="Times New Roman" w:cs="Times New Roman"/>
                <w:color w:val="auto"/>
              </w:rPr>
            </w:pPr>
            <w:r>
              <w:rPr>
                <w:rFonts w:hint="default" w:ascii="Times New Roman" w:hAnsi="Times New Roman" w:cs="Times New Roman"/>
                <w:color w:val="auto"/>
              </w:rPr>
              <w:t>根据《云南省矿产资源总体规划（2021-2025）环境影响报告书》及审查意见，本项目与审查意见的符合性分析详见下表1-4、1-5。</w:t>
            </w:r>
          </w:p>
          <w:p w14:paraId="262F30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表1-4  与《云南省矿产资源总体规划（2021-2025）环境影响报告书》符合性分析</w:t>
            </w:r>
          </w:p>
          <w:tbl>
            <w:tblPr>
              <w:tblStyle w:val="31"/>
              <w:tblW w:w="7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4"/>
              <w:gridCol w:w="3747"/>
              <w:gridCol w:w="3071"/>
              <w:gridCol w:w="616"/>
            </w:tblGrid>
            <w:tr w14:paraId="056C0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364" w:type="dxa"/>
                  <w:vAlign w:val="center"/>
                </w:tcPr>
                <w:p w14:paraId="571B25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序号</w:t>
                  </w:r>
                </w:p>
              </w:tc>
              <w:tc>
                <w:tcPr>
                  <w:tcW w:w="3747" w:type="dxa"/>
                  <w:vAlign w:val="center"/>
                </w:tcPr>
                <w:p w14:paraId="5525EE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相关要求</w:t>
                  </w:r>
                </w:p>
              </w:tc>
              <w:tc>
                <w:tcPr>
                  <w:tcW w:w="3071" w:type="dxa"/>
                  <w:vAlign w:val="center"/>
                </w:tcPr>
                <w:p w14:paraId="07FE5F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本项目情况</w:t>
                  </w:r>
                </w:p>
              </w:tc>
              <w:tc>
                <w:tcPr>
                  <w:tcW w:w="616" w:type="dxa"/>
                  <w:vAlign w:val="center"/>
                </w:tcPr>
                <w:p w14:paraId="03604E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符合性</w:t>
                  </w:r>
                </w:p>
              </w:tc>
            </w:tr>
            <w:tr w14:paraId="2C3AB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7" w:hRule="atLeast"/>
                <w:jc w:val="center"/>
              </w:trPr>
              <w:tc>
                <w:tcPr>
                  <w:tcW w:w="364" w:type="dxa"/>
                  <w:vAlign w:val="center"/>
                </w:tcPr>
                <w:p w14:paraId="7A86F6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w:t>
                  </w:r>
                </w:p>
              </w:tc>
              <w:tc>
                <w:tcPr>
                  <w:tcW w:w="3747" w:type="dxa"/>
                  <w:vAlign w:val="center"/>
                </w:tcPr>
                <w:p w14:paraId="1E3E8C2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禁止开发建设活动的要求：</w:t>
                  </w:r>
                </w:p>
                <w:p w14:paraId="66EBD5C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①禁止在生态保护红线内开展除国家重大能源资源安全需要开展的战略性能源资源勘查项目。</w:t>
                  </w:r>
                </w:p>
                <w:p w14:paraId="1B4AA275">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rPr>
                  </w:pPr>
                  <w:r>
                    <w:rPr>
                      <w:rFonts w:hint="default" w:ascii="Times New Roman" w:hAnsi="Times New Roman" w:cs="Times New Roman"/>
                      <w:color w:val="auto"/>
                      <w:sz w:val="21"/>
                      <w:szCs w:val="21"/>
                    </w:rPr>
                    <w:t>②不再新建汞矿山，逐步停止汞矿开采。</w:t>
                  </w:r>
                </w:p>
              </w:tc>
              <w:tc>
                <w:tcPr>
                  <w:tcW w:w="3071" w:type="dxa"/>
                  <w:vAlign w:val="center"/>
                </w:tcPr>
                <w:p w14:paraId="1EA65BAF">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①根据《寻甸回族彝族自治县自然资源局关于</w:t>
                  </w:r>
                  <w:r>
                    <w:rPr>
                      <w:rFonts w:hint="default" w:ascii="Times New Roman" w:hAnsi="Times New Roman" w:cs="Times New Roman"/>
                      <w:color w:val="auto"/>
                      <w:kern w:val="0"/>
                      <w:sz w:val="21"/>
                      <w:szCs w:val="21"/>
                      <w:lang w:val="en-US" w:eastAsia="zh-CN"/>
                    </w:rPr>
                    <w:t>云南省寻甸县柯渡黄龙溏普通建筑材料用砂岩矿采矿权新立联勘联审</w:t>
                  </w:r>
                  <w:r>
                    <w:rPr>
                      <w:rFonts w:hint="default" w:ascii="Times New Roman" w:hAnsi="Times New Roman" w:cs="Times New Roman"/>
                      <w:color w:val="auto"/>
                      <w:kern w:val="0"/>
                      <w:sz w:val="21"/>
                      <w:szCs w:val="21"/>
                    </w:rPr>
                    <w:t>及相关规划等有关情况的审查意见》（见附件</w:t>
                  </w:r>
                  <w:r>
                    <w:rPr>
                      <w:rFonts w:hint="default" w:ascii="Times New Roman" w:hAnsi="Times New Roman" w:cs="Times New Roman"/>
                      <w:color w:val="auto"/>
                      <w:kern w:val="0"/>
                      <w:sz w:val="21"/>
                      <w:szCs w:val="21"/>
                      <w:lang w:val="en-US" w:eastAsia="zh-CN"/>
                    </w:rPr>
                    <w:t>9</w:t>
                  </w:r>
                  <w:r>
                    <w:rPr>
                      <w:rFonts w:hint="default" w:ascii="Times New Roman" w:hAnsi="Times New Roman" w:cs="Times New Roman"/>
                      <w:color w:val="auto"/>
                      <w:kern w:val="0"/>
                      <w:sz w:val="21"/>
                      <w:szCs w:val="21"/>
                    </w:rPr>
                    <w:t>）</w:t>
                  </w:r>
                  <w:r>
                    <w:rPr>
                      <w:rFonts w:hint="default" w:ascii="Times New Roman" w:hAnsi="Times New Roman" w:cs="Times New Roman"/>
                      <w:color w:val="auto"/>
                      <w:sz w:val="21"/>
                      <w:szCs w:val="21"/>
                    </w:rPr>
                    <w:t>，本项目矿区范围不涉及生态保护红线。</w:t>
                  </w:r>
                </w:p>
                <w:p w14:paraId="27BBDA6D">
                  <w:pPr>
                    <w:pStyle w:val="2"/>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color w:val="auto"/>
                    </w:rPr>
                  </w:pPr>
                  <w:r>
                    <w:rPr>
                      <w:rFonts w:hint="default" w:ascii="Times New Roman" w:hAnsi="Times New Roman" w:cs="Times New Roman"/>
                      <w:color w:val="auto"/>
                      <w:sz w:val="21"/>
                      <w:szCs w:val="21"/>
                    </w:rPr>
                    <w:t>②本项目开采矿种为建筑石料用</w:t>
                  </w:r>
                  <w:r>
                    <w:rPr>
                      <w:rFonts w:hint="eastAsia" w:cs="Times New Roman"/>
                      <w:color w:val="auto"/>
                      <w:sz w:val="21"/>
                      <w:szCs w:val="21"/>
                      <w:lang w:val="en-US" w:eastAsia="zh-CN"/>
                    </w:rPr>
                    <w:t>砂</w:t>
                  </w:r>
                  <w:r>
                    <w:rPr>
                      <w:rFonts w:hint="default" w:ascii="Times New Roman" w:hAnsi="Times New Roman" w:cs="Times New Roman"/>
                      <w:color w:val="auto"/>
                      <w:sz w:val="21"/>
                      <w:szCs w:val="21"/>
                    </w:rPr>
                    <w:t>岩，不属于汞矿开采。</w:t>
                  </w:r>
                </w:p>
              </w:tc>
              <w:tc>
                <w:tcPr>
                  <w:tcW w:w="616" w:type="dxa"/>
                  <w:vAlign w:val="center"/>
                </w:tcPr>
                <w:p w14:paraId="3C2A673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符合</w:t>
                  </w:r>
                </w:p>
              </w:tc>
            </w:tr>
            <w:tr w14:paraId="1B74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dxa"/>
                  <w:vAlign w:val="center"/>
                </w:tcPr>
                <w:p w14:paraId="42D2E6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2</w:t>
                  </w:r>
                </w:p>
              </w:tc>
              <w:tc>
                <w:tcPr>
                  <w:tcW w:w="3747" w:type="dxa"/>
                  <w:vAlign w:val="center"/>
                </w:tcPr>
                <w:p w14:paraId="4C28B7CC">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限制开发建设活动的要求：</w:t>
                  </w:r>
                </w:p>
                <w:p w14:paraId="270F3AB1">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①限制开采高硫、高灰、高砷、高氟煤炭和湿地泥炭，以及砂金、砂铁等重砂矿物。</w:t>
                  </w:r>
                </w:p>
                <w:p w14:paraId="3755883E">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②严格砂石粘土矿开采布局管控，避免滥采滥挖破坏环境。严格控制河沙（砾）开采，合理确定开采范围、开采时段和开采量。</w:t>
                  </w:r>
                </w:p>
                <w:p w14:paraId="57D1ABD2">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③一般生态空间内，严格限制矿产资源开发，严格矿产作业范围，开采过程中应减少占地、注意植被的保护，将采矿工业场地、废石堆场及运输道路范围控制在设计范围之内，严禁外扩场地范围，减少植被破坏。</w:t>
                  </w:r>
                </w:p>
                <w:p w14:paraId="6FF67A2B">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④落实《云南省矿产资源总体规划》中磷矿、铁钨钼等金属矿、煤矿、稀土矿等矿种的矿山最低开采规模和矿山“三率”水平达标率目标等限制性开采要求。</w:t>
                  </w:r>
                </w:p>
                <w:p w14:paraId="3ACAB8CE">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⑤全力化解煤炭过剩产能，继续实施钨矿、稀土矿开采总量控制，鼓励伴生钨矿综合利用，限制钼矿等产能过剩矿产开发。</w:t>
                  </w:r>
                </w:p>
                <w:p w14:paraId="2AE1C5C3">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⑥严格矿产开发准入条件。强化开采矿种源头管控、严格执行矿山最低开采规模标准、强化矿产资源绿色勘查开发，保护生态环境。</w:t>
                  </w:r>
                </w:p>
                <w:p w14:paraId="58C865D7">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⑦新建矿山严格控制最低开采规模。对于已有矿山存在规模小、数量多、布局不合理、资源浪费严重、生态保护和安全生产压力大等突出问题，通过产业调整、转型升级、资源整合等方式，构建集约、高效、协调的矿山开发新格局，实现科学发展、安全发展。</w:t>
                  </w:r>
                </w:p>
                <w:p w14:paraId="3C2D6BAE">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⑧推行清洁生产工艺，严格矿产资源开发的污染物排放。</w:t>
                  </w:r>
                </w:p>
              </w:tc>
              <w:tc>
                <w:tcPr>
                  <w:tcW w:w="3071" w:type="dxa"/>
                  <w:vAlign w:val="center"/>
                </w:tcPr>
                <w:p w14:paraId="31772706">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①本项目为建筑石料用</w:t>
                  </w:r>
                  <w:r>
                    <w:rPr>
                      <w:rFonts w:hint="eastAsia" w:cs="Times New Roman"/>
                      <w:color w:val="auto"/>
                      <w:sz w:val="21"/>
                      <w:szCs w:val="21"/>
                      <w:lang w:val="en-US" w:eastAsia="zh-CN"/>
                    </w:rPr>
                    <w:t>砂</w:t>
                  </w:r>
                  <w:r>
                    <w:rPr>
                      <w:rFonts w:hint="default" w:ascii="Times New Roman" w:hAnsi="Times New Roman" w:cs="Times New Roman"/>
                      <w:color w:val="auto"/>
                      <w:sz w:val="21"/>
                      <w:szCs w:val="21"/>
                    </w:rPr>
                    <w:t>岩开采，不涉及高硫、高灰、高砷、高氟煤炭和湿地泥炭，以及砂金、砂铁等重砂矿物开采；</w:t>
                  </w:r>
                </w:p>
                <w:p w14:paraId="4402EC8B">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②本项目为建筑石料用</w:t>
                  </w:r>
                  <w:r>
                    <w:rPr>
                      <w:rFonts w:hint="eastAsia" w:cs="Times New Roman"/>
                      <w:color w:val="auto"/>
                      <w:sz w:val="21"/>
                      <w:szCs w:val="21"/>
                      <w:lang w:val="en-US" w:eastAsia="zh-CN"/>
                    </w:rPr>
                    <w:t>砂</w:t>
                  </w:r>
                  <w:r>
                    <w:rPr>
                      <w:rFonts w:hint="default" w:ascii="Times New Roman" w:hAnsi="Times New Roman" w:cs="Times New Roman"/>
                      <w:color w:val="auto"/>
                      <w:sz w:val="21"/>
                      <w:szCs w:val="21"/>
                    </w:rPr>
                    <w:t>岩开采，开采过程中不超越开采区域滥采滥挖，项目不涉及河沙（砾）开采；</w:t>
                  </w:r>
                </w:p>
                <w:p w14:paraId="69DCF39A">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③本项目开采严格控制在矿产作业范围，采矿工业场地、</w:t>
                  </w:r>
                  <w:r>
                    <w:rPr>
                      <w:rFonts w:hint="eastAsia" w:cs="Times New Roman"/>
                      <w:color w:val="auto"/>
                      <w:sz w:val="21"/>
                      <w:szCs w:val="21"/>
                      <w:lang w:val="en-US" w:eastAsia="zh-CN"/>
                    </w:rPr>
                    <w:t>临时表土堆场</w:t>
                  </w:r>
                  <w:r>
                    <w:rPr>
                      <w:rFonts w:hint="default" w:ascii="Times New Roman" w:hAnsi="Times New Roman" w:cs="Times New Roman"/>
                      <w:color w:val="auto"/>
                      <w:sz w:val="21"/>
                      <w:szCs w:val="21"/>
                    </w:rPr>
                    <w:t>及运输道路等范围均在设计范围之内；</w:t>
                  </w:r>
                </w:p>
                <w:p w14:paraId="04460CC8">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④本项目为建筑石料用</w:t>
                  </w:r>
                  <w:r>
                    <w:rPr>
                      <w:rFonts w:hint="eastAsia" w:cs="Times New Roman"/>
                      <w:color w:val="auto"/>
                      <w:sz w:val="21"/>
                      <w:szCs w:val="21"/>
                      <w:lang w:val="en-US" w:eastAsia="zh-CN"/>
                    </w:rPr>
                    <w:t>砂</w:t>
                  </w:r>
                  <w:r>
                    <w:rPr>
                      <w:rFonts w:hint="default" w:ascii="Times New Roman" w:hAnsi="Times New Roman" w:cs="Times New Roman"/>
                      <w:color w:val="auto"/>
                      <w:sz w:val="21"/>
                      <w:szCs w:val="21"/>
                    </w:rPr>
                    <w:t>岩开采，开采规模为</w:t>
                  </w:r>
                  <w:r>
                    <w:rPr>
                      <w:rFonts w:hint="eastAsia" w:cs="Times New Roman"/>
                      <w:color w:val="auto"/>
                      <w:sz w:val="21"/>
                      <w:szCs w:val="21"/>
                      <w:lang w:val="en-US" w:eastAsia="zh-CN" w:bidi="ar"/>
                    </w:rPr>
                    <w:t>5</w:t>
                  </w:r>
                  <w:r>
                    <w:rPr>
                      <w:rFonts w:hint="default" w:ascii="Times New Roman" w:hAnsi="Times New Roman" w:cs="Times New Roman"/>
                      <w:color w:val="auto"/>
                      <w:sz w:val="21"/>
                      <w:szCs w:val="21"/>
                      <w:lang w:bidi="ar"/>
                    </w:rPr>
                    <w:t>0万t/a，满足</w:t>
                  </w:r>
                  <w:r>
                    <w:rPr>
                      <w:rFonts w:hint="default" w:ascii="Times New Roman" w:hAnsi="Times New Roman" w:cs="Times New Roman"/>
                      <w:color w:val="auto"/>
                      <w:sz w:val="21"/>
                      <w:szCs w:val="21"/>
                    </w:rPr>
                    <w:t>矿山最低开采规模，在生产过程中提高矿山开发回采率、选矿回收率和综合利用率，实现“三率”水平达标目标；</w:t>
                  </w:r>
                </w:p>
                <w:p w14:paraId="4F5F7218">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⑤本项目为建筑石料用</w:t>
                  </w:r>
                  <w:r>
                    <w:rPr>
                      <w:rFonts w:hint="eastAsia" w:cs="Times New Roman"/>
                      <w:color w:val="auto"/>
                      <w:sz w:val="21"/>
                      <w:szCs w:val="21"/>
                      <w:lang w:val="en-US" w:eastAsia="zh-CN"/>
                    </w:rPr>
                    <w:t>砂</w:t>
                  </w:r>
                  <w:r>
                    <w:rPr>
                      <w:rFonts w:hint="default" w:ascii="Times New Roman" w:hAnsi="Times New Roman" w:cs="Times New Roman"/>
                      <w:color w:val="auto"/>
                      <w:sz w:val="21"/>
                      <w:szCs w:val="21"/>
                    </w:rPr>
                    <w:t>岩开采，不涉及煤炭、钨矿、稀土矿、伴生钨矿、钼矿等矿产开采；</w:t>
                  </w:r>
                </w:p>
                <w:p w14:paraId="19D505F1">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lang w:bidi="ar"/>
                    </w:rPr>
                  </w:pPr>
                  <w:r>
                    <w:rPr>
                      <w:rFonts w:hint="default" w:ascii="Times New Roman" w:hAnsi="Times New Roman" w:cs="Times New Roman"/>
                      <w:color w:val="auto"/>
                      <w:sz w:val="21"/>
                      <w:szCs w:val="21"/>
                    </w:rPr>
                    <w:t>⑥项目开采矿种为建筑石料用</w:t>
                  </w:r>
                  <w:r>
                    <w:rPr>
                      <w:rFonts w:hint="eastAsia" w:cs="Times New Roman"/>
                      <w:color w:val="auto"/>
                      <w:sz w:val="21"/>
                      <w:szCs w:val="21"/>
                      <w:lang w:val="en-US" w:eastAsia="zh-CN"/>
                    </w:rPr>
                    <w:t>砂</w:t>
                  </w:r>
                  <w:r>
                    <w:rPr>
                      <w:rFonts w:hint="default" w:ascii="Times New Roman" w:hAnsi="Times New Roman" w:cs="Times New Roman"/>
                      <w:color w:val="auto"/>
                      <w:sz w:val="21"/>
                      <w:szCs w:val="21"/>
                    </w:rPr>
                    <w:t>岩，</w:t>
                  </w:r>
                  <w:r>
                    <w:rPr>
                      <w:rFonts w:hint="default" w:ascii="Times New Roman" w:hAnsi="Times New Roman" w:cs="Times New Roman"/>
                      <w:color w:val="auto"/>
                      <w:sz w:val="21"/>
                      <w:szCs w:val="21"/>
                      <w:lang w:bidi="ar"/>
                    </w:rPr>
                    <w:t>本项目生产规模为</w:t>
                  </w:r>
                  <w:r>
                    <w:rPr>
                      <w:rFonts w:hint="eastAsia" w:cs="Times New Roman"/>
                      <w:color w:val="auto"/>
                      <w:sz w:val="21"/>
                      <w:szCs w:val="21"/>
                      <w:lang w:val="en-US" w:eastAsia="zh-CN" w:bidi="ar"/>
                    </w:rPr>
                    <w:t>5</w:t>
                  </w:r>
                  <w:r>
                    <w:rPr>
                      <w:rFonts w:hint="default" w:ascii="Times New Roman" w:hAnsi="Times New Roman" w:cs="Times New Roman"/>
                      <w:color w:val="auto"/>
                      <w:sz w:val="21"/>
                      <w:szCs w:val="21"/>
                      <w:lang w:bidi="ar"/>
                    </w:rPr>
                    <w:t>0万t/a，满足</w:t>
                  </w:r>
                  <w:r>
                    <w:rPr>
                      <w:rFonts w:hint="default" w:ascii="Times New Roman" w:hAnsi="Times New Roman" w:cs="Times New Roman"/>
                      <w:color w:val="auto"/>
                      <w:sz w:val="21"/>
                      <w:szCs w:val="21"/>
                    </w:rPr>
                    <w:t>矿山最低开采规模标准</w:t>
                  </w:r>
                  <w:r>
                    <w:rPr>
                      <w:rFonts w:hint="default" w:ascii="Times New Roman" w:hAnsi="Times New Roman" w:cs="Times New Roman"/>
                      <w:color w:val="auto"/>
                      <w:sz w:val="21"/>
                      <w:szCs w:val="21"/>
                      <w:lang w:bidi="ar"/>
                    </w:rPr>
                    <w:t>；全面落实绿色勘查、绿色开采理念，开采过程中尽量减少对地表的扰动与植被的破坏，严格落实相关生态修复方案；</w:t>
                  </w:r>
                </w:p>
                <w:p w14:paraId="6CB68958">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lang w:bidi="ar"/>
                    </w:rPr>
                  </w:pPr>
                  <w:r>
                    <w:rPr>
                      <w:rFonts w:hint="default" w:ascii="Times New Roman" w:hAnsi="Times New Roman" w:cs="Times New Roman"/>
                      <w:color w:val="auto"/>
                      <w:sz w:val="21"/>
                      <w:szCs w:val="21"/>
                    </w:rPr>
                    <w:t>⑦本项目为改建项目，将开采规模由原来的</w:t>
                  </w:r>
                  <w:r>
                    <w:rPr>
                      <w:rFonts w:hint="eastAsia" w:cs="Times New Roman"/>
                      <w:color w:val="auto"/>
                      <w:sz w:val="21"/>
                      <w:szCs w:val="21"/>
                      <w:lang w:val="en-US" w:eastAsia="zh-CN"/>
                    </w:rPr>
                    <w:t>10</w:t>
                  </w:r>
                  <w:r>
                    <w:rPr>
                      <w:rFonts w:hint="default" w:ascii="Times New Roman" w:hAnsi="Times New Roman" w:cs="Times New Roman"/>
                      <w:color w:val="auto"/>
                      <w:sz w:val="21"/>
                      <w:szCs w:val="21"/>
                    </w:rPr>
                    <w:t>万t/a调整至</w:t>
                  </w:r>
                  <w:r>
                    <w:rPr>
                      <w:rFonts w:hint="eastAsia" w:cs="Times New Roman"/>
                      <w:color w:val="auto"/>
                      <w:sz w:val="21"/>
                      <w:szCs w:val="21"/>
                      <w:lang w:val="en-US" w:eastAsia="zh-CN"/>
                    </w:rPr>
                    <w:t>5</w:t>
                  </w:r>
                  <w:r>
                    <w:rPr>
                      <w:rFonts w:hint="default" w:ascii="Times New Roman" w:hAnsi="Times New Roman" w:cs="Times New Roman"/>
                      <w:color w:val="auto"/>
                      <w:sz w:val="21"/>
                      <w:szCs w:val="21"/>
                    </w:rPr>
                    <w:t>0万t/a，满足最低开采规模，项目构建集约、高效、协调的矿山开发新格局，实现科学发展、安全发展；</w:t>
                  </w:r>
                </w:p>
                <w:p w14:paraId="6B0D66AB">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⑧本项目</w:t>
                  </w:r>
                  <w:r>
                    <w:rPr>
                      <w:rFonts w:hint="default" w:ascii="Times New Roman" w:hAnsi="Times New Roman" w:cs="Times New Roman"/>
                      <w:color w:val="auto"/>
                      <w:sz w:val="21"/>
                      <w:szCs w:val="21"/>
                    </w:rPr>
                    <w:t>破碎站产生废气经布袋除尘器处理后通过排气筒排放，无组织粉尘采取洒水降尘等措施；产生的淋滤水和初期雨水经沉砂池处理后用于厂区洒水降尘；产生固废均得到合理处置，</w:t>
                  </w:r>
                  <w:r>
                    <w:rPr>
                      <w:rFonts w:hint="default" w:ascii="Times New Roman" w:hAnsi="Times New Roman" w:cs="Times New Roman"/>
                      <w:color w:val="auto"/>
                      <w:sz w:val="21"/>
                      <w:szCs w:val="21"/>
                      <w:lang w:bidi="ar"/>
                    </w:rPr>
                    <w:t>严格遵循清洁生产“减量化、资源化、无害化”核心原则</w:t>
                  </w:r>
                </w:p>
              </w:tc>
              <w:tc>
                <w:tcPr>
                  <w:tcW w:w="616" w:type="dxa"/>
                  <w:vAlign w:val="center"/>
                </w:tcPr>
                <w:p w14:paraId="1EACB8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符合</w:t>
                  </w:r>
                </w:p>
              </w:tc>
            </w:tr>
            <w:tr w14:paraId="1ED54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4" w:type="dxa"/>
                  <w:vAlign w:val="center"/>
                </w:tcPr>
                <w:p w14:paraId="754F7B6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lang w:val="en-US" w:eastAsia="zh-CN"/>
                    </w:rPr>
                  </w:pPr>
                  <w:r>
                    <w:rPr>
                      <w:rFonts w:hint="default" w:ascii="Times New Roman" w:hAnsi="Times New Roman" w:cs="Times New Roman"/>
                      <w:color w:val="auto"/>
                      <w:kern w:val="0"/>
                      <w:sz w:val="21"/>
                      <w:szCs w:val="21"/>
                    </w:rPr>
                    <w:t>3</w:t>
                  </w:r>
                </w:p>
              </w:tc>
              <w:tc>
                <w:tcPr>
                  <w:tcW w:w="3747" w:type="dxa"/>
                  <w:vAlign w:val="center"/>
                </w:tcPr>
                <w:p w14:paraId="6BC056B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不符合空间布局要求活动的退出要求：</w:t>
                  </w:r>
                </w:p>
                <w:p w14:paraId="0290AC6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①严格执行全省规划禁止开采区规定。对各类保护区内已设置的商业探矿权和采矿权，依法退出；对各类保护区设立之前已存在的合法探矿权和采矿权，以及各类保护区设立之后各项手续完备且已征得保护区主管部门同意设立的探矿权和采矿权，分类提出差别化的补偿和退出方案，在保障探矿权和采矿权人合法权益的前提下，依法有序退出。</w:t>
                  </w:r>
                </w:p>
                <w:p w14:paraId="0A9D8C0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②对违反资源环境法律法规、规划，污染环境、破坏生态、乱采滥挖的露天矿山，依法予以关闭；对污染治理不规范的露天矿山，依法责令停产整治，整治完成并经有关部门组织验收合格后方可恢复生产，对拒不停产或擅自恢复生产的依法强制关闭。</w:t>
                  </w:r>
                </w:p>
              </w:tc>
              <w:tc>
                <w:tcPr>
                  <w:tcW w:w="3071" w:type="dxa"/>
                  <w:vAlign w:val="center"/>
                </w:tcPr>
                <w:p w14:paraId="5A63698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lang w:bidi="ar"/>
                    </w:rPr>
                  </w:pPr>
                  <w:r>
                    <w:rPr>
                      <w:rFonts w:hint="default" w:ascii="Times New Roman" w:hAnsi="Times New Roman" w:cs="Times New Roman"/>
                      <w:color w:val="auto"/>
                      <w:sz w:val="21"/>
                      <w:szCs w:val="21"/>
                    </w:rPr>
                    <w:t>本项目位于寻甸县</w:t>
                  </w:r>
                  <w:r>
                    <w:rPr>
                      <w:rFonts w:hint="eastAsia" w:cs="Times New Roman"/>
                      <w:color w:val="auto"/>
                      <w:sz w:val="21"/>
                      <w:szCs w:val="21"/>
                      <w:lang w:val="en-US" w:eastAsia="zh-CN"/>
                    </w:rPr>
                    <w:t>柯渡镇乐朗村稗子田</w:t>
                  </w:r>
                  <w:r>
                    <w:rPr>
                      <w:rFonts w:hint="default" w:ascii="Times New Roman" w:hAnsi="Times New Roman" w:cs="Times New Roman"/>
                      <w:color w:val="auto"/>
                      <w:sz w:val="21"/>
                      <w:szCs w:val="21"/>
                    </w:rPr>
                    <w:t>，不属于禁止开采区。本项目不存在自然资源领域违法行为。</w:t>
                  </w:r>
                </w:p>
              </w:tc>
              <w:tc>
                <w:tcPr>
                  <w:tcW w:w="616" w:type="dxa"/>
                  <w:vAlign w:val="center"/>
                </w:tcPr>
                <w:p w14:paraId="39DC10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符合</w:t>
                  </w:r>
                </w:p>
              </w:tc>
            </w:tr>
          </w:tbl>
          <w:p w14:paraId="71840A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p>
          <w:p w14:paraId="3384C667">
            <w:pPr>
              <w:widowControl/>
              <w:spacing w:before="156" w:beforeLines="50" w:line="240" w:lineRule="auto"/>
              <w:ind w:firstLine="0" w:firstLineChars="0"/>
              <w:jc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表1-5  与《云南省矿产资源总体规划（2021-2025）环境影响报告书》审查意见符合性分析</w:t>
            </w:r>
          </w:p>
          <w:tbl>
            <w:tblPr>
              <w:tblStyle w:val="31"/>
              <w:tblW w:w="7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3861"/>
              <w:gridCol w:w="2971"/>
              <w:gridCol w:w="550"/>
            </w:tblGrid>
            <w:tr w14:paraId="2A4CA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416" w:type="dxa"/>
                  <w:vAlign w:val="center"/>
                </w:tcPr>
                <w:p w14:paraId="07BC19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序号</w:t>
                  </w:r>
                </w:p>
              </w:tc>
              <w:tc>
                <w:tcPr>
                  <w:tcW w:w="3861" w:type="dxa"/>
                  <w:vAlign w:val="center"/>
                </w:tcPr>
                <w:p w14:paraId="563143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审查意见相关要求</w:t>
                  </w:r>
                </w:p>
              </w:tc>
              <w:tc>
                <w:tcPr>
                  <w:tcW w:w="2971" w:type="dxa"/>
                  <w:vAlign w:val="center"/>
                </w:tcPr>
                <w:p w14:paraId="3B0046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本项目情况</w:t>
                  </w:r>
                </w:p>
              </w:tc>
              <w:tc>
                <w:tcPr>
                  <w:tcW w:w="550" w:type="dxa"/>
                  <w:vAlign w:val="center"/>
                </w:tcPr>
                <w:p w14:paraId="14AC1F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kern w:val="0"/>
                      <w:sz w:val="21"/>
                      <w:szCs w:val="21"/>
                      <w:lang w:bidi="ar"/>
                    </w:rPr>
                    <w:t>符合性</w:t>
                  </w:r>
                </w:p>
              </w:tc>
            </w:tr>
            <w:tr w14:paraId="4059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4" w:hRule="atLeast"/>
                <w:jc w:val="center"/>
              </w:trPr>
              <w:tc>
                <w:tcPr>
                  <w:tcW w:w="416" w:type="dxa"/>
                  <w:vAlign w:val="center"/>
                </w:tcPr>
                <w:p w14:paraId="5A4259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3861" w:type="dxa"/>
                  <w:vAlign w:val="center"/>
                </w:tcPr>
                <w:p w14:paraId="3E5F90A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坚持生态优先、绿色发展。坚持以习近平生态文明思想为指导，严格落实《中华人民共和国长江保护法》，按照“共抓大保护、不搞大开发”的要求，立足于生态系统稳定和生态环境质量改善，处理好生态环境保护与矿产资源开发的关系，合理控制矿产资源开发规模与强度，不得占用依法应当禁止开发的区域，优先避让生态环境敏感区域。</w:t>
                  </w:r>
                </w:p>
                <w:p w14:paraId="733E4331">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进一步强化《规划》的生态环境保护总体要求，将细化后的大中型矿山比例、矿山“三率”水平、绿色矿山数量等绿色开发、生态修复等相关目标、指标作为《规划》实施的硬约束。</w:t>
                  </w:r>
                </w:p>
              </w:tc>
              <w:tc>
                <w:tcPr>
                  <w:tcW w:w="2971" w:type="dxa"/>
                  <w:vAlign w:val="center"/>
                </w:tcPr>
                <w:p w14:paraId="36A4A2C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本矿山坚持生态优先、绿色发展的原则，本项目不存在自然资源领域违法行为，不占用依法应当禁止开发的区域；</w:t>
                  </w:r>
                </w:p>
                <w:p w14:paraId="6506001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矿山开采表土</w:t>
                  </w:r>
                  <w:r>
                    <w:rPr>
                      <w:rFonts w:hint="eastAsia" w:cs="Times New Roman"/>
                      <w:color w:val="auto"/>
                      <w:sz w:val="21"/>
                      <w:szCs w:val="21"/>
                      <w:lang w:val="en-US" w:eastAsia="zh-CN"/>
                    </w:rPr>
                    <w:t>用于采空区覆土绿化</w:t>
                  </w:r>
                  <w:r>
                    <w:rPr>
                      <w:rFonts w:hint="default" w:ascii="Times New Roman" w:hAnsi="Times New Roman" w:cs="Times New Roman"/>
                      <w:color w:val="auto"/>
                      <w:sz w:val="21"/>
                      <w:szCs w:val="21"/>
                    </w:rPr>
                    <w:t>，符合国家矿产资源合理开发利用相关要求。</w:t>
                  </w:r>
                </w:p>
              </w:tc>
              <w:tc>
                <w:tcPr>
                  <w:tcW w:w="550" w:type="dxa"/>
                  <w:vAlign w:val="center"/>
                </w:tcPr>
                <w:p w14:paraId="323F45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327E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6" w:type="dxa"/>
                  <w:vAlign w:val="center"/>
                </w:tcPr>
                <w:p w14:paraId="3F6774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3861" w:type="dxa"/>
                  <w:vAlign w:val="center"/>
                </w:tcPr>
                <w:p w14:paraId="7EE81B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严格保护生态空间，优化《规划》布局。将生态保护红线作为保障和维护区域生态安全的底线，应进一步优化矿业权设置和空间布局，依法依规对生态空间实施严格保护。针对与生态保护红线存在空间重叠的已取得采矿权的地热、矿泉水和已取得探矿权的油气、铜矿，应进一步优化调整现有矿业权，依照生态保护红线管控要求，依法依规妥善处置。针对与自然保护区、森林公园、地质公园、湿地公园、饮用水水源保护区等存在空间重叠的5个能源资源基地、4个国家规划矿区、2个重点勘查区等，应进一步优化布局，确保满足相关生态环境敏感区管控要求。</w:t>
                  </w:r>
                </w:p>
              </w:tc>
              <w:tc>
                <w:tcPr>
                  <w:tcW w:w="2971" w:type="dxa"/>
                  <w:vAlign w:val="center"/>
                </w:tcPr>
                <w:p w14:paraId="296796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根据根据《寻甸回族彝族自治县自然资源局关于</w:t>
                  </w:r>
                  <w:r>
                    <w:rPr>
                      <w:rFonts w:hint="default" w:ascii="Times New Roman" w:hAnsi="Times New Roman" w:cs="Times New Roman"/>
                      <w:color w:val="auto"/>
                      <w:sz w:val="21"/>
                      <w:szCs w:val="21"/>
                      <w:lang w:val="en-US" w:eastAsia="zh-CN"/>
                    </w:rPr>
                    <w:t>云南省寻甸县柯渡黄龙溏普通建筑材料用砂岩矿采矿权新立联勘联审</w:t>
                  </w:r>
                  <w:r>
                    <w:rPr>
                      <w:rFonts w:hint="default" w:ascii="Times New Roman" w:hAnsi="Times New Roman" w:cs="Times New Roman"/>
                      <w:color w:val="auto"/>
                      <w:sz w:val="21"/>
                      <w:szCs w:val="21"/>
                    </w:rPr>
                    <w:t>及相关规划等有关情况的审查意见》（见附件</w:t>
                  </w:r>
                  <w:r>
                    <w:rPr>
                      <w:rFonts w:hint="default" w:ascii="Times New Roman" w:hAnsi="Times New Roman" w:cs="Times New Roman"/>
                      <w:color w:val="auto"/>
                      <w:sz w:val="21"/>
                      <w:szCs w:val="21"/>
                      <w:lang w:val="en-US" w:eastAsia="zh-CN"/>
                    </w:rPr>
                    <w:t>9</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项目矿权范围</w:t>
                  </w:r>
                  <w:r>
                    <w:rPr>
                      <w:rFonts w:hint="default" w:ascii="Times New Roman" w:hAnsi="Times New Roman" w:cs="Times New Roman"/>
                      <w:color w:val="auto"/>
                      <w:sz w:val="21"/>
                      <w:szCs w:val="21"/>
                    </w:rPr>
                    <w:t>不在自然保护区、国家公园、三江并流世界自然遗产地、风景名胜区、森林公园、水资源保护区、地质公园、地质遗迹、</w:t>
                  </w:r>
                  <w:r>
                    <w:rPr>
                      <w:rFonts w:hint="default" w:ascii="Times New Roman" w:hAnsi="Times New Roman" w:cs="Times New Roman"/>
                      <w:color w:val="auto"/>
                      <w:sz w:val="21"/>
                      <w:szCs w:val="21"/>
                      <w:lang w:val="en-US" w:eastAsia="zh-CN"/>
                    </w:rPr>
                    <w:t>不占生态保护红线、</w:t>
                  </w:r>
                  <w:r>
                    <w:rPr>
                      <w:rFonts w:hint="default" w:ascii="Times New Roman" w:hAnsi="Times New Roman" w:cs="Times New Roman"/>
                      <w:color w:val="auto"/>
                      <w:sz w:val="21"/>
                      <w:szCs w:val="21"/>
                    </w:rPr>
                    <w:t>基本农田保护区，建设项目压覆区，</w:t>
                  </w:r>
                  <w:r>
                    <w:rPr>
                      <w:rFonts w:hint="default" w:ascii="Times New Roman" w:hAnsi="Times New Roman" w:cs="Times New Roman"/>
                      <w:color w:val="auto"/>
                      <w:sz w:val="21"/>
                      <w:szCs w:val="21"/>
                      <w:lang w:val="en-US" w:eastAsia="zh-CN"/>
                    </w:rPr>
                    <w:t>矿产资源规划禁止区和限制区等重要地区范围内</w:t>
                  </w:r>
                  <w:r>
                    <w:rPr>
                      <w:rFonts w:hint="default" w:ascii="Times New Roman" w:hAnsi="Times New Roman" w:cs="Times New Roman"/>
                      <w:color w:val="auto"/>
                      <w:sz w:val="21"/>
                      <w:szCs w:val="21"/>
                    </w:rPr>
                    <w:t>。本项目建设矿区范围不变，满足相关生态环境敏感区管控要求。</w:t>
                  </w:r>
                </w:p>
              </w:tc>
              <w:tc>
                <w:tcPr>
                  <w:tcW w:w="550" w:type="dxa"/>
                  <w:vAlign w:val="center"/>
                </w:tcPr>
                <w:p w14:paraId="05F8BD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3DD1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7" w:hRule="atLeast"/>
                <w:jc w:val="center"/>
              </w:trPr>
              <w:tc>
                <w:tcPr>
                  <w:tcW w:w="416" w:type="dxa"/>
                  <w:vAlign w:val="center"/>
                </w:tcPr>
                <w:p w14:paraId="2AD502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3861" w:type="dxa"/>
                  <w:vAlign w:val="center"/>
                </w:tcPr>
                <w:p w14:paraId="48CBF9A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严格产业准入，合理控制矿山开采种类和规模。严格落实《规划》目标和准入要求，重点矿种新设矿山执行最低开采规模，矿山总数控制在6400家左右，提高大中型矿山比例，加大低效产能压减、无效产能腾退力度，逐步稳妥关闭退出安全隐患突出、生态环境问题明显、违法违规问题多的“小弱散”矿山和未达到最低生产规模的矿山。禁止开采汞、蓝石棉、可耕地砖瓦用粘土及其他对生态环境可能产生严重破坏且难以恢复的矿产，限制开采高硫、高灰、高砷、高氟煤炭和湿地泥炭以及砂金、砂铁等矿产。对国家规定实行保护性开采的钨、稀土等矿产实行开采总量控制，严格按照国家下达指标开采。严格尾矿库的新建和管理，确保符合相关要求。</w:t>
                  </w:r>
                </w:p>
              </w:tc>
              <w:tc>
                <w:tcPr>
                  <w:tcW w:w="2971" w:type="dxa"/>
                  <w:vAlign w:val="center"/>
                </w:tcPr>
                <w:p w14:paraId="5435498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本矿山生产规模为</w:t>
                  </w:r>
                  <w:r>
                    <w:rPr>
                      <w:rFonts w:hint="default" w:ascii="Times New Roman" w:hAnsi="Times New Roman" w:cs="Times New Roman"/>
                      <w:color w:val="auto"/>
                      <w:sz w:val="21"/>
                      <w:szCs w:val="21"/>
                      <w:lang w:val="en-US" w:eastAsia="zh-CN"/>
                    </w:rPr>
                    <w:t>50</w:t>
                  </w:r>
                  <w:r>
                    <w:rPr>
                      <w:rFonts w:hint="default" w:ascii="Times New Roman" w:hAnsi="Times New Roman" w:cs="Times New Roman"/>
                      <w:color w:val="auto"/>
                      <w:sz w:val="21"/>
                      <w:szCs w:val="21"/>
                    </w:rPr>
                    <w:t>万t/a，规划矿权设计服务年限为</w:t>
                  </w:r>
                  <w:r>
                    <w:rPr>
                      <w:rFonts w:hint="default" w:ascii="Times New Roman" w:hAnsi="Times New Roman" w:cs="Times New Roman"/>
                      <w:color w:val="auto"/>
                      <w:kern w:val="0"/>
                      <w:sz w:val="21"/>
                      <w:szCs w:val="21"/>
                      <w:lang w:val="en-US" w:eastAsia="zh-CN" w:bidi="ar"/>
                    </w:rPr>
                    <w:t>3.91</w:t>
                  </w:r>
                  <w:r>
                    <w:rPr>
                      <w:rFonts w:hint="default" w:ascii="Times New Roman" w:hAnsi="Times New Roman" w:cs="Times New Roman"/>
                      <w:color w:val="auto"/>
                      <w:sz w:val="21"/>
                      <w:szCs w:val="21"/>
                    </w:rPr>
                    <w:t>年。满足《云南省非煤矿山最小开采规模和最低服务年限标准》规定；项目为</w:t>
                  </w:r>
                  <w:r>
                    <w:rPr>
                      <w:rFonts w:hint="default" w:ascii="Times New Roman" w:hAnsi="Times New Roman" w:cs="Times New Roman"/>
                      <w:color w:val="auto"/>
                      <w:kern w:val="0"/>
                      <w:sz w:val="21"/>
                    </w:rPr>
                    <w:t>土砂石开采项目</w:t>
                  </w:r>
                  <w:r>
                    <w:rPr>
                      <w:rFonts w:hint="default" w:ascii="Times New Roman" w:hAnsi="Times New Roman" w:cs="Times New Roman"/>
                      <w:color w:val="auto"/>
                      <w:sz w:val="21"/>
                      <w:szCs w:val="21"/>
                    </w:rPr>
                    <w:t>，不属于禁止开采的汞、蓝石棉、可耕地砖瓦用粘土等对生态环境可能产生严重破坏且难以恢复的矿产，不属于限制开采的高硫、高灰、高砷、高氟煤炭和湿地泥炭以及砂金、砂铁等矿产，不属于保护性开采的钨、稀土等矿产。表土暂存于</w:t>
                  </w:r>
                  <w:r>
                    <w:rPr>
                      <w:rFonts w:hint="default" w:ascii="Times New Roman" w:hAnsi="Times New Roman" w:cs="Times New Roman"/>
                      <w:color w:val="auto"/>
                      <w:sz w:val="21"/>
                      <w:szCs w:val="21"/>
                      <w:lang w:val="en-US" w:eastAsia="zh-CN"/>
                    </w:rPr>
                    <w:t>临时表土堆场</w:t>
                  </w:r>
                  <w:r>
                    <w:rPr>
                      <w:rFonts w:hint="default" w:ascii="Times New Roman" w:hAnsi="Times New Roman" w:cs="Times New Roman"/>
                      <w:color w:val="auto"/>
                      <w:sz w:val="21"/>
                      <w:szCs w:val="21"/>
                    </w:rPr>
                    <w:t>，用于绿化覆土。</w:t>
                  </w:r>
                </w:p>
              </w:tc>
              <w:tc>
                <w:tcPr>
                  <w:tcW w:w="550" w:type="dxa"/>
                  <w:vAlign w:val="center"/>
                </w:tcPr>
                <w:p w14:paraId="1B5242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2CD6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416" w:type="dxa"/>
                  <w:vAlign w:val="center"/>
                </w:tcPr>
                <w:p w14:paraId="08475E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3861" w:type="dxa"/>
                  <w:vAlign w:val="center"/>
                </w:tcPr>
                <w:p w14:paraId="397718B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严格环境准入，保护区域生态功能。按照云南省生态环境分区管控方案、生态环境保护规划等新要求，严格落实绿色勘查、绿色开采及矿山生态保护修复相关要求，确保生态系统结构稳定和生态功能不退化。涉及水环境优先保护分区的磷矿开采规划区块，应按照长江上游“三磷”问题治理要求严格准入和管控。对于涉及重金属污染的有色金属、稀土等矿产资源开发应严格生态环境准入要求，强化污染治理措施。严格控制涉及生物多样性保护优先区域、国家重点生态功能区、水土流失重点防治区等具有重要生态功能区域矿产勘查开采活动，并采取有针对性的保护措施，防止对区域生态功能产生不良环境影响。</w:t>
                  </w:r>
                </w:p>
              </w:tc>
              <w:tc>
                <w:tcPr>
                  <w:tcW w:w="2971" w:type="dxa"/>
                  <w:vAlign w:val="center"/>
                </w:tcPr>
                <w:p w14:paraId="084C9E8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本项目为</w:t>
                  </w:r>
                  <w:r>
                    <w:rPr>
                      <w:rFonts w:hint="default" w:ascii="Times New Roman" w:hAnsi="Times New Roman" w:cs="Times New Roman"/>
                      <w:color w:val="auto"/>
                      <w:kern w:val="0"/>
                      <w:sz w:val="21"/>
                    </w:rPr>
                    <w:t>土砂石开采项目</w:t>
                  </w:r>
                  <w:r>
                    <w:rPr>
                      <w:rFonts w:hint="default" w:ascii="Times New Roman" w:hAnsi="Times New Roman" w:cs="Times New Roman"/>
                      <w:color w:val="auto"/>
                      <w:sz w:val="21"/>
                      <w:szCs w:val="21"/>
                    </w:rPr>
                    <w:t>，不属于磷矿开采，不涉及重金属污染的有色金属、稀土等矿产资源开发。项目位于寻甸县</w:t>
                  </w:r>
                  <w:r>
                    <w:rPr>
                      <w:rFonts w:hint="eastAsia" w:cs="Times New Roman"/>
                      <w:color w:val="auto"/>
                      <w:sz w:val="21"/>
                      <w:szCs w:val="21"/>
                      <w:lang w:val="en-US" w:eastAsia="zh-CN"/>
                    </w:rPr>
                    <w:t>柯渡镇乐朗村稗子田</w:t>
                  </w:r>
                  <w:r>
                    <w:rPr>
                      <w:rFonts w:hint="default" w:ascii="Times New Roman" w:hAnsi="Times New Roman" w:cs="Times New Roman"/>
                      <w:color w:val="auto"/>
                      <w:sz w:val="21"/>
                      <w:szCs w:val="21"/>
                    </w:rPr>
                    <w:t>，属于寻甸回族彝族自治县</w:t>
                  </w:r>
                  <w:r>
                    <w:rPr>
                      <w:rFonts w:hint="eastAsia" w:cs="Times New Roman"/>
                      <w:color w:val="auto"/>
                      <w:sz w:val="21"/>
                      <w:szCs w:val="21"/>
                      <w:lang w:val="en-US" w:eastAsia="zh-CN"/>
                    </w:rPr>
                    <w:t>一般</w:t>
                  </w:r>
                  <w:r>
                    <w:rPr>
                      <w:rFonts w:hint="default" w:ascii="Times New Roman" w:hAnsi="Times New Roman" w:cs="Times New Roman"/>
                      <w:color w:val="auto"/>
                      <w:sz w:val="21"/>
                      <w:szCs w:val="21"/>
                    </w:rPr>
                    <w:t>管控单元，严格按照土地复垦方案开展矿山生态环境保护与恢复治理。</w:t>
                  </w:r>
                </w:p>
              </w:tc>
              <w:tc>
                <w:tcPr>
                  <w:tcW w:w="550" w:type="dxa"/>
                  <w:vAlign w:val="center"/>
                </w:tcPr>
                <w:p w14:paraId="55168B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590E6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4" w:hRule="atLeast"/>
                <w:jc w:val="center"/>
              </w:trPr>
              <w:tc>
                <w:tcPr>
                  <w:tcW w:w="416" w:type="dxa"/>
                  <w:vAlign w:val="center"/>
                </w:tcPr>
                <w:p w14:paraId="21DD9B8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w:t>
                  </w:r>
                </w:p>
              </w:tc>
              <w:tc>
                <w:tcPr>
                  <w:tcW w:w="3861" w:type="dxa"/>
                  <w:vAlign w:val="center"/>
                </w:tcPr>
                <w:p w14:paraId="4DA4791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加强矿山生态修复和环境治理。结合区域生态环境质量改善目标和主要生态环境问题，分区域、分矿种确定矿山生态修复和环境治理总体要求，将规划任务分解细化到具体矿区、矿山，确保“十四五”规划期矿山生态修复治理面积达到7500公顷以上。重视关闭矿山及历史遗留矿山的生态环境问题，明确污染治理及生态修复的任务、要求和时限。对可能造成生态破坏、重金属污染等问题的矿山，进一步优化开发方式、推进结构调整，加大治理投入。</w:t>
                  </w:r>
                </w:p>
              </w:tc>
              <w:tc>
                <w:tcPr>
                  <w:tcW w:w="2971" w:type="dxa"/>
                  <w:vAlign w:val="center"/>
                </w:tcPr>
                <w:p w14:paraId="39C6222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本项目按照“边开采、边恢复”的原则制定矿山生态修复治理方案。及时开展生态修复。</w:t>
                  </w:r>
                </w:p>
              </w:tc>
              <w:tc>
                <w:tcPr>
                  <w:tcW w:w="550" w:type="dxa"/>
                  <w:vAlign w:val="center"/>
                </w:tcPr>
                <w:p w14:paraId="0119E2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r w14:paraId="75943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5" w:hRule="atLeast"/>
                <w:jc w:val="center"/>
              </w:trPr>
              <w:tc>
                <w:tcPr>
                  <w:tcW w:w="416" w:type="dxa"/>
                  <w:vAlign w:val="center"/>
                </w:tcPr>
                <w:p w14:paraId="18C7DD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w:t>
                  </w:r>
                </w:p>
              </w:tc>
              <w:tc>
                <w:tcPr>
                  <w:tcW w:w="3861" w:type="dxa"/>
                  <w:vAlign w:val="center"/>
                </w:tcPr>
                <w:p w14:paraId="468E67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加强生态环境保护监测和预警。结合生态保护、饮用水水源保护区及水环境功能区水质保护及改善要求、土壤污染防治目标等，推进重点矿区建立涵盖生态、地表水、地下水、土壤等环境要素的长期监测监控体系，在用尾矿库100%安装在线监测装置，明确责任主体、强化资金保障。组织开展主要矿种集中开采区域生态修复效果评估，并根据监测和评估结果增加或优化必要的保护措施。针对地表水环境及土壤环境累积影响、地下水环境质量下降、生态退化等情形，建立预警机制。</w:t>
                  </w:r>
                </w:p>
              </w:tc>
              <w:tc>
                <w:tcPr>
                  <w:tcW w:w="2971" w:type="dxa"/>
                  <w:vAlign w:val="center"/>
                </w:tcPr>
                <w:p w14:paraId="601AA13D">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本项目露天开采区、</w:t>
                  </w:r>
                  <w:r>
                    <w:rPr>
                      <w:rFonts w:hint="default" w:ascii="Times New Roman" w:hAnsi="Times New Roman" w:cs="Times New Roman"/>
                      <w:color w:val="auto"/>
                      <w:sz w:val="21"/>
                      <w:szCs w:val="21"/>
                      <w:lang w:val="en-US" w:eastAsia="zh-CN"/>
                    </w:rPr>
                    <w:t>临时表土堆场</w:t>
                  </w:r>
                  <w:r>
                    <w:rPr>
                      <w:rFonts w:hint="default" w:ascii="Times New Roman" w:hAnsi="Times New Roman" w:cs="Times New Roman"/>
                      <w:color w:val="auto"/>
                      <w:sz w:val="21"/>
                      <w:szCs w:val="21"/>
                    </w:rPr>
                    <w:t>、运输道路设置排水沟及沉砂池，淋滤水和初期雨水经沉砂池处理后回用于厂区洒水降尘；出入车辆冲洗废水经洗车池收集处理后循环使用，不外排。</w:t>
                  </w:r>
                </w:p>
              </w:tc>
              <w:tc>
                <w:tcPr>
                  <w:tcW w:w="550" w:type="dxa"/>
                  <w:vAlign w:val="center"/>
                </w:tcPr>
                <w:p w14:paraId="78A88F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符合</w:t>
                  </w:r>
                </w:p>
              </w:tc>
            </w:tr>
          </w:tbl>
          <w:p w14:paraId="53030C19">
            <w:pPr>
              <w:widowControl/>
              <w:spacing w:before="156" w:beforeLines="50"/>
              <w:ind w:firstLine="480"/>
              <w:jc w:val="left"/>
              <w:rPr>
                <w:rFonts w:hint="default" w:ascii="Times New Roman" w:hAnsi="Times New Roman" w:cs="Times New Roman"/>
                <w:b/>
                <w:bCs/>
                <w:color w:val="auto"/>
              </w:rPr>
            </w:pPr>
            <w:r>
              <w:rPr>
                <w:rFonts w:hint="default" w:ascii="Times New Roman" w:hAnsi="Times New Roman" w:cs="Times New Roman"/>
                <w:color w:val="auto"/>
                <w:kern w:val="0"/>
                <w:szCs w:val="24"/>
                <w:lang w:bidi="ar"/>
              </w:rPr>
              <w:t>综上分析，本项目符合</w:t>
            </w:r>
            <w:r>
              <w:rPr>
                <w:rFonts w:hint="default" w:ascii="Times New Roman" w:hAnsi="Times New Roman" w:cs="Times New Roman"/>
                <w:color w:val="auto"/>
              </w:rPr>
              <w:t>《云南省矿产资源总体规划（2021-2025）环境影响报告书》及审查意见</w:t>
            </w:r>
            <w:r>
              <w:rPr>
                <w:rFonts w:hint="default" w:ascii="Times New Roman" w:hAnsi="Times New Roman" w:cs="Times New Roman"/>
                <w:color w:val="auto"/>
                <w:kern w:val="0"/>
                <w:szCs w:val="24"/>
                <w:lang w:bidi="ar"/>
              </w:rPr>
              <w:t>相关要求。</w:t>
            </w:r>
          </w:p>
          <w:p w14:paraId="36F409E7">
            <w:pPr>
              <w:keepNext w:val="0"/>
              <w:keepLines w:val="0"/>
              <w:pageBreakBefore w:val="0"/>
              <w:widowControl w:val="0"/>
              <w:kinsoku/>
              <w:wordWrap/>
              <w:overflowPunct/>
              <w:topLinePunct w:val="0"/>
              <w:autoSpaceDE/>
              <w:autoSpaceDN/>
              <w:bidi w:val="0"/>
              <w:adjustRightInd/>
              <w:snapToGrid/>
              <w:ind w:firstLine="482"/>
              <w:jc w:val="left"/>
              <w:textAlignment w:val="auto"/>
              <w:rPr>
                <w:rFonts w:hint="default" w:ascii="Times New Roman" w:hAnsi="Times New Roman" w:cs="Times New Roman"/>
                <w:b/>
                <w:bCs/>
                <w:color w:val="auto"/>
              </w:rPr>
            </w:pPr>
            <w:r>
              <w:rPr>
                <w:rFonts w:hint="default" w:ascii="Times New Roman" w:hAnsi="Times New Roman" w:cs="Times New Roman"/>
                <w:b/>
                <w:bCs/>
                <w:color w:val="auto"/>
              </w:rPr>
              <w:t>4.与《寻甸回族彝族自治县国土空间规划（2021~2035年）》符合性分析</w:t>
            </w:r>
          </w:p>
          <w:p w14:paraId="4B2CAF32">
            <w:pPr>
              <w:widowControl/>
              <w:ind w:firstLine="480"/>
              <w:jc w:val="left"/>
              <w:rPr>
                <w:rFonts w:hint="default" w:ascii="Times New Roman" w:hAnsi="Times New Roman" w:cs="Times New Roman"/>
                <w:color w:val="auto"/>
              </w:rPr>
            </w:pPr>
            <w:r>
              <w:rPr>
                <w:rFonts w:hint="default" w:ascii="Times New Roman" w:hAnsi="Times New Roman" w:cs="Times New Roman"/>
                <w:color w:val="auto"/>
              </w:rPr>
              <w:t>根据《寻甸回族彝族自治县国土空间规划（2021~2035年）》，</w:t>
            </w:r>
            <w:r>
              <w:rPr>
                <w:rFonts w:hint="default" w:ascii="Times New Roman" w:hAnsi="Times New Roman" w:cs="Times New Roman"/>
                <w:color w:val="auto"/>
                <w:lang w:val="en-US" w:eastAsia="zh-CN"/>
              </w:rPr>
              <w:t>柯渡镇</w:t>
            </w:r>
            <w:r>
              <w:rPr>
                <w:rFonts w:hint="default" w:ascii="Times New Roman" w:hAnsi="Times New Roman" w:cs="Times New Roman"/>
                <w:color w:val="auto"/>
              </w:rPr>
              <w:t>作为</w:t>
            </w:r>
            <w:r>
              <w:rPr>
                <w:rFonts w:hint="default" w:ascii="Times New Roman" w:hAnsi="Times New Roman" w:cs="Times New Roman"/>
                <w:color w:val="auto"/>
                <w:lang w:val="en-US" w:eastAsia="zh-CN"/>
              </w:rPr>
              <w:t>高原特色农业发展区</w:t>
            </w:r>
            <w:r>
              <w:rPr>
                <w:rFonts w:hint="default" w:ascii="Times New Roman" w:hAnsi="Times New Roman" w:cs="Times New Roman"/>
                <w:color w:val="auto"/>
              </w:rPr>
              <w:t>。</w:t>
            </w:r>
          </w:p>
          <w:p w14:paraId="1129970D">
            <w:pPr>
              <w:ind w:firstLine="480"/>
              <w:rPr>
                <w:rFonts w:hint="default" w:ascii="Times New Roman" w:hAnsi="Times New Roman" w:cs="Times New Roman"/>
                <w:color w:val="auto"/>
                <w:highlight w:val="none"/>
              </w:rPr>
            </w:pPr>
            <w:r>
              <w:rPr>
                <w:rFonts w:hint="default" w:ascii="Times New Roman" w:hAnsi="Times New Roman" w:cs="Times New Roman"/>
                <w:color w:val="auto"/>
                <w:kern w:val="2"/>
                <w:sz w:val="24"/>
                <w:szCs w:val="22"/>
              </w:rPr>
              <w:t>本项目位于寻甸县</w:t>
            </w:r>
            <w:r>
              <w:rPr>
                <w:rFonts w:hint="default" w:ascii="Times New Roman" w:hAnsi="Times New Roman" w:cs="Times New Roman"/>
                <w:color w:val="auto"/>
                <w:kern w:val="2"/>
                <w:sz w:val="24"/>
                <w:szCs w:val="22"/>
                <w:lang w:val="en-US" w:eastAsia="zh-CN"/>
              </w:rPr>
              <w:t>柯渡镇</w:t>
            </w:r>
            <w:r>
              <w:rPr>
                <w:rFonts w:hint="eastAsia" w:cs="Times New Roman"/>
                <w:color w:val="auto"/>
                <w:kern w:val="2"/>
                <w:sz w:val="24"/>
                <w:szCs w:val="22"/>
                <w:lang w:val="en-US" w:eastAsia="zh-CN"/>
              </w:rPr>
              <w:t>乐朗村</w:t>
            </w:r>
            <w:r>
              <w:rPr>
                <w:rFonts w:hint="default" w:ascii="Times New Roman" w:hAnsi="Times New Roman" w:cs="Times New Roman"/>
                <w:color w:val="auto"/>
                <w:kern w:val="2"/>
                <w:sz w:val="24"/>
                <w:szCs w:val="22"/>
                <w:lang w:val="en-US" w:eastAsia="zh-CN"/>
              </w:rPr>
              <w:t>稗子田</w:t>
            </w:r>
            <w:r>
              <w:rPr>
                <w:rFonts w:hint="default" w:ascii="Times New Roman" w:hAnsi="Times New Roman" w:cs="Times New Roman"/>
                <w:color w:val="auto"/>
                <w:kern w:val="2"/>
                <w:sz w:val="24"/>
                <w:szCs w:val="22"/>
              </w:rPr>
              <w:t>，项目为</w:t>
            </w:r>
            <w:r>
              <w:rPr>
                <w:rFonts w:hint="default" w:ascii="Times New Roman" w:hAnsi="Times New Roman" w:cs="Times New Roman"/>
                <w:color w:val="auto"/>
                <w:sz w:val="24"/>
              </w:rPr>
              <w:t>“云南省寻甸县柯渡黄龙溏普通建筑材料用砂岩矿50万t扩建项目”用地范围内的产能扩增改建项目，不新增用地，根据《寻甸回族彝族自治县自然资源局关于</w:t>
            </w:r>
            <w:r>
              <w:rPr>
                <w:rFonts w:hint="eastAsia" w:cs="Times New Roman"/>
                <w:color w:val="auto"/>
                <w:sz w:val="24"/>
                <w:lang w:val="en-US" w:eastAsia="zh-CN"/>
              </w:rPr>
              <w:t>云南省寻甸县柯渡黄龙溏普通建筑材料用砂岩矿采矿权新立联勘联审</w:t>
            </w:r>
            <w:r>
              <w:rPr>
                <w:rFonts w:hint="default" w:ascii="Times New Roman" w:hAnsi="Times New Roman" w:cs="Times New Roman"/>
                <w:color w:val="auto"/>
                <w:sz w:val="24"/>
              </w:rPr>
              <w:t>及相关规划等有关情况的审查意见》（见附件</w:t>
            </w:r>
            <w:r>
              <w:rPr>
                <w:rFonts w:hint="eastAsia" w:cs="Times New Roman"/>
                <w:color w:val="auto"/>
                <w:sz w:val="24"/>
                <w:lang w:val="en-US" w:eastAsia="zh-CN"/>
              </w:rPr>
              <w:t>9</w:t>
            </w:r>
            <w:r>
              <w:rPr>
                <w:rFonts w:hint="default" w:ascii="Times New Roman" w:hAnsi="Times New Roman" w:cs="Times New Roman"/>
                <w:color w:val="auto"/>
                <w:sz w:val="24"/>
              </w:rPr>
              <w:t>），</w:t>
            </w:r>
            <w:r>
              <w:rPr>
                <w:rFonts w:hint="eastAsia" w:cs="Times New Roman"/>
                <w:color w:val="auto"/>
                <w:sz w:val="24"/>
                <w:lang w:val="en-US" w:eastAsia="zh-CN"/>
              </w:rPr>
              <w:t>项目矿权范围</w:t>
            </w:r>
            <w:r>
              <w:rPr>
                <w:rFonts w:hint="default" w:ascii="Times New Roman" w:hAnsi="Times New Roman" w:cs="Times New Roman"/>
                <w:color w:val="auto"/>
                <w:sz w:val="24"/>
              </w:rPr>
              <w:t>不在自然保护区、国家公园、三江并流世界自然遗产地、风景名胜区、森林公园、水资源保护区、地质公园、地质遗迹、</w:t>
            </w:r>
            <w:r>
              <w:rPr>
                <w:rFonts w:hint="eastAsia" w:cs="Times New Roman"/>
                <w:color w:val="auto"/>
                <w:sz w:val="24"/>
                <w:lang w:val="en-US" w:eastAsia="zh-CN"/>
              </w:rPr>
              <w:t>不占生态保护红线、</w:t>
            </w:r>
            <w:r>
              <w:rPr>
                <w:rFonts w:hint="default" w:ascii="Times New Roman" w:hAnsi="Times New Roman" w:cs="Times New Roman"/>
                <w:color w:val="auto"/>
                <w:sz w:val="24"/>
              </w:rPr>
              <w:t>基本农田保护区，建设项目压覆区，</w:t>
            </w:r>
            <w:r>
              <w:rPr>
                <w:rFonts w:hint="eastAsia" w:cs="Times New Roman"/>
                <w:color w:val="auto"/>
                <w:sz w:val="24"/>
                <w:lang w:val="en-US" w:eastAsia="zh-CN"/>
              </w:rPr>
              <w:t>矿产资源规划禁止区和限制区等重要地区范围内</w:t>
            </w:r>
            <w:r>
              <w:rPr>
                <w:rFonts w:hint="default" w:ascii="Times New Roman" w:hAnsi="Times New Roman" w:cs="Times New Roman"/>
                <w:color w:val="auto"/>
                <w:sz w:val="24"/>
              </w:rPr>
              <w:t>，符合《寻甸回族彝族自治县矿产资源规划（2021~2025年）》，不涉及寻甸县生态保护红线。项目与寻甸县国土空间规划不冲突，若后续与寻甸县国土空间规划发生冲突，将无条件配合寻甸县国土空间规划。</w:t>
            </w:r>
          </w:p>
        </w:tc>
      </w:tr>
      <w:tr w14:paraId="2D7A43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7" w:type="dxa"/>
            <w:bottom w:w="0" w:type="dxa"/>
            <w:right w:w="57" w:type="dxa"/>
          </w:tblCellMar>
        </w:tblPrEx>
        <w:trPr>
          <w:trHeight w:val="558" w:hRule="atLeast"/>
          <w:jc w:val="center"/>
        </w:trPr>
        <w:tc>
          <w:tcPr>
            <w:tcW w:w="304" w:type="pct"/>
            <w:vAlign w:val="center"/>
          </w:tcPr>
          <w:p w14:paraId="726F9BBB">
            <w:pPr>
              <w:snapToGrid w:val="0"/>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其他符合性分析</w:t>
            </w:r>
          </w:p>
        </w:tc>
        <w:tc>
          <w:tcPr>
            <w:tcW w:w="4695" w:type="pct"/>
            <w:gridSpan w:val="4"/>
            <w:vAlign w:val="center"/>
          </w:tcPr>
          <w:p w14:paraId="3EB65822">
            <w:pPr>
              <w:pStyle w:val="40"/>
              <w:snapToGrid/>
              <w:spacing w:before="156" w:beforeLines="50"/>
              <w:ind w:firstLine="0"/>
              <w:jc w:val="both"/>
              <w:rPr>
                <w:rFonts w:hint="default" w:ascii="Times New Roman" w:hAnsi="Times New Roman" w:cs="Times New Roman"/>
                <w:color w:val="auto"/>
                <w:kern w:val="0"/>
                <w:sz w:val="24"/>
                <w:highlight w:val="none"/>
              </w:rPr>
            </w:pPr>
            <w:r>
              <w:rPr>
                <w:rFonts w:hint="default" w:ascii="Times New Roman" w:hAnsi="Times New Roman" w:cs="Times New Roman"/>
                <w:b/>
                <w:color w:val="auto"/>
                <w:sz w:val="24"/>
                <w:highlight w:val="none"/>
              </w:rPr>
              <w:t>一、产业</w:t>
            </w:r>
            <w:r>
              <w:rPr>
                <w:rFonts w:hint="default" w:ascii="Times New Roman" w:hAnsi="Times New Roman" w:cs="Times New Roman"/>
                <w:b/>
                <w:color w:val="auto"/>
                <w:sz w:val="24"/>
                <w:highlight w:val="none"/>
                <w:lang w:val="en-US"/>
              </w:rPr>
              <w:t>政策</w:t>
            </w:r>
            <w:r>
              <w:rPr>
                <w:rFonts w:hint="default" w:ascii="Times New Roman" w:hAnsi="Times New Roman" w:cs="Times New Roman"/>
                <w:b/>
                <w:color w:val="auto"/>
                <w:sz w:val="24"/>
                <w:highlight w:val="none"/>
              </w:rPr>
              <w:t>符合性分析</w:t>
            </w:r>
          </w:p>
          <w:p w14:paraId="745FEC49">
            <w:pPr>
              <w:pStyle w:val="40"/>
              <w:snapToGrid/>
              <w:jc w:val="both"/>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lang w:val="en-US"/>
              </w:rPr>
              <w:t>本项目为非金属矿采矿业项目，根据《产业结构调整指导目录（2024年本）》，本项目不属于鼓励类、限制类和淘汰类，属于允许类</w:t>
            </w:r>
            <w:r>
              <w:rPr>
                <w:rFonts w:hint="default" w:ascii="Times New Roman" w:hAnsi="Times New Roman" w:cs="Times New Roman"/>
                <w:color w:val="auto"/>
                <w:kern w:val="0"/>
                <w:sz w:val="24"/>
                <w:highlight w:val="none"/>
              </w:rPr>
              <w:t>。且</w:t>
            </w:r>
            <w:r>
              <w:rPr>
                <w:rFonts w:hint="default" w:ascii="Times New Roman" w:hAnsi="Times New Roman" w:cs="Times New Roman"/>
                <w:color w:val="auto"/>
                <w:kern w:val="0"/>
                <w:sz w:val="24"/>
                <w:highlight w:val="none"/>
                <w:lang w:val="en-US"/>
              </w:rPr>
              <w:t>项目已于202</w:t>
            </w:r>
            <w:r>
              <w:rPr>
                <w:rFonts w:hint="default" w:ascii="Times New Roman" w:hAnsi="Times New Roman" w:cs="Times New Roman"/>
                <w:color w:val="auto"/>
                <w:kern w:val="0"/>
                <w:sz w:val="24"/>
                <w:highlight w:val="none"/>
                <w:lang w:val="en-US" w:eastAsia="zh-CN"/>
              </w:rPr>
              <w:t>5</w:t>
            </w:r>
            <w:r>
              <w:rPr>
                <w:rFonts w:hint="default" w:ascii="Times New Roman" w:hAnsi="Times New Roman" w:cs="Times New Roman"/>
                <w:color w:val="auto"/>
                <w:kern w:val="0"/>
                <w:sz w:val="24"/>
                <w:highlight w:val="none"/>
                <w:lang w:val="en-US"/>
              </w:rPr>
              <w:t>年</w:t>
            </w:r>
            <w:r>
              <w:rPr>
                <w:rFonts w:hint="default" w:ascii="Times New Roman" w:hAnsi="Times New Roman" w:cs="Times New Roman"/>
                <w:color w:val="auto"/>
                <w:kern w:val="0"/>
                <w:sz w:val="24"/>
                <w:highlight w:val="none"/>
                <w:lang w:val="en-US" w:eastAsia="zh-CN"/>
              </w:rPr>
              <w:t>8</w:t>
            </w:r>
            <w:r>
              <w:rPr>
                <w:rFonts w:hint="default" w:ascii="Times New Roman" w:hAnsi="Times New Roman" w:cs="Times New Roman"/>
                <w:color w:val="auto"/>
                <w:kern w:val="0"/>
                <w:sz w:val="24"/>
                <w:highlight w:val="none"/>
                <w:lang w:val="en-US"/>
              </w:rPr>
              <w:t>月</w:t>
            </w:r>
            <w:r>
              <w:rPr>
                <w:rFonts w:hint="default" w:ascii="Times New Roman" w:hAnsi="Times New Roman" w:cs="Times New Roman"/>
                <w:color w:val="auto"/>
                <w:kern w:val="0"/>
                <w:sz w:val="24"/>
                <w:highlight w:val="none"/>
                <w:lang w:val="en-US" w:eastAsia="zh-CN"/>
              </w:rPr>
              <w:t>28</w:t>
            </w:r>
            <w:r>
              <w:rPr>
                <w:rFonts w:hint="default" w:ascii="Times New Roman" w:hAnsi="Times New Roman" w:cs="Times New Roman"/>
                <w:color w:val="auto"/>
                <w:kern w:val="0"/>
                <w:sz w:val="24"/>
                <w:highlight w:val="none"/>
                <w:lang w:val="en-US"/>
              </w:rPr>
              <w:t>日取得</w:t>
            </w:r>
            <w:r>
              <w:rPr>
                <w:rFonts w:hint="default" w:ascii="Times New Roman" w:hAnsi="Times New Roman" w:cs="Times New Roman"/>
                <w:color w:val="auto"/>
                <w:sz w:val="24"/>
                <w:highlight w:val="none"/>
                <w:lang w:val="en-US"/>
              </w:rPr>
              <w:t>寻甸回族彝族自治县发展和改革局出具的</w:t>
            </w:r>
            <w:r>
              <w:rPr>
                <w:rFonts w:hint="default" w:ascii="Times New Roman" w:hAnsi="Times New Roman" w:cs="Times New Roman"/>
                <w:color w:val="auto"/>
                <w:kern w:val="0"/>
                <w:sz w:val="24"/>
                <w:highlight w:val="none"/>
                <w:lang w:val="en-US"/>
              </w:rPr>
              <w:t>《云南省固定资产</w:t>
            </w:r>
            <w:r>
              <w:rPr>
                <w:rFonts w:hint="default" w:ascii="Times New Roman" w:hAnsi="Times New Roman" w:cs="Times New Roman"/>
                <w:color w:val="auto"/>
                <w:sz w:val="24"/>
                <w:highlight w:val="none"/>
              </w:rPr>
              <w:t>投资项目备案证》（项目代码为：</w:t>
            </w:r>
            <w:r>
              <w:rPr>
                <w:rFonts w:hint="default" w:ascii="Times New Roman" w:hAnsi="Times New Roman" w:cs="Times New Roman"/>
                <w:color w:val="auto"/>
                <w:sz w:val="24"/>
                <w:highlight w:val="none"/>
                <w:lang w:val="en-US" w:eastAsia="zh-CN"/>
              </w:rPr>
              <w:t>2508-530129-04-01-381161</w:t>
            </w:r>
            <w:r>
              <w:rPr>
                <w:rFonts w:hint="default" w:ascii="Times New Roman" w:hAnsi="Times New Roman" w:cs="Times New Roman"/>
                <w:color w:val="auto"/>
                <w:sz w:val="24"/>
                <w:highlight w:val="none"/>
                <w:lang w:val="en-US"/>
              </w:rPr>
              <w:t>）</w:t>
            </w:r>
            <w:r>
              <w:rPr>
                <w:rFonts w:hint="default" w:ascii="Times New Roman" w:hAnsi="Times New Roman" w:cs="Times New Roman"/>
                <w:color w:val="auto"/>
                <w:sz w:val="24"/>
                <w:highlight w:val="none"/>
              </w:rPr>
              <w:t>，因此本项目的建设符合国家产业政策要求。</w:t>
            </w:r>
          </w:p>
          <w:p w14:paraId="72EFB0D8">
            <w:pPr>
              <w:ind w:firstLine="0" w:firstLineChars="0"/>
              <w:rPr>
                <w:rFonts w:hint="default" w:ascii="Times New Roman" w:hAnsi="Times New Roman" w:cs="Times New Roman"/>
                <w:b/>
                <w:bCs/>
                <w:color w:val="auto"/>
                <w:spacing w:val="-9"/>
                <w:szCs w:val="24"/>
                <w:highlight w:val="none"/>
              </w:rPr>
            </w:pPr>
            <w:r>
              <w:rPr>
                <w:rFonts w:hint="default" w:ascii="Times New Roman" w:hAnsi="Times New Roman" w:cs="Times New Roman"/>
                <w:b/>
                <w:bCs/>
                <w:color w:val="auto"/>
                <w:spacing w:val="-13"/>
                <w:szCs w:val="24"/>
                <w:highlight w:val="none"/>
                <w:lang w:val="en-US" w:eastAsia="zh-CN"/>
              </w:rPr>
              <w:t>二</w:t>
            </w:r>
            <w:r>
              <w:rPr>
                <w:rFonts w:hint="default" w:ascii="Times New Roman" w:hAnsi="Times New Roman" w:cs="Times New Roman"/>
                <w:b/>
                <w:bCs/>
                <w:color w:val="auto"/>
                <w:spacing w:val="-13"/>
                <w:szCs w:val="24"/>
                <w:highlight w:val="none"/>
              </w:rPr>
              <w:t>、与《昆明市生态环境分区管控动态更新方案（2023年</w:t>
            </w:r>
            <w:r>
              <w:rPr>
                <w:rFonts w:hint="default" w:ascii="Times New Roman" w:hAnsi="Times New Roman" w:cs="Times New Roman"/>
                <w:b/>
                <w:bCs/>
                <w:color w:val="auto"/>
                <w:spacing w:val="-14"/>
                <w:szCs w:val="24"/>
                <w:highlight w:val="none"/>
              </w:rPr>
              <w:t>）</w:t>
            </w:r>
            <w:r>
              <w:rPr>
                <w:rFonts w:hint="default" w:ascii="Times New Roman" w:hAnsi="Times New Roman" w:cs="Times New Roman"/>
                <w:b/>
                <w:bCs/>
                <w:color w:val="auto"/>
                <w:spacing w:val="-13"/>
                <w:szCs w:val="24"/>
                <w:highlight w:val="none"/>
              </w:rPr>
              <w:t>》</w:t>
            </w:r>
            <w:r>
              <w:rPr>
                <w:rFonts w:hint="default" w:ascii="Times New Roman" w:hAnsi="Times New Roman" w:cs="Times New Roman"/>
                <w:b/>
                <w:bCs/>
                <w:color w:val="auto"/>
                <w:spacing w:val="-9"/>
                <w:szCs w:val="24"/>
                <w:highlight w:val="none"/>
              </w:rPr>
              <w:t>的符合性分析</w:t>
            </w:r>
          </w:p>
          <w:p w14:paraId="6D231399">
            <w:pPr>
              <w:ind w:firstLine="480"/>
              <w:rPr>
                <w:rFonts w:hint="default" w:ascii="Times New Roman" w:hAnsi="Times New Roman" w:cs="Times New Roman"/>
                <w:color w:val="auto"/>
                <w:kern w:val="0"/>
                <w:highlight w:val="none"/>
                <w:shd w:val="clear" w:color="auto" w:fill="FFFFFF"/>
              </w:rPr>
            </w:pPr>
            <w:r>
              <w:rPr>
                <w:rFonts w:hint="default" w:ascii="Times New Roman" w:hAnsi="Times New Roman" w:cs="Times New Roman"/>
                <w:snapToGrid w:val="0"/>
                <w:color w:val="auto"/>
                <w:kern w:val="0"/>
                <w:szCs w:val="24"/>
                <w:highlight w:val="none"/>
              </w:rPr>
              <w:t>本项目位于</w:t>
            </w:r>
            <w:r>
              <w:rPr>
                <w:rFonts w:hint="default" w:ascii="Times New Roman" w:hAnsi="Times New Roman" w:cs="Times New Roman"/>
                <w:color w:val="auto"/>
                <w:highlight w:val="none"/>
              </w:rPr>
              <w:t>寻甸县柯渡镇乐郎村委会稗子田村境内</w:t>
            </w:r>
            <w:r>
              <w:rPr>
                <w:rFonts w:hint="default" w:ascii="Times New Roman" w:hAnsi="Times New Roman" w:cs="Times New Roman"/>
                <w:color w:val="auto"/>
                <w:szCs w:val="24"/>
                <w:highlight w:val="none"/>
              </w:rPr>
              <w:t>，根</w:t>
            </w:r>
            <w:r>
              <w:rPr>
                <w:rFonts w:hint="default" w:ascii="Times New Roman" w:hAnsi="Times New Roman" w:cs="Times New Roman"/>
                <w:color w:val="auto"/>
                <w:highlight w:val="none"/>
              </w:rPr>
              <w:t>据云南省生态环境分区管控公共服务查询平台</w:t>
            </w:r>
            <w:r>
              <w:rPr>
                <w:rFonts w:hint="default" w:ascii="Times New Roman" w:hAnsi="Times New Roman" w:cs="Times New Roman"/>
                <w:color w:val="auto"/>
              </w:rPr>
              <w:t>（http://183.224.17.39:19272/sxydyn#）查询</w:t>
            </w:r>
            <w:r>
              <w:rPr>
                <w:rFonts w:hint="default" w:ascii="Times New Roman" w:hAnsi="Times New Roman" w:cs="Times New Roman"/>
                <w:color w:val="auto"/>
                <w:highlight w:val="none"/>
              </w:rPr>
              <w:t>，本项目位于</w:t>
            </w:r>
            <w:r>
              <w:rPr>
                <w:rFonts w:hint="default" w:ascii="Times New Roman" w:hAnsi="Times New Roman" w:cs="Times New Roman"/>
                <w:color w:val="auto"/>
                <w:sz w:val="24"/>
                <w:highlight w:val="none"/>
              </w:rPr>
              <w:t>寻甸回族彝族自治县一般管控单元</w:t>
            </w:r>
            <w:r>
              <w:rPr>
                <w:rFonts w:hint="default" w:ascii="Times New Roman" w:hAnsi="Times New Roman" w:cs="Times New Roman"/>
                <w:color w:val="auto"/>
                <w:sz w:val="24"/>
                <w:highlight w:val="none"/>
                <w:lang w:val="en-US" w:eastAsia="zh-CN"/>
              </w:rPr>
              <w:t>和一般生态空间优先保护单元</w:t>
            </w:r>
            <w:r>
              <w:rPr>
                <w:rFonts w:hint="default" w:ascii="Times New Roman" w:hAnsi="Times New Roman" w:cs="Times New Roman"/>
                <w:color w:val="auto"/>
                <w:highlight w:val="none"/>
              </w:rPr>
              <w:t>，详见下图1-1</w:t>
            </w:r>
            <w:r>
              <w:rPr>
                <w:rFonts w:hint="default" w:ascii="Times New Roman" w:hAnsi="Times New Roman" w:cs="Times New Roman"/>
                <w:color w:val="auto"/>
                <w:kern w:val="0"/>
                <w:highlight w:val="none"/>
                <w:shd w:val="clear" w:color="auto" w:fill="FFFFFF"/>
              </w:rPr>
              <w:t>。</w:t>
            </w:r>
          </w:p>
          <w:p w14:paraId="0E645B4A">
            <w:pPr>
              <w:ind w:firstLine="0" w:firstLineChars="0"/>
              <w:jc w:val="center"/>
              <w:rPr>
                <w:rFonts w:hint="default" w:ascii="Times New Roman" w:hAnsi="Times New Roman" w:eastAsia="宋体" w:cs="Times New Roman"/>
                <w:color w:val="auto"/>
                <w:kern w:val="0"/>
                <w:highlight w:val="none"/>
                <w:shd w:val="clear" w:color="auto" w:fill="FFFFFF"/>
                <w:lang w:eastAsia="zh-CN"/>
              </w:rPr>
            </w:pPr>
            <w:r>
              <w:rPr>
                <w:rFonts w:hint="default" w:ascii="Times New Roman" w:hAnsi="Times New Roman" w:eastAsia="宋体" w:cs="Times New Roman"/>
                <w:color w:val="auto"/>
                <w:kern w:val="0"/>
                <w:highlight w:val="none"/>
                <w:shd w:val="clear" w:color="auto" w:fill="FFFFFF"/>
                <w:lang w:eastAsia="zh-CN"/>
              </w:rPr>
              <w:drawing>
                <wp:inline distT="0" distB="0" distL="114300" distR="114300">
                  <wp:extent cx="4942205" cy="4493895"/>
                  <wp:effectExtent l="0" t="0" r="10795" b="1905"/>
                  <wp:docPr id="19" name="图片 19" descr="管控单元截图20260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管控单元截图20260908"/>
                          <pic:cNvPicPr>
                            <a:picLocks noChangeAspect="1"/>
                          </pic:cNvPicPr>
                        </pic:nvPicPr>
                        <pic:blipFill>
                          <a:blip r:embed="rId14"/>
                          <a:stretch>
                            <a:fillRect/>
                          </a:stretch>
                        </pic:blipFill>
                        <pic:spPr>
                          <a:xfrm>
                            <a:off x="0" y="0"/>
                            <a:ext cx="4942205" cy="4493895"/>
                          </a:xfrm>
                          <a:prstGeom prst="rect">
                            <a:avLst/>
                          </a:prstGeom>
                        </pic:spPr>
                      </pic:pic>
                    </a:graphicData>
                  </a:graphic>
                </wp:inline>
              </w:drawing>
            </w:r>
          </w:p>
          <w:p w14:paraId="5DAB80ED">
            <w:pPr>
              <w:spacing w:line="240" w:lineRule="auto"/>
              <w:ind w:left="0" w:leftChars="0"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图1-1  本项目区生态环境管控单元查询结果图</w:t>
            </w:r>
          </w:p>
          <w:p w14:paraId="019A3FD5">
            <w:pPr>
              <w:ind w:firstLine="480"/>
              <w:rPr>
                <w:rFonts w:hint="default" w:ascii="Times New Roman" w:hAnsi="Times New Roman" w:cs="Times New Roman"/>
                <w:color w:val="auto"/>
                <w:kern w:val="0"/>
                <w:highlight w:val="none"/>
                <w:shd w:val="clear" w:color="auto" w:fill="FFFFFF"/>
              </w:rPr>
            </w:pPr>
            <w:r>
              <w:rPr>
                <w:rFonts w:hint="default" w:ascii="Times New Roman" w:hAnsi="Times New Roman" w:cs="Times New Roman"/>
                <w:color w:val="auto"/>
                <w:kern w:val="0"/>
                <w:highlight w:val="none"/>
                <w:shd w:val="clear" w:color="auto" w:fill="FFFFFF"/>
              </w:rPr>
              <w:t>本项目</w:t>
            </w:r>
            <w:r>
              <w:rPr>
                <w:rFonts w:hint="default" w:ascii="Times New Roman" w:hAnsi="Times New Roman" w:cs="Times New Roman"/>
                <w:color w:val="auto"/>
                <w:kern w:val="0"/>
                <w:highlight w:val="none"/>
                <w:shd w:val="clear" w:color="auto" w:fill="FFFFFF"/>
                <w:lang w:val="en-US" w:eastAsia="zh-CN"/>
              </w:rPr>
              <w:t>与</w:t>
            </w:r>
            <w:r>
              <w:rPr>
                <w:rFonts w:hint="default" w:ascii="Times New Roman" w:hAnsi="Times New Roman" w:cs="Times New Roman"/>
                <w:color w:val="auto"/>
                <w:kern w:val="0"/>
                <w:highlight w:val="none"/>
                <w:shd w:val="clear" w:color="auto" w:fill="FFFFFF"/>
              </w:rPr>
              <w:t>昆明市生态环境分区管控动态更新方案</w:t>
            </w:r>
            <w:r>
              <w:rPr>
                <w:rFonts w:hint="default" w:ascii="Times New Roman" w:hAnsi="Times New Roman" w:cs="Times New Roman"/>
                <w:color w:val="auto"/>
                <w:kern w:val="0"/>
                <w:highlight w:val="none"/>
                <w:shd w:val="clear" w:color="auto" w:fill="FFFFFF"/>
                <w:lang w:val="en-US" w:eastAsia="zh-CN"/>
              </w:rPr>
              <w:t>中三线（生态红线、质量底线、资源利用上线）的相符性分析见表1-6；</w:t>
            </w:r>
            <w:r>
              <w:rPr>
                <w:rFonts w:hint="default" w:ascii="Times New Roman" w:hAnsi="Times New Roman" w:cs="Times New Roman"/>
                <w:color w:val="auto"/>
                <w:kern w:val="0"/>
                <w:highlight w:val="none"/>
                <w:shd w:val="clear" w:color="auto" w:fill="FFFFFF"/>
              </w:rPr>
              <w:t>与“昆明市环境管控单元生态环境总体准入要求”的相符性分析详见表1-</w:t>
            </w:r>
            <w:r>
              <w:rPr>
                <w:rFonts w:hint="default" w:ascii="Times New Roman" w:hAnsi="Times New Roman" w:cs="Times New Roman"/>
                <w:color w:val="auto"/>
                <w:kern w:val="0"/>
                <w:highlight w:val="none"/>
                <w:shd w:val="clear" w:color="auto" w:fill="FFFFFF"/>
                <w:lang w:val="en-US" w:eastAsia="zh-CN"/>
              </w:rPr>
              <w:t>7</w:t>
            </w:r>
            <w:r>
              <w:rPr>
                <w:rFonts w:hint="default" w:ascii="Times New Roman" w:hAnsi="Times New Roman" w:cs="Times New Roman"/>
                <w:color w:val="auto"/>
                <w:kern w:val="0"/>
                <w:highlight w:val="none"/>
                <w:shd w:val="clear" w:color="auto" w:fill="FFFFFF"/>
              </w:rPr>
              <w:t>；与“</w:t>
            </w:r>
            <w:r>
              <w:rPr>
                <w:rFonts w:hint="default" w:ascii="Times New Roman" w:hAnsi="Times New Roman" w:cs="Times New Roman"/>
                <w:color w:val="auto"/>
                <w:sz w:val="24"/>
                <w:highlight w:val="none"/>
              </w:rPr>
              <w:t>寻甸回族彝族自治县一般管控单元</w:t>
            </w:r>
            <w:r>
              <w:rPr>
                <w:rFonts w:hint="default" w:ascii="Times New Roman" w:hAnsi="Times New Roman" w:cs="Times New Roman"/>
                <w:color w:val="auto"/>
                <w:sz w:val="24"/>
                <w:highlight w:val="none"/>
                <w:lang w:val="en-US" w:eastAsia="zh-CN"/>
              </w:rPr>
              <w:t>和一般生态空间优先保护单元</w:t>
            </w:r>
            <w:r>
              <w:rPr>
                <w:rFonts w:hint="default" w:ascii="Times New Roman" w:hAnsi="Times New Roman" w:cs="Times New Roman"/>
                <w:color w:val="auto"/>
                <w:kern w:val="0"/>
                <w:highlight w:val="none"/>
                <w:shd w:val="clear" w:color="auto" w:fill="FFFFFF"/>
              </w:rPr>
              <w:t>生态环境准入清单”相符性分析详见表1-</w:t>
            </w:r>
            <w:r>
              <w:rPr>
                <w:rFonts w:hint="default" w:ascii="Times New Roman" w:hAnsi="Times New Roman" w:cs="Times New Roman"/>
                <w:color w:val="auto"/>
                <w:kern w:val="0"/>
                <w:highlight w:val="none"/>
                <w:shd w:val="clear" w:color="auto" w:fill="FFFFFF"/>
                <w:lang w:val="en-US" w:eastAsia="zh-CN"/>
              </w:rPr>
              <w:t>8</w:t>
            </w:r>
            <w:r>
              <w:rPr>
                <w:rFonts w:hint="default" w:ascii="Times New Roman" w:hAnsi="Times New Roman" w:cs="Times New Roman"/>
                <w:color w:val="auto"/>
                <w:kern w:val="0"/>
                <w:highlight w:val="none"/>
                <w:shd w:val="clear" w:color="auto" w:fill="FFFFFF"/>
              </w:rPr>
              <w:t>。</w:t>
            </w:r>
          </w:p>
          <w:p w14:paraId="194AB3BB">
            <w:pPr>
              <w:spacing w:line="240" w:lineRule="auto"/>
              <w:ind w:left="0" w:leftChars="0" w:firstLine="0" w:firstLineChars="0"/>
              <w:jc w:val="center"/>
              <w:rPr>
                <w:rFonts w:hint="default" w:ascii="Times New Roman" w:hAnsi="Times New Roman"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表1-6 项目与</w:t>
            </w:r>
            <w:r>
              <w:rPr>
                <w:rFonts w:hint="default" w:ascii="Times New Roman" w:hAnsi="Times New Roman" w:cs="Times New Roman"/>
                <w:b/>
                <w:color w:val="auto"/>
                <w:sz w:val="21"/>
                <w:szCs w:val="21"/>
                <w:highlight w:val="none"/>
              </w:rPr>
              <w:t>昆明市生态环境分区管控动态更新方案</w:t>
            </w:r>
            <w:r>
              <w:rPr>
                <w:rFonts w:hint="default" w:ascii="Times New Roman" w:hAnsi="Times New Roman" w:cs="Times New Roman"/>
                <w:b/>
                <w:color w:val="auto"/>
                <w:sz w:val="21"/>
                <w:szCs w:val="21"/>
                <w:highlight w:val="none"/>
                <w:lang w:val="en-US" w:eastAsia="zh-CN"/>
              </w:rPr>
              <w:t>中三线（生态红线、质量底线、资源利用上线）符合性分析</w:t>
            </w:r>
          </w:p>
          <w:tbl>
            <w:tblPr>
              <w:tblStyle w:val="31"/>
              <w:tblW w:w="7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
              <w:gridCol w:w="681"/>
              <w:gridCol w:w="3029"/>
              <w:gridCol w:w="3081"/>
              <w:gridCol w:w="640"/>
            </w:tblGrid>
            <w:tr w14:paraId="14C3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blHeader/>
                <w:jc w:val="center"/>
              </w:trPr>
              <w:tc>
                <w:tcPr>
                  <w:tcW w:w="1068" w:type="dxa"/>
                  <w:gridSpan w:val="2"/>
                  <w:vAlign w:val="center"/>
                </w:tcPr>
                <w:p w14:paraId="285F3951">
                  <w:pPr>
                    <w:widowControl/>
                    <w:spacing w:line="240" w:lineRule="auto"/>
                    <w:ind w:firstLine="0" w:firstLineChars="0"/>
                    <w:jc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类别</w:t>
                  </w:r>
                </w:p>
              </w:tc>
              <w:tc>
                <w:tcPr>
                  <w:tcW w:w="3029" w:type="dxa"/>
                  <w:vAlign w:val="center"/>
                </w:tcPr>
                <w:p w14:paraId="7C12A26C">
                  <w:pPr>
                    <w:widowControl/>
                    <w:spacing w:line="240" w:lineRule="auto"/>
                    <w:ind w:firstLine="0" w:firstLineChars="0"/>
                    <w:jc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文件内容</w:t>
                  </w:r>
                </w:p>
              </w:tc>
              <w:tc>
                <w:tcPr>
                  <w:tcW w:w="3081" w:type="dxa"/>
                  <w:vAlign w:val="center"/>
                </w:tcPr>
                <w:p w14:paraId="7F629A87">
                  <w:pPr>
                    <w:widowControl/>
                    <w:spacing w:line="240" w:lineRule="auto"/>
                    <w:ind w:firstLine="0" w:firstLineChars="0"/>
                    <w:jc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相符性分析</w:t>
                  </w:r>
                </w:p>
              </w:tc>
              <w:tc>
                <w:tcPr>
                  <w:tcW w:w="640" w:type="dxa"/>
                  <w:vAlign w:val="center"/>
                </w:tcPr>
                <w:p w14:paraId="42B43D87">
                  <w:pPr>
                    <w:widowControl/>
                    <w:spacing w:line="240" w:lineRule="auto"/>
                    <w:ind w:firstLine="0" w:firstLineChars="0"/>
                    <w:jc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符合性</w:t>
                  </w:r>
                </w:p>
              </w:tc>
            </w:tr>
            <w:tr w14:paraId="277B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6" w:hRule="atLeast"/>
                <w:jc w:val="center"/>
              </w:trPr>
              <w:tc>
                <w:tcPr>
                  <w:tcW w:w="1068" w:type="dxa"/>
                  <w:gridSpan w:val="2"/>
                  <w:vAlign w:val="center"/>
                </w:tcPr>
                <w:p w14:paraId="0A68B1F0">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b w:val="0"/>
                      <w:bCs w:val="0"/>
                      <w:color w:val="auto"/>
                      <w:kern w:val="0"/>
                      <w:sz w:val="21"/>
                      <w:szCs w:val="21"/>
                      <w:lang w:bidi="ar"/>
                    </w:rPr>
                    <w:t>生态保护红线和一般生态空间</w:t>
                  </w:r>
                </w:p>
              </w:tc>
              <w:tc>
                <w:tcPr>
                  <w:tcW w:w="3029" w:type="dxa"/>
                  <w:vAlign w:val="center"/>
                </w:tcPr>
                <w:p w14:paraId="35FFBAF4">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color w:val="auto"/>
                      <w:kern w:val="0"/>
                      <w:sz w:val="21"/>
                      <w:szCs w:val="21"/>
                      <w:lang w:bidi="ar"/>
                    </w:rPr>
                    <w:t>更新后，生态保护红线全面与《昆明市国土空间总体规划（2021—2035年）》衔接，全市生态保护红线面积4274.70平方公里，占全市国土面积的20.34%，较原有面积占比减少1.85%。全市一般生态空间面积5151.56平方公里，占国土空间面积的24.37%，较原有面积占比增加2.45%。</w:t>
                  </w:r>
                </w:p>
              </w:tc>
              <w:tc>
                <w:tcPr>
                  <w:tcW w:w="3081" w:type="dxa"/>
                  <w:vAlign w:val="center"/>
                </w:tcPr>
                <w:p w14:paraId="5FA2DFE8">
                  <w:pPr>
                    <w:keepNext w:val="0"/>
                    <w:keepLines w:val="0"/>
                    <w:pageBreakBefore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cs="Times New Roman"/>
                      <w:color w:val="auto"/>
                      <w:kern w:val="0"/>
                      <w:sz w:val="21"/>
                      <w:szCs w:val="21"/>
                      <w:lang w:bidi="ar"/>
                    </w:rPr>
                    <w:t>本项目位于昆明市寻甸县</w:t>
                  </w:r>
                  <w:r>
                    <w:rPr>
                      <w:rFonts w:hint="default" w:ascii="Times New Roman" w:hAnsi="Times New Roman" w:cs="Times New Roman"/>
                      <w:color w:val="auto"/>
                      <w:kern w:val="0"/>
                      <w:sz w:val="21"/>
                      <w:szCs w:val="21"/>
                      <w:lang w:val="en-US" w:eastAsia="zh-CN" w:bidi="ar"/>
                    </w:rPr>
                    <w:t>柯渡镇乐朗村稗子田范围内</w:t>
                  </w:r>
                  <w:r>
                    <w:rPr>
                      <w:rFonts w:hint="default" w:ascii="Times New Roman" w:hAnsi="Times New Roman" w:cs="Times New Roman"/>
                      <w:color w:val="auto"/>
                      <w:kern w:val="0"/>
                      <w:sz w:val="21"/>
                      <w:szCs w:val="21"/>
                      <w:lang w:bidi="ar"/>
                    </w:rPr>
                    <w:t>，根据《关于云南省寻甸县柯渡黄龙</w:t>
                  </w:r>
                  <w:r>
                    <w:rPr>
                      <w:rFonts w:hint="default" w:ascii="Times New Roman" w:hAnsi="Times New Roman" w:cs="Times New Roman"/>
                      <w:color w:val="auto"/>
                      <w:kern w:val="0"/>
                      <w:sz w:val="21"/>
                      <w:szCs w:val="21"/>
                      <w:lang w:val="en-US" w:eastAsia="zh-CN" w:bidi="ar"/>
                    </w:rPr>
                    <w:t>溏</w:t>
                  </w:r>
                  <w:r>
                    <w:rPr>
                      <w:rFonts w:hint="default" w:ascii="Times New Roman" w:hAnsi="Times New Roman" w:cs="Times New Roman"/>
                      <w:color w:val="auto"/>
                      <w:kern w:val="0"/>
                      <w:sz w:val="21"/>
                      <w:szCs w:val="21"/>
                      <w:lang w:bidi="ar"/>
                    </w:rPr>
                    <w:t>普通建筑材料用砂岩矿50万t/a扩建项</w:t>
                  </w:r>
                  <w:r>
                    <w:rPr>
                      <w:rFonts w:hint="default" w:ascii="Times New Roman" w:hAnsi="Times New Roman" w:cs="Times New Roman"/>
                      <w:color w:val="auto"/>
                      <w:kern w:val="0"/>
                      <w:sz w:val="21"/>
                      <w:szCs w:val="21"/>
                      <w:lang w:val="en-US" w:eastAsia="zh-CN" w:bidi="ar"/>
                    </w:rPr>
                    <w:t>目用</w:t>
                  </w:r>
                  <w:r>
                    <w:rPr>
                      <w:rFonts w:hint="default" w:ascii="Times New Roman" w:hAnsi="Times New Roman" w:cs="Times New Roman"/>
                      <w:color w:val="auto"/>
                      <w:kern w:val="0"/>
                      <w:sz w:val="21"/>
                      <w:szCs w:val="21"/>
                      <w:lang w:bidi="ar"/>
                    </w:rPr>
                    <w:t>地范围是否涉及生态保护红线及城镇开发边界的情况说明》（见附件</w:t>
                  </w:r>
                  <w:r>
                    <w:rPr>
                      <w:rFonts w:hint="default" w:ascii="Times New Roman" w:hAnsi="Times New Roman" w:cs="Times New Roman"/>
                      <w:color w:val="auto"/>
                      <w:kern w:val="0"/>
                      <w:sz w:val="21"/>
                      <w:szCs w:val="21"/>
                      <w:lang w:val="en-US" w:eastAsia="zh-CN" w:bidi="ar"/>
                    </w:rPr>
                    <w:t>7</w:t>
                  </w:r>
                  <w:r>
                    <w:rPr>
                      <w:rFonts w:hint="default" w:ascii="Times New Roman" w:hAnsi="Times New Roman" w:cs="Times New Roman"/>
                      <w:color w:val="auto"/>
                      <w:kern w:val="0"/>
                      <w:sz w:val="21"/>
                      <w:szCs w:val="21"/>
                      <w:lang w:bidi="ar"/>
                    </w:rPr>
                    <w:t>），本项目不占用生态红线。</w:t>
                  </w:r>
                  <w:r>
                    <w:rPr>
                      <w:rFonts w:hint="default" w:ascii="Times New Roman" w:hAnsi="Times New Roman" w:cs="Times New Roman"/>
                      <w:color w:val="auto"/>
                      <w:kern w:val="0"/>
                      <w:sz w:val="21"/>
                      <w:szCs w:val="21"/>
                      <w:lang w:val="en-US" w:eastAsia="zh-CN" w:bidi="ar"/>
                    </w:rPr>
                    <w:t>由图1-</w:t>
                  </w:r>
                  <w:r>
                    <w:rPr>
                      <w:rFonts w:hint="eastAsia" w:cs="Times New Roman"/>
                      <w:color w:val="auto"/>
                      <w:kern w:val="0"/>
                      <w:sz w:val="21"/>
                      <w:szCs w:val="21"/>
                      <w:lang w:val="en-US" w:eastAsia="zh-CN" w:bidi="ar"/>
                    </w:rPr>
                    <w:t>1</w:t>
                  </w:r>
                  <w:r>
                    <w:rPr>
                      <w:rFonts w:hint="default" w:ascii="Times New Roman" w:hAnsi="Times New Roman" w:cs="Times New Roman"/>
                      <w:color w:val="auto"/>
                      <w:kern w:val="0"/>
                      <w:sz w:val="21"/>
                      <w:szCs w:val="21"/>
                      <w:lang w:val="en-US" w:eastAsia="zh-CN" w:bidi="ar"/>
                    </w:rPr>
                    <w:t>可知项目用地范围涉及寻甸县一般生态空间优先保护单元，</w:t>
                  </w:r>
                </w:p>
              </w:tc>
              <w:tc>
                <w:tcPr>
                  <w:tcW w:w="640" w:type="dxa"/>
                  <w:vAlign w:val="center"/>
                </w:tcPr>
                <w:p w14:paraId="4ED556D1">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color w:val="auto"/>
                      <w:kern w:val="0"/>
                      <w:sz w:val="21"/>
                      <w:szCs w:val="21"/>
                      <w:lang w:bidi="ar"/>
                    </w:rPr>
                    <w:t>符合</w:t>
                  </w:r>
                </w:p>
              </w:tc>
            </w:tr>
            <w:tr w14:paraId="61E5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6" w:hRule="atLeast"/>
                <w:jc w:val="center"/>
              </w:trPr>
              <w:tc>
                <w:tcPr>
                  <w:tcW w:w="387" w:type="dxa"/>
                  <w:vMerge w:val="restart"/>
                  <w:vAlign w:val="center"/>
                </w:tcPr>
                <w:p w14:paraId="103066B3">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b w:val="0"/>
                      <w:bCs w:val="0"/>
                      <w:color w:val="auto"/>
                      <w:kern w:val="0"/>
                      <w:sz w:val="21"/>
                      <w:szCs w:val="21"/>
                      <w:lang w:bidi="ar"/>
                    </w:rPr>
                    <w:t>环境质量底线</w:t>
                  </w:r>
                </w:p>
              </w:tc>
              <w:tc>
                <w:tcPr>
                  <w:tcW w:w="681" w:type="dxa"/>
                  <w:tcBorders>
                    <w:bottom w:val="single" w:color="000000" w:sz="4" w:space="0"/>
                    <w:right w:val="single" w:color="000000" w:sz="4" w:space="0"/>
                  </w:tcBorders>
                  <w:vAlign w:val="center"/>
                </w:tcPr>
                <w:p w14:paraId="6C1005E0">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水环境质量底线</w:t>
                  </w:r>
                </w:p>
              </w:tc>
              <w:tc>
                <w:tcPr>
                  <w:tcW w:w="3029" w:type="dxa"/>
                  <w:tcBorders>
                    <w:left w:val="single" w:color="000000" w:sz="4" w:space="0"/>
                    <w:bottom w:val="single" w:color="000000" w:sz="4" w:space="0"/>
                  </w:tcBorders>
                  <w:vAlign w:val="center"/>
                </w:tcPr>
                <w:p w14:paraId="3BC48088">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到2025年，昆明市地表水国控断面达到或好于Ⅲ类水体比例应达到81.5%，45个省控断面达到或好于Ⅲ类水体比例应达到80%，劣V类水体全面消除，县级及以上集中式饮用水水源地水质达标率100%。</w:t>
                  </w:r>
                </w:p>
              </w:tc>
              <w:tc>
                <w:tcPr>
                  <w:tcW w:w="3081" w:type="dxa"/>
                  <w:tcBorders>
                    <w:bottom w:val="single" w:color="000000" w:sz="4" w:space="0"/>
                  </w:tcBorders>
                  <w:vAlign w:val="center"/>
                </w:tcPr>
                <w:p w14:paraId="698AB2BD">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color w:val="auto"/>
                      <w:kern w:val="0"/>
                      <w:sz w:val="21"/>
                      <w:szCs w:val="21"/>
                      <w:lang w:bidi="ar"/>
                    </w:rPr>
                    <w:t>项目区域主要地表水为</w:t>
                  </w:r>
                  <w:r>
                    <w:rPr>
                      <w:rFonts w:hint="default" w:ascii="Times New Roman" w:hAnsi="Times New Roman" w:cs="Times New Roman"/>
                      <w:color w:val="auto"/>
                      <w:kern w:val="0"/>
                      <w:sz w:val="21"/>
                      <w:szCs w:val="21"/>
                      <w:lang w:val="en-US" w:eastAsia="zh-CN" w:bidi="ar"/>
                    </w:rPr>
                    <w:t>东北侧1700m的</w:t>
                  </w:r>
                  <w:r>
                    <w:rPr>
                      <w:rFonts w:hint="default" w:ascii="Times New Roman" w:hAnsi="Times New Roman" w:cs="Times New Roman"/>
                      <w:color w:val="auto"/>
                      <w:kern w:val="0"/>
                      <w:sz w:val="21"/>
                      <w:szCs w:val="21"/>
                      <w:lang w:bidi="ar"/>
                    </w:rPr>
                    <w:t>小河箐，小河箐向</w:t>
                  </w:r>
                  <w:r>
                    <w:rPr>
                      <w:rFonts w:hint="default" w:ascii="Times New Roman" w:hAnsi="Times New Roman" w:cs="Times New Roman"/>
                      <w:color w:val="auto"/>
                      <w:kern w:val="0"/>
                      <w:sz w:val="21"/>
                      <w:szCs w:val="21"/>
                      <w:lang w:val="en-US" w:eastAsia="zh-CN" w:bidi="ar"/>
                    </w:rPr>
                    <w:t>东</w:t>
                  </w:r>
                  <w:r>
                    <w:rPr>
                      <w:rFonts w:hint="default" w:ascii="Times New Roman" w:hAnsi="Times New Roman" w:cs="Times New Roman"/>
                      <w:color w:val="auto"/>
                      <w:kern w:val="0"/>
                      <w:sz w:val="21"/>
                      <w:szCs w:val="21"/>
                      <w:lang w:bidi="ar"/>
                    </w:rPr>
                    <w:t>南流经乐朗村后汇入柯渡河</w:t>
                  </w:r>
                  <w:r>
                    <w:rPr>
                      <w:rFonts w:hint="default" w:ascii="Times New Roman" w:hAnsi="Times New Roman" w:cs="Times New Roman"/>
                      <w:color w:val="auto"/>
                      <w:kern w:val="0"/>
                      <w:sz w:val="21"/>
                      <w:szCs w:val="21"/>
                      <w:lang w:eastAsia="zh-CN" w:bidi="ar"/>
                    </w:rPr>
                    <w:t>，</w:t>
                  </w:r>
                  <w:r>
                    <w:rPr>
                      <w:rFonts w:hint="default" w:ascii="Times New Roman" w:hAnsi="Times New Roman" w:cs="Times New Roman"/>
                      <w:color w:val="auto"/>
                      <w:kern w:val="0"/>
                      <w:sz w:val="21"/>
                      <w:szCs w:val="21"/>
                      <w:lang w:val="en-US" w:eastAsia="zh-CN" w:bidi="ar"/>
                    </w:rPr>
                    <w:t>柯渡河和可朗河交汇后称为木板河，最后汇入普渡河，项目区域水系属于普渡河流域</w:t>
                  </w:r>
                  <w:r>
                    <w:rPr>
                      <w:rFonts w:hint="default" w:ascii="Times New Roman" w:hAnsi="Times New Roman" w:cs="Times New Roman"/>
                      <w:color w:val="auto"/>
                      <w:kern w:val="0"/>
                      <w:sz w:val="21"/>
                      <w:szCs w:val="21"/>
                      <w:lang w:eastAsia="zh-CN" w:bidi="ar"/>
                    </w:rPr>
                    <w:t>，</w:t>
                  </w:r>
                  <w:r>
                    <w:rPr>
                      <w:rFonts w:hint="default" w:ascii="Times New Roman" w:hAnsi="Times New Roman" w:cs="Times New Roman"/>
                      <w:color w:val="auto"/>
                      <w:kern w:val="0"/>
                      <w:sz w:val="21"/>
                      <w:szCs w:val="21"/>
                      <w:lang w:val="en-US" w:eastAsia="zh-CN" w:bidi="ar"/>
                    </w:rPr>
                    <w:t>柯渡河</w:t>
                  </w:r>
                  <w:r>
                    <w:rPr>
                      <w:rFonts w:hint="default" w:ascii="Times New Roman" w:hAnsi="Times New Roman" w:cs="Times New Roman"/>
                      <w:color w:val="auto"/>
                      <w:kern w:val="0"/>
                      <w:sz w:val="21"/>
                      <w:szCs w:val="21"/>
                      <w:lang w:bidi="ar"/>
                    </w:rPr>
                    <w:t>属Ⅲ类水体</w:t>
                  </w:r>
                  <w:r>
                    <w:rPr>
                      <w:rFonts w:hint="default" w:ascii="Times New Roman" w:hAnsi="Times New Roman" w:cs="Times New Roman"/>
                      <w:color w:val="auto"/>
                      <w:kern w:val="0"/>
                      <w:sz w:val="21"/>
                      <w:szCs w:val="21"/>
                      <w:lang w:eastAsia="zh-CN" w:bidi="ar"/>
                    </w:rPr>
                    <w:t>，</w:t>
                  </w:r>
                  <w:r>
                    <w:rPr>
                      <w:rFonts w:hint="default" w:ascii="Times New Roman" w:hAnsi="Times New Roman" w:cs="Times New Roman"/>
                      <w:color w:val="auto"/>
                      <w:kern w:val="0"/>
                      <w:sz w:val="21"/>
                      <w:szCs w:val="21"/>
                      <w:lang w:val="en-US" w:eastAsia="zh-CN" w:bidi="ar"/>
                    </w:rPr>
                    <w:t>按照支流服从干流的原则，小河箐水质执行《地表水环境质量标准》（GB3838-2002）中Ⅲ类水质标准</w:t>
                  </w:r>
                  <w:r>
                    <w:rPr>
                      <w:rFonts w:hint="default" w:ascii="Times New Roman" w:hAnsi="Times New Roman" w:cs="Times New Roman"/>
                      <w:color w:val="auto"/>
                      <w:kern w:val="0"/>
                      <w:sz w:val="21"/>
                      <w:szCs w:val="21"/>
                      <w:lang w:bidi="ar"/>
                    </w:rPr>
                    <w:t>。</w:t>
                  </w:r>
                  <w:r>
                    <w:rPr>
                      <w:rFonts w:hint="default" w:ascii="Times New Roman" w:hAnsi="Times New Roman" w:cs="Times New Roman"/>
                      <w:color w:val="auto"/>
                      <w:kern w:val="0"/>
                      <w:sz w:val="21"/>
                      <w:szCs w:val="21"/>
                      <w:lang w:val="en-US" w:eastAsia="zh-CN" w:bidi="ar"/>
                    </w:rPr>
                    <w:t>根据寻甸回族彝族自治县人民政府网发布的寻甸县2025年第一季度至第四季度及2026年第一季度环境质量公报，2025年第一季度至第四季度木板河新民村断面水质类别分别为Ⅱ类水、Ⅱ类水、Ⅳ类水、Ⅲ类水，仅2025年第三季度与2024年同期相比有所下降，其他季度与2024年同期相比无明显变化；2026年第一季度木板河新民村断面水质类别为Ⅱ类水，与2025年同期相比无明显变化</w:t>
                  </w:r>
                  <w:r>
                    <w:rPr>
                      <w:rFonts w:hint="default" w:ascii="Times New Roman" w:hAnsi="Times New Roman" w:cs="Times New Roman"/>
                      <w:color w:val="auto"/>
                      <w:kern w:val="0"/>
                      <w:sz w:val="21"/>
                      <w:szCs w:val="21"/>
                      <w:lang w:bidi="ar"/>
                    </w:rPr>
                    <w:t>。本项目产生废水均不外排。</w:t>
                  </w:r>
                </w:p>
              </w:tc>
              <w:tc>
                <w:tcPr>
                  <w:tcW w:w="640" w:type="dxa"/>
                  <w:tcBorders>
                    <w:bottom w:val="single" w:color="000000" w:sz="4" w:space="0"/>
                  </w:tcBorders>
                  <w:vAlign w:val="center"/>
                </w:tcPr>
                <w:p w14:paraId="037472B4">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color w:val="auto"/>
                      <w:kern w:val="0"/>
                      <w:sz w:val="21"/>
                      <w:szCs w:val="21"/>
                      <w:lang w:bidi="ar"/>
                    </w:rPr>
                    <w:t>符合</w:t>
                  </w:r>
                </w:p>
              </w:tc>
            </w:tr>
            <w:tr w14:paraId="42D5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387" w:type="dxa"/>
                  <w:vMerge w:val="continue"/>
                  <w:vAlign w:val="center"/>
                </w:tcPr>
                <w:p w14:paraId="6311D7A6">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p>
              </w:tc>
              <w:tc>
                <w:tcPr>
                  <w:tcW w:w="681" w:type="dxa"/>
                  <w:tcBorders>
                    <w:top w:val="single" w:color="000000" w:sz="4" w:space="0"/>
                    <w:bottom w:val="single" w:color="000000" w:sz="4" w:space="0"/>
                    <w:right w:val="single" w:color="000000" w:sz="4" w:space="0"/>
                  </w:tcBorders>
                  <w:vAlign w:val="center"/>
                </w:tcPr>
                <w:p w14:paraId="26E207F4">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大气环境质量底线</w:t>
                  </w:r>
                </w:p>
              </w:tc>
              <w:tc>
                <w:tcPr>
                  <w:tcW w:w="3029" w:type="dxa"/>
                  <w:tcBorders>
                    <w:top w:val="single" w:color="000000" w:sz="4" w:space="0"/>
                    <w:left w:val="single" w:color="000000" w:sz="4" w:space="0"/>
                    <w:bottom w:val="single" w:color="000000" w:sz="4" w:space="0"/>
                  </w:tcBorders>
                  <w:vAlign w:val="center"/>
                </w:tcPr>
                <w:p w14:paraId="60374D85">
                  <w:pPr>
                    <w:keepNext w:val="0"/>
                    <w:keepLines w:val="0"/>
                    <w:pageBreakBefore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到2025年，空气质量优良天数比率达99.1%，细颗粒物（PM</w:t>
                  </w:r>
                  <w:r>
                    <w:rPr>
                      <w:rFonts w:hint="default" w:ascii="Times New Roman" w:hAnsi="Times New Roman" w:cs="Times New Roman"/>
                      <w:color w:val="auto"/>
                      <w:kern w:val="0"/>
                      <w:sz w:val="21"/>
                      <w:szCs w:val="21"/>
                      <w:vertAlign w:val="subscript"/>
                      <w:lang w:bidi="ar"/>
                    </w:rPr>
                    <w:t>2.5</w:t>
                  </w:r>
                  <w:r>
                    <w:rPr>
                      <w:rFonts w:hint="default" w:ascii="Times New Roman" w:hAnsi="Times New Roman" w:cs="Times New Roman"/>
                      <w:color w:val="auto"/>
                      <w:kern w:val="0"/>
                      <w:sz w:val="21"/>
                      <w:szCs w:val="21"/>
                      <w:lang w:bidi="ar"/>
                    </w:rPr>
                    <w:t>）浓度不高于24微克/立方米，重污染天数为0。</w:t>
                  </w:r>
                </w:p>
              </w:tc>
              <w:tc>
                <w:tcPr>
                  <w:tcW w:w="3081" w:type="dxa"/>
                  <w:tcBorders>
                    <w:top w:val="single" w:color="000000" w:sz="4" w:space="0"/>
                    <w:bottom w:val="single" w:color="000000" w:sz="4" w:space="0"/>
                  </w:tcBorders>
                  <w:vAlign w:val="center"/>
                </w:tcPr>
                <w:p w14:paraId="0CEE2223">
                  <w:pPr>
                    <w:keepNext w:val="0"/>
                    <w:keepLines w:val="0"/>
                    <w:pageBreakBefore w:val="0"/>
                    <w:kinsoku/>
                    <w:wordWrap/>
                    <w:overflowPunct/>
                    <w:topLinePunct w:val="0"/>
                    <w:autoSpaceDE/>
                    <w:autoSpaceDN/>
                    <w:bidi w:val="0"/>
                    <w:adjustRightInd/>
                    <w:snapToGrid w:val="0"/>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val="en-US" w:eastAsia="zh-CN" w:bidi="ar"/>
                    </w:rPr>
                    <w:t>根据寻甸回族彝族自治县人民政府网发布的寻甸县2025年第一季度至2026年第一季度环境质量公报，2025年一季度至2026年一季度优良天数比率分别为96.6%、100%、100%、100%、100%，2025年一季度至2026年一季度最高PM</w:t>
                  </w:r>
                  <w:r>
                    <w:rPr>
                      <w:rFonts w:hint="default" w:ascii="Times New Roman" w:hAnsi="Times New Roman" w:cs="Times New Roman"/>
                      <w:color w:val="auto"/>
                      <w:kern w:val="0"/>
                      <w:sz w:val="21"/>
                      <w:szCs w:val="21"/>
                      <w:vertAlign w:val="subscript"/>
                      <w:lang w:val="en-US" w:eastAsia="zh-CN" w:bidi="ar"/>
                    </w:rPr>
                    <w:t>2.5</w:t>
                  </w:r>
                  <w:r>
                    <w:rPr>
                      <w:rFonts w:hint="default" w:ascii="Times New Roman" w:hAnsi="Times New Roman" w:cs="Times New Roman"/>
                      <w:color w:val="auto"/>
                      <w:kern w:val="0"/>
                      <w:sz w:val="21"/>
                      <w:szCs w:val="21"/>
                      <w:vertAlign w:val="baseline"/>
                      <w:lang w:val="en-US" w:eastAsia="zh-CN" w:bidi="ar"/>
                    </w:rPr>
                    <w:t>、</w:t>
                  </w:r>
                  <w:r>
                    <w:rPr>
                      <w:rFonts w:hint="default" w:ascii="Times New Roman" w:hAnsi="Times New Roman" w:cs="Times New Roman"/>
                      <w:color w:val="auto"/>
                      <w:kern w:val="0"/>
                      <w:sz w:val="21"/>
                      <w:szCs w:val="21"/>
                      <w:lang w:val="en-US" w:eastAsia="zh-CN" w:bidi="ar"/>
                    </w:rPr>
                    <w:t>PM</w:t>
                  </w:r>
                  <w:r>
                    <w:rPr>
                      <w:rFonts w:hint="default" w:ascii="Times New Roman" w:hAnsi="Times New Roman" w:cs="Times New Roman"/>
                      <w:color w:val="auto"/>
                      <w:kern w:val="0"/>
                      <w:sz w:val="21"/>
                      <w:szCs w:val="21"/>
                      <w:vertAlign w:val="subscript"/>
                      <w:lang w:val="en-US" w:eastAsia="zh-CN" w:bidi="ar"/>
                    </w:rPr>
                    <w:t>10</w:t>
                  </w:r>
                  <w:r>
                    <w:rPr>
                      <w:rFonts w:hint="default" w:ascii="Times New Roman" w:hAnsi="Times New Roman" w:cs="Times New Roman"/>
                      <w:color w:val="auto"/>
                      <w:kern w:val="0"/>
                      <w:sz w:val="21"/>
                      <w:szCs w:val="21"/>
                      <w:vertAlign w:val="baseline"/>
                      <w:lang w:val="en-US" w:eastAsia="zh-CN" w:bidi="ar"/>
                    </w:rPr>
                    <w:t xml:space="preserve"> </w:t>
                  </w:r>
                  <w:r>
                    <w:rPr>
                      <w:rFonts w:hint="default" w:ascii="Times New Roman" w:hAnsi="Times New Roman" w:cs="Times New Roman"/>
                      <w:color w:val="auto"/>
                      <w:kern w:val="0"/>
                      <w:sz w:val="21"/>
                      <w:szCs w:val="21"/>
                      <w:lang w:val="en-US" w:eastAsia="zh-CN" w:bidi="ar"/>
                    </w:rPr>
                    <w:t>24小时平均浓度分别为25μg/m</w:t>
                  </w:r>
                  <w:r>
                    <w:rPr>
                      <w:rFonts w:hint="default" w:ascii="Times New Roman" w:hAnsi="Times New Roman" w:cs="Times New Roman"/>
                      <w:color w:val="auto"/>
                      <w:kern w:val="0"/>
                      <w:sz w:val="21"/>
                      <w:szCs w:val="21"/>
                      <w:vertAlign w:val="superscript"/>
                      <w:lang w:val="en-US" w:eastAsia="zh-CN" w:bidi="ar"/>
                    </w:rPr>
                    <w:t>3</w:t>
                  </w:r>
                  <w:r>
                    <w:rPr>
                      <w:rFonts w:hint="default" w:ascii="Times New Roman" w:hAnsi="Times New Roman" w:cs="Times New Roman"/>
                      <w:color w:val="auto"/>
                      <w:kern w:val="0"/>
                      <w:sz w:val="21"/>
                      <w:szCs w:val="21"/>
                      <w:lang w:val="en-US" w:eastAsia="zh-CN" w:bidi="ar"/>
                    </w:rPr>
                    <w:t>、48μg/m</w:t>
                  </w:r>
                  <w:r>
                    <w:rPr>
                      <w:rFonts w:hint="default" w:ascii="Times New Roman" w:hAnsi="Times New Roman" w:cs="Times New Roman"/>
                      <w:color w:val="auto"/>
                      <w:kern w:val="0"/>
                      <w:sz w:val="21"/>
                      <w:szCs w:val="21"/>
                      <w:vertAlign w:val="superscript"/>
                      <w:lang w:val="en-US" w:eastAsia="zh-CN" w:bidi="ar"/>
                    </w:rPr>
                    <w:t>3</w:t>
                  </w:r>
                  <w:r>
                    <w:rPr>
                      <w:rFonts w:hint="default" w:ascii="Times New Roman" w:hAnsi="Times New Roman" w:cs="Times New Roman"/>
                      <w:color w:val="auto"/>
                      <w:kern w:val="0"/>
                      <w:sz w:val="21"/>
                      <w:szCs w:val="21"/>
                      <w:lang w:bidi="ar"/>
                    </w:rPr>
                    <w:t>。本项目在建设运营过程中加强环境管理，严格落实设计及环评提出的各项废气污染防治措施，项目正常排放条件下废气污染物对环境的影响可接受。</w:t>
                  </w:r>
                </w:p>
              </w:tc>
              <w:tc>
                <w:tcPr>
                  <w:tcW w:w="640" w:type="dxa"/>
                  <w:tcBorders>
                    <w:top w:val="single" w:color="000000" w:sz="4" w:space="0"/>
                    <w:bottom w:val="single" w:color="000000" w:sz="4" w:space="0"/>
                  </w:tcBorders>
                  <w:vAlign w:val="center"/>
                </w:tcPr>
                <w:p w14:paraId="39CCDE91">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符合</w:t>
                  </w:r>
                </w:p>
              </w:tc>
            </w:tr>
            <w:tr w14:paraId="04E4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2" w:hRule="atLeast"/>
                <w:jc w:val="center"/>
              </w:trPr>
              <w:tc>
                <w:tcPr>
                  <w:tcW w:w="387" w:type="dxa"/>
                  <w:vMerge w:val="continue"/>
                  <w:vAlign w:val="center"/>
                </w:tcPr>
                <w:p w14:paraId="12BC573D">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p>
              </w:tc>
              <w:tc>
                <w:tcPr>
                  <w:tcW w:w="681" w:type="dxa"/>
                  <w:tcBorders>
                    <w:top w:val="single" w:color="000000" w:sz="4" w:space="0"/>
                    <w:right w:val="single" w:color="000000" w:sz="4" w:space="0"/>
                  </w:tcBorders>
                  <w:vAlign w:val="center"/>
                </w:tcPr>
                <w:p w14:paraId="7BBCD783">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土壤环境风险防控</w:t>
                  </w:r>
                </w:p>
                <w:p w14:paraId="623F66D8">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底线</w:t>
                  </w:r>
                </w:p>
              </w:tc>
              <w:tc>
                <w:tcPr>
                  <w:tcW w:w="3029" w:type="dxa"/>
                  <w:tcBorders>
                    <w:top w:val="single" w:color="000000" w:sz="4" w:space="0"/>
                    <w:left w:val="single" w:color="000000" w:sz="4" w:space="0"/>
                  </w:tcBorders>
                  <w:vAlign w:val="center"/>
                </w:tcPr>
                <w:p w14:paraId="0FF0C002">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全市土壤环境质量总体保持稳定，局部稳中向好，受污染耕地安全利用率不低于90%，重点建设用地安全利用得到有效保障。</w:t>
                  </w:r>
                </w:p>
              </w:tc>
              <w:tc>
                <w:tcPr>
                  <w:tcW w:w="3081" w:type="dxa"/>
                  <w:tcBorders>
                    <w:top w:val="single" w:color="000000" w:sz="4" w:space="0"/>
                  </w:tcBorders>
                  <w:vAlign w:val="center"/>
                </w:tcPr>
                <w:p w14:paraId="42B7B176">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color w:val="auto"/>
                      <w:kern w:val="0"/>
                      <w:sz w:val="21"/>
                      <w:szCs w:val="21"/>
                      <w:lang w:bidi="ar"/>
                    </w:rPr>
                    <w:t>危险废物</w:t>
                  </w:r>
                  <w:r>
                    <w:rPr>
                      <w:rFonts w:hint="default" w:ascii="Times New Roman" w:hAnsi="Times New Roman" w:cs="Times New Roman"/>
                      <w:color w:val="auto"/>
                      <w:kern w:val="0"/>
                      <w:sz w:val="21"/>
                      <w:szCs w:val="21"/>
                      <w:lang w:val="en-US" w:eastAsia="zh-CN" w:bidi="ar"/>
                    </w:rPr>
                    <w:t>暂存于</w:t>
                  </w:r>
                  <w:r>
                    <w:rPr>
                      <w:rFonts w:hint="default" w:ascii="Times New Roman" w:hAnsi="Times New Roman" w:cs="Times New Roman"/>
                      <w:color w:val="auto"/>
                      <w:kern w:val="0"/>
                      <w:sz w:val="21"/>
                      <w:szCs w:val="21"/>
                      <w:lang w:bidi="ar"/>
                    </w:rPr>
                    <w:t>危废暂存间（5m</w:t>
                  </w:r>
                  <w:r>
                    <w:rPr>
                      <w:rFonts w:hint="default" w:ascii="Times New Roman" w:hAnsi="Times New Roman" w:cs="Times New Roman"/>
                      <w:color w:val="auto"/>
                      <w:kern w:val="0"/>
                      <w:sz w:val="21"/>
                      <w:szCs w:val="21"/>
                      <w:vertAlign w:val="superscript"/>
                      <w:lang w:bidi="ar"/>
                    </w:rPr>
                    <w:t>2</w:t>
                  </w:r>
                  <w:r>
                    <w:rPr>
                      <w:rFonts w:hint="default" w:ascii="Times New Roman" w:hAnsi="Times New Roman" w:cs="Times New Roman"/>
                      <w:color w:val="auto"/>
                      <w:kern w:val="0"/>
                      <w:sz w:val="21"/>
                      <w:szCs w:val="21"/>
                      <w:lang w:bidi="ar"/>
                    </w:rPr>
                    <w:t>），委托有资质单位清运处置，对土壤环境质量影响较小。</w:t>
                  </w:r>
                </w:p>
              </w:tc>
              <w:tc>
                <w:tcPr>
                  <w:tcW w:w="640" w:type="dxa"/>
                  <w:tcBorders>
                    <w:top w:val="single" w:color="000000" w:sz="4" w:space="0"/>
                  </w:tcBorders>
                  <w:vAlign w:val="center"/>
                </w:tcPr>
                <w:p w14:paraId="64253066">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符合</w:t>
                  </w:r>
                </w:p>
              </w:tc>
            </w:tr>
            <w:tr w14:paraId="0FF4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387" w:type="dxa"/>
                  <w:vMerge w:val="restart"/>
                  <w:vAlign w:val="center"/>
                </w:tcPr>
                <w:p w14:paraId="5AD9651A">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b w:val="0"/>
                      <w:bCs w:val="0"/>
                      <w:color w:val="auto"/>
                      <w:kern w:val="0"/>
                      <w:sz w:val="21"/>
                      <w:szCs w:val="21"/>
                      <w:lang w:bidi="ar"/>
                    </w:rPr>
                    <w:t>资源利用上线</w:t>
                  </w:r>
                </w:p>
              </w:tc>
              <w:tc>
                <w:tcPr>
                  <w:tcW w:w="681" w:type="dxa"/>
                  <w:tcBorders>
                    <w:bottom w:val="single" w:color="000000" w:sz="4" w:space="0"/>
                    <w:right w:val="single" w:color="000000" w:sz="4" w:space="0"/>
                  </w:tcBorders>
                  <w:vAlign w:val="center"/>
                </w:tcPr>
                <w:p w14:paraId="7E0ED6B2">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水资源利用上线</w:t>
                  </w:r>
                </w:p>
              </w:tc>
              <w:tc>
                <w:tcPr>
                  <w:tcW w:w="3029" w:type="dxa"/>
                  <w:tcBorders>
                    <w:left w:val="single" w:color="000000" w:sz="4" w:space="0"/>
                    <w:bottom w:val="single" w:color="000000" w:sz="4" w:space="0"/>
                  </w:tcBorders>
                  <w:vAlign w:val="center"/>
                </w:tcPr>
                <w:p w14:paraId="3A4C4645">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到2025年，按照国家、省、市有关要求和规划，按时完成全市用水总量、用水效率、限制纳污“三条红线”水资源上限控制指标；</w:t>
                  </w:r>
                </w:p>
              </w:tc>
              <w:tc>
                <w:tcPr>
                  <w:tcW w:w="3081" w:type="dxa"/>
                  <w:tcBorders>
                    <w:bottom w:val="single" w:color="000000" w:sz="4" w:space="0"/>
                  </w:tcBorders>
                  <w:vAlign w:val="center"/>
                </w:tcPr>
                <w:p w14:paraId="35B36603">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color w:val="auto"/>
                      <w:kern w:val="0"/>
                      <w:sz w:val="21"/>
                      <w:szCs w:val="21"/>
                      <w:lang w:bidi="ar"/>
                    </w:rPr>
                    <w:t>本项目用水量较少，不会突破水资源利用上限。</w:t>
                  </w:r>
                </w:p>
              </w:tc>
              <w:tc>
                <w:tcPr>
                  <w:tcW w:w="640" w:type="dxa"/>
                  <w:tcBorders>
                    <w:bottom w:val="single" w:color="000000" w:sz="4" w:space="0"/>
                  </w:tcBorders>
                  <w:vAlign w:val="center"/>
                </w:tcPr>
                <w:p w14:paraId="3E5FD040">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b/>
                      <w:bCs/>
                      <w:color w:val="auto"/>
                      <w:kern w:val="0"/>
                      <w:sz w:val="21"/>
                      <w:szCs w:val="21"/>
                      <w:lang w:bidi="ar"/>
                    </w:rPr>
                  </w:pPr>
                  <w:r>
                    <w:rPr>
                      <w:rFonts w:hint="default" w:ascii="Times New Roman" w:hAnsi="Times New Roman" w:cs="Times New Roman"/>
                      <w:color w:val="auto"/>
                      <w:kern w:val="0"/>
                      <w:sz w:val="21"/>
                      <w:szCs w:val="21"/>
                      <w:lang w:bidi="ar"/>
                    </w:rPr>
                    <w:t>符合</w:t>
                  </w:r>
                </w:p>
              </w:tc>
            </w:tr>
            <w:tr w14:paraId="7756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jc w:val="center"/>
              </w:trPr>
              <w:tc>
                <w:tcPr>
                  <w:tcW w:w="387" w:type="dxa"/>
                  <w:vMerge w:val="continue"/>
                  <w:vAlign w:val="center"/>
                </w:tcPr>
                <w:p w14:paraId="47533D4F">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p>
              </w:tc>
              <w:tc>
                <w:tcPr>
                  <w:tcW w:w="681" w:type="dxa"/>
                  <w:tcBorders>
                    <w:top w:val="single" w:color="000000" w:sz="4" w:space="0"/>
                    <w:bottom w:val="single" w:color="000000" w:sz="4" w:space="0"/>
                    <w:right w:val="single" w:color="000000" w:sz="4" w:space="0"/>
                  </w:tcBorders>
                  <w:vAlign w:val="center"/>
                </w:tcPr>
                <w:p w14:paraId="0AC1CC8B">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土地资源利用上线</w:t>
                  </w:r>
                </w:p>
              </w:tc>
              <w:tc>
                <w:tcPr>
                  <w:tcW w:w="3029" w:type="dxa"/>
                  <w:tcBorders>
                    <w:top w:val="single" w:color="000000" w:sz="4" w:space="0"/>
                    <w:left w:val="single" w:color="000000" w:sz="4" w:space="0"/>
                    <w:bottom w:val="single" w:color="000000" w:sz="4" w:space="0"/>
                  </w:tcBorders>
                  <w:vAlign w:val="center"/>
                </w:tcPr>
                <w:p w14:paraId="66457550">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按时完成耕地保有量、基本农田保护面积、建设用地总规模等土地资源利用上限控制指标；</w:t>
                  </w:r>
                </w:p>
              </w:tc>
              <w:tc>
                <w:tcPr>
                  <w:tcW w:w="3081" w:type="dxa"/>
                  <w:tcBorders>
                    <w:top w:val="single" w:color="000000" w:sz="4" w:space="0"/>
                    <w:bottom w:val="single" w:color="000000" w:sz="4" w:space="0"/>
                  </w:tcBorders>
                  <w:vAlign w:val="center"/>
                </w:tcPr>
                <w:p w14:paraId="511B1313">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本项目为改建项目，不新增用地，本项目不涉及耕地、永久基本农田，不会突破土地利用上限。</w:t>
                  </w:r>
                </w:p>
              </w:tc>
              <w:tc>
                <w:tcPr>
                  <w:tcW w:w="640" w:type="dxa"/>
                  <w:tcBorders>
                    <w:top w:val="single" w:color="000000" w:sz="4" w:space="0"/>
                    <w:bottom w:val="single" w:color="000000" w:sz="4" w:space="0"/>
                  </w:tcBorders>
                  <w:vAlign w:val="center"/>
                </w:tcPr>
                <w:p w14:paraId="6111CF69">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符合</w:t>
                  </w:r>
                </w:p>
              </w:tc>
            </w:tr>
            <w:tr w14:paraId="180E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387" w:type="dxa"/>
                  <w:vMerge w:val="continue"/>
                  <w:vAlign w:val="center"/>
                </w:tcPr>
                <w:p w14:paraId="338029F0">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p>
              </w:tc>
              <w:tc>
                <w:tcPr>
                  <w:tcW w:w="681" w:type="dxa"/>
                  <w:tcBorders>
                    <w:top w:val="single" w:color="000000" w:sz="4" w:space="0"/>
                    <w:right w:val="single" w:color="000000" w:sz="4" w:space="0"/>
                  </w:tcBorders>
                  <w:vAlign w:val="center"/>
                </w:tcPr>
                <w:p w14:paraId="4800712E">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能源利用上线</w:t>
                  </w:r>
                </w:p>
              </w:tc>
              <w:tc>
                <w:tcPr>
                  <w:tcW w:w="3029" w:type="dxa"/>
                  <w:tcBorders>
                    <w:top w:val="single" w:color="000000" w:sz="4" w:space="0"/>
                    <w:left w:val="single" w:color="000000" w:sz="4" w:space="0"/>
                  </w:tcBorders>
                  <w:vAlign w:val="center"/>
                </w:tcPr>
                <w:p w14:paraId="408A217D">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按时完成单位GDP能耗下降率、能源消费总量等能源控制指标。</w:t>
                  </w:r>
                </w:p>
              </w:tc>
              <w:tc>
                <w:tcPr>
                  <w:tcW w:w="3081" w:type="dxa"/>
                  <w:tcBorders>
                    <w:top w:val="single" w:color="000000" w:sz="4" w:space="0"/>
                  </w:tcBorders>
                  <w:vAlign w:val="center"/>
                </w:tcPr>
                <w:p w14:paraId="1A9EA839">
                  <w:pPr>
                    <w:keepNext w:val="0"/>
                    <w:keepLines w:val="0"/>
                    <w:pageBreakBefore w:val="0"/>
                    <w:widowControl/>
                    <w:kinsoku/>
                    <w:wordWrap/>
                    <w:overflowPunct/>
                    <w:topLinePunct w:val="0"/>
                    <w:autoSpaceDE/>
                    <w:autoSpaceDN/>
                    <w:bidi w:val="0"/>
                    <w:adjustRightInd/>
                    <w:spacing w:line="240" w:lineRule="auto"/>
                    <w:ind w:firstLine="0" w:firstLineChars="0"/>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本项目能耗主要为电能，不属于高耗能企业。</w:t>
                  </w:r>
                </w:p>
              </w:tc>
              <w:tc>
                <w:tcPr>
                  <w:tcW w:w="640" w:type="dxa"/>
                  <w:tcBorders>
                    <w:top w:val="single" w:color="000000" w:sz="4" w:space="0"/>
                  </w:tcBorders>
                  <w:vAlign w:val="center"/>
                </w:tcPr>
                <w:p w14:paraId="7B514BEF">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default" w:ascii="Times New Roman" w:hAnsi="Times New Roman" w:cs="Times New Roman"/>
                      <w:color w:val="auto"/>
                      <w:kern w:val="0"/>
                      <w:sz w:val="21"/>
                      <w:szCs w:val="21"/>
                      <w:lang w:bidi="ar"/>
                    </w:rPr>
                  </w:pPr>
                  <w:r>
                    <w:rPr>
                      <w:rFonts w:hint="default" w:ascii="Times New Roman" w:hAnsi="Times New Roman" w:cs="Times New Roman"/>
                      <w:color w:val="auto"/>
                      <w:kern w:val="0"/>
                      <w:sz w:val="21"/>
                      <w:szCs w:val="21"/>
                      <w:lang w:bidi="ar"/>
                    </w:rPr>
                    <w:t>符合</w:t>
                  </w:r>
                </w:p>
              </w:tc>
            </w:tr>
          </w:tbl>
          <w:p w14:paraId="5E5BF332">
            <w:pPr>
              <w:ind w:firstLine="480"/>
              <w:rPr>
                <w:rFonts w:hint="default" w:ascii="Times New Roman" w:hAnsi="Times New Roman" w:cs="Times New Roman"/>
                <w:b/>
                <w:bCs/>
                <w:snapToGrid w:val="0"/>
                <w:color w:val="auto"/>
                <w:kern w:val="0"/>
                <w:sz w:val="21"/>
                <w:szCs w:val="21"/>
                <w:highlight w:val="none"/>
              </w:rPr>
            </w:pPr>
            <w:r>
              <w:rPr>
                <w:rFonts w:hint="default" w:ascii="Times New Roman" w:hAnsi="Times New Roman" w:eastAsia="宋体" w:cs="Times New Roman"/>
                <w:color w:val="auto"/>
                <w:kern w:val="0"/>
                <w:highlight w:val="none"/>
                <w:shd w:val="clear" w:color="auto" w:fill="FFFFFF"/>
                <w:lang w:eastAsia="zh-CN"/>
              </w:rPr>
              <w:t>根据上表分析，本项目</w:t>
            </w:r>
            <w:r>
              <w:rPr>
                <w:rFonts w:hint="default" w:ascii="Times New Roman" w:hAnsi="Times New Roman" w:eastAsia="宋体" w:cs="Times New Roman"/>
                <w:color w:val="auto"/>
                <w:kern w:val="0"/>
                <w:highlight w:val="none"/>
                <w:shd w:val="clear" w:color="auto" w:fill="FFFFFF"/>
                <w:lang w:val="en-US" w:eastAsia="zh-CN"/>
              </w:rPr>
              <w:t>不占用生态保护红线，不触碰土壤环境风险防控底线，不会突破水资源利用上线、土地资源利用上线、能源利用上线</w:t>
            </w:r>
            <w:r>
              <w:rPr>
                <w:rFonts w:hint="default" w:ascii="Times New Roman" w:hAnsi="Times New Roman" w:eastAsia="宋体" w:cs="Times New Roman"/>
                <w:color w:val="auto"/>
                <w:kern w:val="0"/>
                <w:highlight w:val="none"/>
                <w:shd w:val="clear" w:color="auto" w:fill="FFFFFF"/>
                <w:lang w:eastAsia="zh-CN"/>
              </w:rPr>
              <w:t>。</w:t>
            </w:r>
          </w:p>
          <w:p w14:paraId="3E0DD961">
            <w:pPr>
              <w:keepNext w:val="0"/>
              <w:keepLines w:val="0"/>
              <w:pageBreakBefore w:val="0"/>
              <w:widowControl/>
              <w:kinsoku/>
              <w:wordWrap/>
              <w:overflowPunct/>
              <w:topLinePunct/>
              <w:autoSpaceDE/>
              <w:autoSpaceDN/>
              <w:bidi w:val="0"/>
              <w:adjustRightInd w:val="0"/>
              <w:snapToGrid/>
              <w:spacing w:before="157" w:beforeLines="50" w:line="240" w:lineRule="auto"/>
              <w:ind w:firstLine="0" w:firstLineChars="0"/>
              <w:jc w:val="center"/>
              <w:textAlignment w:val="baseline"/>
              <w:rPr>
                <w:rFonts w:hint="default" w:ascii="Times New Roman" w:hAnsi="Times New Roman" w:cs="Times New Roman"/>
                <w:b/>
                <w:color w:val="auto"/>
                <w:sz w:val="21"/>
                <w:szCs w:val="21"/>
                <w:highlight w:val="none"/>
              </w:rPr>
            </w:pPr>
            <w:r>
              <w:rPr>
                <w:rFonts w:hint="default" w:ascii="Times New Roman" w:hAnsi="Times New Roman" w:cs="Times New Roman"/>
                <w:b/>
                <w:bCs/>
                <w:snapToGrid w:val="0"/>
                <w:color w:val="auto"/>
                <w:kern w:val="0"/>
                <w:sz w:val="21"/>
                <w:szCs w:val="21"/>
                <w:highlight w:val="none"/>
              </w:rPr>
              <w:t>表</w:t>
            </w:r>
            <w:r>
              <w:rPr>
                <w:rFonts w:hint="default" w:ascii="Times New Roman" w:hAnsi="Times New Roman" w:eastAsia="Times New Roman" w:cs="Times New Roman"/>
                <w:b/>
                <w:bCs/>
                <w:snapToGrid w:val="0"/>
                <w:color w:val="auto"/>
                <w:kern w:val="0"/>
                <w:sz w:val="21"/>
                <w:szCs w:val="21"/>
                <w:highlight w:val="none"/>
              </w:rPr>
              <w:t>1-</w:t>
            </w:r>
            <w:r>
              <w:rPr>
                <w:rFonts w:hint="default" w:ascii="Times New Roman" w:hAnsi="Times New Roman" w:cs="Times New Roman" w:eastAsiaTheme="minorEastAsia"/>
                <w:b/>
                <w:bCs/>
                <w:snapToGrid w:val="0"/>
                <w:color w:val="auto"/>
                <w:kern w:val="0"/>
                <w:sz w:val="21"/>
                <w:szCs w:val="21"/>
                <w:highlight w:val="none"/>
                <w:lang w:val="en-US" w:eastAsia="zh-CN"/>
              </w:rPr>
              <w:t>7</w:t>
            </w:r>
            <w:r>
              <w:rPr>
                <w:rFonts w:hint="default" w:ascii="Times New Roman" w:hAnsi="Times New Roman" w:eastAsia="Times New Roman" w:cs="Times New Roman"/>
                <w:b/>
                <w:bCs/>
                <w:snapToGrid w:val="0"/>
                <w:color w:val="auto"/>
                <w:kern w:val="0"/>
                <w:sz w:val="21"/>
                <w:szCs w:val="21"/>
                <w:highlight w:val="none"/>
              </w:rPr>
              <w:t xml:space="preserve">  </w:t>
            </w:r>
            <w:r>
              <w:rPr>
                <w:rFonts w:hint="default" w:ascii="Times New Roman" w:hAnsi="Times New Roman" w:cs="Times New Roman"/>
                <w:b/>
                <w:bCs/>
                <w:snapToGrid w:val="0"/>
                <w:color w:val="auto"/>
                <w:kern w:val="0"/>
                <w:sz w:val="21"/>
                <w:szCs w:val="21"/>
                <w:highlight w:val="none"/>
              </w:rPr>
              <w:t>本</w:t>
            </w:r>
            <w:r>
              <w:rPr>
                <w:rFonts w:hint="default" w:ascii="Times New Roman" w:hAnsi="Times New Roman" w:cs="Times New Roman"/>
                <w:b/>
                <w:color w:val="auto"/>
                <w:sz w:val="21"/>
                <w:szCs w:val="21"/>
                <w:highlight w:val="none"/>
              </w:rPr>
              <w:t>项目与《昆明市生态环境管控总体准入要求》的符合性分析一览表</w:t>
            </w:r>
          </w:p>
          <w:tbl>
            <w:tblPr>
              <w:tblStyle w:val="3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73"/>
              <w:gridCol w:w="4023"/>
              <w:gridCol w:w="2495"/>
              <w:gridCol w:w="589"/>
            </w:tblGrid>
            <w:tr w14:paraId="0E366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2" w:type="pct"/>
                  <w:vAlign w:val="center"/>
                </w:tcPr>
                <w:p w14:paraId="34592888">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
                      <w:color w:val="auto"/>
                      <w:kern w:val="2"/>
                      <w:sz w:val="21"/>
                      <w:szCs w:val="21"/>
                      <w:highlight w:val="none"/>
                    </w:rPr>
                  </w:pPr>
                  <w:r>
                    <w:rPr>
                      <w:rFonts w:hint="default" w:ascii="Times New Roman" w:hAnsi="Times New Roman" w:cs="Times New Roman"/>
                      <w:b/>
                      <w:color w:val="auto"/>
                      <w:kern w:val="2"/>
                      <w:sz w:val="21"/>
                      <w:szCs w:val="21"/>
                      <w:highlight w:val="none"/>
                    </w:rPr>
                    <w:t>管控领域</w:t>
                  </w:r>
                </w:p>
              </w:tc>
              <w:tc>
                <w:tcPr>
                  <w:tcW w:w="2585" w:type="pct"/>
                  <w:vAlign w:val="center"/>
                </w:tcPr>
                <w:p w14:paraId="5B74B3BC">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
                      <w:color w:val="auto"/>
                      <w:kern w:val="2"/>
                      <w:sz w:val="21"/>
                      <w:szCs w:val="21"/>
                      <w:highlight w:val="none"/>
                    </w:rPr>
                  </w:pPr>
                  <w:r>
                    <w:rPr>
                      <w:rFonts w:hint="default" w:ascii="Times New Roman" w:hAnsi="Times New Roman" w:cs="Times New Roman"/>
                      <w:b/>
                      <w:color w:val="auto"/>
                      <w:kern w:val="2"/>
                      <w:sz w:val="21"/>
                      <w:szCs w:val="21"/>
                      <w:highlight w:val="none"/>
                    </w:rPr>
                    <w:t>管控要求</w:t>
                  </w:r>
                </w:p>
              </w:tc>
              <w:tc>
                <w:tcPr>
                  <w:tcW w:w="1603" w:type="pct"/>
                  <w:vAlign w:val="center"/>
                </w:tcPr>
                <w:p w14:paraId="27201455">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
                      <w:color w:val="auto"/>
                      <w:kern w:val="2"/>
                      <w:sz w:val="21"/>
                      <w:szCs w:val="21"/>
                      <w:highlight w:val="none"/>
                    </w:rPr>
                  </w:pPr>
                  <w:r>
                    <w:rPr>
                      <w:rFonts w:hint="default" w:ascii="Times New Roman" w:hAnsi="Times New Roman" w:cs="Times New Roman"/>
                      <w:b/>
                      <w:color w:val="auto"/>
                      <w:kern w:val="2"/>
                      <w:sz w:val="21"/>
                      <w:szCs w:val="21"/>
                      <w:highlight w:val="none"/>
                    </w:rPr>
                    <w:t>本项目情况</w:t>
                  </w:r>
                </w:p>
              </w:tc>
              <w:tc>
                <w:tcPr>
                  <w:tcW w:w="378" w:type="pct"/>
                  <w:vAlign w:val="center"/>
                </w:tcPr>
                <w:p w14:paraId="14B8BCF9">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
                      <w:color w:val="auto"/>
                      <w:kern w:val="2"/>
                      <w:sz w:val="21"/>
                      <w:szCs w:val="21"/>
                      <w:highlight w:val="none"/>
                    </w:rPr>
                  </w:pPr>
                  <w:r>
                    <w:rPr>
                      <w:rFonts w:hint="default" w:ascii="Times New Roman" w:hAnsi="Times New Roman" w:cs="Times New Roman"/>
                      <w:b/>
                      <w:color w:val="auto"/>
                      <w:kern w:val="2"/>
                      <w:sz w:val="21"/>
                      <w:szCs w:val="21"/>
                      <w:highlight w:val="none"/>
                    </w:rPr>
                    <w:t>相符性</w:t>
                  </w:r>
                </w:p>
              </w:tc>
            </w:tr>
            <w:tr w14:paraId="7F44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2" w:type="pct"/>
                  <w:vAlign w:val="center"/>
                </w:tcPr>
                <w:p w14:paraId="5887E8C0">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空间布局约束</w:t>
                  </w:r>
                </w:p>
              </w:tc>
              <w:tc>
                <w:tcPr>
                  <w:tcW w:w="2585" w:type="pct"/>
                  <w:vAlign w:val="center"/>
                </w:tcPr>
                <w:p w14:paraId="70F8E0B1">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1.根据《昆明市国土空间总体规划（2021-2035年）》进行空间管控。</w:t>
                  </w:r>
                </w:p>
                <w:p w14:paraId="16D0E96E">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2.牛栏江流域内，严格按照《云南省牛栏江保护条例》相关要求对水环境进行分区管控。</w:t>
                  </w:r>
                </w:p>
                <w:p w14:paraId="6797CFA4">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3.滇池流域内，严格按照《云南省滇池湖滨生态红线及湖泊生态黄线“两线”划定方案》相关要求进行分区管控。</w:t>
                  </w:r>
                </w:p>
                <w:p w14:paraId="4605A6A3">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4.阳宗海流域内，严格按照《云南省阳宗海湖滨生态红线及湖泊生态黄线“两线”划定方案》相关要求进行分区管控。</w:t>
                  </w:r>
                </w:p>
              </w:tc>
              <w:tc>
                <w:tcPr>
                  <w:tcW w:w="1603" w:type="pct"/>
                  <w:vAlign w:val="center"/>
                </w:tcPr>
                <w:p w14:paraId="61D68FCF">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1.本项目位于</w:t>
                  </w:r>
                  <w:r>
                    <w:rPr>
                      <w:rFonts w:hint="default" w:ascii="Times New Roman" w:hAnsi="Times New Roman" w:cs="Times New Roman"/>
                      <w:color w:val="auto"/>
                      <w:sz w:val="21"/>
                      <w:szCs w:val="21"/>
                      <w:highlight w:val="none"/>
                    </w:rPr>
                    <w:t>寻甸县柯渡镇乐郎村委会稗子田村境内</w:t>
                  </w:r>
                  <w:r>
                    <w:rPr>
                      <w:rFonts w:hint="default" w:ascii="Times New Roman" w:hAnsi="Times New Roman" w:cs="Times New Roman"/>
                      <w:bCs/>
                      <w:color w:val="auto"/>
                      <w:kern w:val="2"/>
                      <w:sz w:val="21"/>
                      <w:szCs w:val="21"/>
                      <w:highlight w:val="none"/>
                    </w:rPr>
                    <w:t>，根据</w:t>
                  </w:r>
                  <w:r>
                    <w:rPr>
                      <w:rFonts w:hint="default" w:ascii="Times New Roman" w:hAnsi="Times New Roman" w:cs="Times New Roman"/>
                      <w:bCs/>
                      <w:color w:val="auto"/>
                      <w:kern w:val="2"/>
                      <w:sz w:val="21"/>
                      <w:szCs w:val="21"/>
                      <w:highlight w:val="none"/>
                      <w:lang w:val="en-US" w:eastAsia="zh-CN"/>
                    </w:rPr>
                    <w:t>下文分析，</w:t>
                  </w:r>
                  <w:r>
                    <w:rPr>
                      <w:rFonts w:hint="default" w:ascii="Times New Roman" w:hAnsi="Times New Roman" w:cs="Times New Roman"/>
                      <w:bCs/>
                      <w:color w:val="auto"/>
                      <w:kern w:val="2"/>
                      <w:sz w:val="21"/>
                      <w:szCs w:val="21"/>
                      <w:highlight w:val="none"/>
                    </w:rPr>
                    <w:t>本项目与《寻甸回族彝族自治县国土空间总体规划（2021-2035年）》不冲突；</w:t>
                  </w:r>
                </w:p>
                <w:p w14:paraId="36982789">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eastAsia="宋体" w:cs="Times New Roman"/>
                      <w:bCs/>
                      <w:color w:val="auto"/>
                      <w:kern w:val="2"/>
                      <w:sz w:val="21"/>
                      <w:szCs w:val="21"/>
                      <w:highlight w:val="none"/>
                      <w:lang w:val="en-US" w:eastAsia="zh-CN"/>
                    </w:rPr>
                  </w:pPr>
                  <w:r>
                    <w:rPr>
                      <w:rFonts w:hint="default" w:ascii="Times New Roman" w:hAnsi="Times New Roman" w:cs="Times New Roman"/>
                      <w:bCs/>
                      <w:color w:val="auto"/>
                      <w:kern w:val="2"/>
                      <w:sz w:val="21"/>
                      <w:szCs w:val="21"/>
                      <w:highlight w:val="none"/>
                    </w:rPr>
                    <w:t>2</w:t>
                  </w:r>
                  <w:r>
                    <w:rPr>
                      <w:rFonts w:hint="default" w:ascii="Times New Roman" w:hAnsi="Times New Roman" w:cs="Times New Roman"/>
                      <w:bCs/>
                      <w:color w:val="auto"/>
                      <w:kern w:val="2"/>
                      <w:sz w:val="21"/>
                      <w:szCs w:val="21"/>
                      <w:highlight w:val="none"/>
                      <w:lang w:val="en-US" w:eastAsia="zh-CN"/>
                    </w:rPr>
                    <w:t>~4.</w:t>
                  </w:r>
                  <w:r>
                    <w:rPr>
                      <w:rFonts w:hint="default" w:ascii="Times New Roman" w:hAnsi="Times New Roman" w:cs="Times New Roman"/>
                      <w:color w:val="auto"/>
                      <w:kern w:val="0"/>
                      <w:sz w:val="21"/>
                      <w:szCs w:val="21"/>
                      <w:lang w:bidi="ar"/>
                    </w:rPr>
                    <w:t>项目区域主要地表水为</w:t>
                  </w:r>
                  <w:r>
                    <w:rPr>
                      <w:rFonts w:hint="default" w:ascii="Times New Roman" w:hAnsi="Times New Roman" w:cs="Times New Roman"/>
                      <w:color w:val="auto"/>
                      <w:kern w:val="0"/>
                      <w:sz w:val="21"/>
                      <w:szCs w:val="21"/>
                      <w:lang w:val="en-US" w:eastAsia="zh-CN" w:bidi="ar"/>
                    </w:rPr>
                    <w:t>东北侧1700m的</w:t>
                  </w:r>
                  <w:r>
                    <w:rPr>
                      <w:rFonts w:hint="default" w:ascii="Times New Roman" w:hAnsi="Times New Roman" w:cs="Times New Roman"/>
                      <w:color w:val="auto"/>
                      <w:kern w:val="0"/>
                      <w:sz w:val="21"/>
                      <w:szCs w:val="21"/>
                      <w:lang w:bidi="ar"/>
                    </w:rPr>
                    <w:t>小河箐，小河箐向</w:t>
                  </w:r>
                  <w:r>
                    <w:rPr>
                      <w:rFonts w:hint="default" w:ascii="Times New Roman" w:hAnsi="Times New Roman" w:cs="Times New Roman"/>
                      <w:color w:val="auto"/>
                      <w:kern w:val="0"/>
                      <w:sz w:val="21"/>
                      <w:szCs w:val="21"/>
                      <w:lang w:val="en-US" w:eastAsia="zh-CN" w:bidi="ar"/>
                    </w:rPr>
                    <w:t>东</w:t>
                  </w:r>
                  <w:r>
                    <w:rPr>
                      <w:rFonts w:hint="default" w:ascii="Times New Roman" w:hAnsi="Times New Roman" w:cs="Times New Roman"/>
                      <w:color w:val="auto"/>
                      <w:kern w:val="0"/>
                      <w:sz w:val="21"/>
                      <w:szCs w:val="21"/>
                      <w:lang w:bidi="ar"/>
                    </w:rPr>
                    <w:t>南流经乐朗村后汇入柯渡河</w:t>
                  </w:r>
                  <w:r>
                    <w:rPr>
                      <w:rFonts w:hint="default" w:ascii="Times New Roman" w:hAnsi="Times New Roman" w:cs="Times New Roman"/>
                      <w:color w:val="auto"/>
                      <w:kern w:val="0"/>
                      <w:sz w:val="21"/>
                      <w:szCs w:val="21"/>
                      <w:lang w:eastAsia="zh-CN" w:bidi="ar"/>
                    </w:rPr>
                    <w:t>，</w:t>
                  </w:r>
                  <w:r>
                    <w:rPr>
                      <w:rFonts w:hint="default" w:ascii="Times New Roman" w:hAnsi="Times New Roman" w:cs="Times New Roman"/>
                      <w:color w:val="auto"/>
                      <w:kern w:val="0"/>
                      <w:sz w:val="21"/>
                      <w:szCs w:val="21"/>
                      <w:lang w:val="en-US" w:eastAsia="zh-CN" w:bidi="ar"/>
                    </w:rPr>
                    <w:t>柯渡河和可朗河交汇后称为木板河，最后汇入普渡河，项目区域水系属于普渡河流域</w:t>
                  </w:r>
                  <w:r>
                    <w:rPr>
                      <w:rFonts w:hint="default" w:ascii="Times New Roman" w:hAnsi="Times New Roman" w:cs="Times New Roman"/>
                      <w:bCs/>
                      <w:color w:val="auto"/>
                      <w:kern w:val="2"/>
                      <w:sz w:val="21"/>
                      <w:szCs w:val="21"/>
                      <w:highlight w:val="none"/>
                      <w:lang w:eastAsia="zh-CN"/>
                    </w:rPr>
                    <w:t>，</w:t>
                  </w:r>
                  <w:r>
                    <w:rPr>
                      <w:rFonts w:hint="default" w:ascii="Times New Roman" w:hAnsi="Times New Roman" w:cs="Times New Roman"/>
                      <w:bCs/>
                      <w:color w:val="auto"/>
                      <w:kern w:val="2"/>
                      <w:sz w:val="21"/>
                      <w:szCs w:val="21"/>
                      <w:highlight w:val="none"/>
                    </w:rPr>
                    <w:t>本项目</w:t>
                  </w:r>
                  <w:r>
                    <w:rPr>
                      <w:rFonts w:hint="default" w:ascii="Times New Roman" w:hAnsi="Times New Roman" w:cs="Times New Roman"/>
                      <w:bCs/>
                      <w:color w:val="auto"/>
                      <w:kern w:val="2"/>
                      <w:sz w:val="21"/>
                      <w:szCs w:val="21"/>
                      <w:highlight w:val="none"/>
                      <w:lang w:val="en-US" w:eastAsia="zh-CN"/>
                    </w:rPr>
                    <w:t>不涉及</w:t>
                  </w:r>
                  <w:r>
                    <w:rPr>
                      <w:rFonts w:hint="default" w:ascii="Times New Roman" w:hAnsi="Times New Roman" w:cs="Times New Roman"/>
                      <w:bCs/>
                      <w:color w:val="auto"/>
                      <w:kern w:val="2"/>
                      <w:sz w:val="21"/>
                      <w:szCs w:val="21"/>
                      <w:highlight w:val="none"/>
                    </w:rPr>
                    <w:t>牛栏江流域</w:t>
                  </w:r>
                  <w:r>
                    <w:rPr>
                      <w:rFonts w:hint="default" w:ascii="Times New Roman" w:hAnsi="Times New Roman" w:cs="Times New Roman"/>
                      <w:bCs/>
                      <w:color w:val="auto"/>
                      <w:kern w:val="2"/>
                      <w:sz w:val="21"/>
                      <w:szCs w:val="21"/>
                      <w:highlight w:val="none"/>
                      <w:lang w:eastAsia="zh-CN"/>
                    </w:rPr>
                    <w:t>、</w:t>
                  </w:r>
                  <w:r>
                    <w:rPr>
                      <w:rFonts w:hint="default" w:ascii="Times New Roman" w:hAnsi="Times New Roman" w:cs="Times New Roman"/>
                      <w:bCs/>
                      <w:color w:val="auto"/>
                      <w:kern w:val="2"/>
                      <w:sz w:val="21"/>
                      <w:szCs w:val="21"/>
                      <w:highlight w:val="none"/>
                      <w:lang w:val="en-US" w:eastAsia="zh-CN"/>
                    </w:rPr>
                    <w:t>滇池流域、阳宗海流域</w:t>
                  </w:r>
                  <w:r>
                    <w:rPr>
                      <w:rFonts w:hint="default" w:ascii="Times New Roman" w:hAnsi="Times New Roman" w:cs="Times New Roman"/>
                      <w:color w:val="auto"/>
                      <w:lang w:eastAsia="zh-CN"/>
                    </w:rPr>
                    <w:t>。</w:t>
                  </w:r>
                </w:p>
                <w:p w14:paraId="678BF684">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根据</w:t>
                  </w:r>
                  <w:r>
                    <w:rPr>
                      <w:rFonts w:hint="default" w:ascii="Times New Roman" w:hAnsi="Times New Roman" w:eastAsia="宋体" w:cs="Times New Roman"/>
                      <w:bCs/>
                      <w:color w:val="auto"/>
                      <w:kern w:val="2"/>
                      <w:sz w:val="21"/>
                      <w:szCs w:val="21"/>
                      <w:highlight w:val="none"/>
                    </w:rPr>
                    <w:t>云南省生态环境分区管控公共服务查询平台查询结果，本项目位于寻甸回族彝族自治县一般管控单元</w:t>
                  </w:r>
                  <w:r>
                    <w:rPr>
                      <w:rFonts w:hint="default" w:ascii="Times New Roman" w:hAnsi="Times New Roman" w:eastAsia="宋体" w:cs="Times New Roman"/>
                      <w:bCs/>
                      <w:color w:val="auto"/>
                      <w:kern w:val="2"/>
                      <w:sz w:val="21"/>
                      <w:szCs w:val="21"/>
                      <w:highlight w:val="none"/>
                      <w:lang w:val="en-US" w:eastAsia="zh-CN"/>
                    </w:rPr>
                    <w:t>和一般生态空间优先保护单元</w:t>
                  </w:r>
                  <w:r>
                    <w:rPr>
                      <w:rFonts w:hint="default" w:ascii="Times New Roman" w:hAnsi="Times New Roman" w:eastAsia="宋体" w:cs="Times New Roman"/>
                      <w:bCs/>
                      <w:color w:val="auto"/>
                      <w:kern w:val="2"/>
                      <w:sz w:val="21"/>
                      <w:szCs w:val="21"/>
                      <w:highlight w:val="none"/>
                    </w:rPr>
                    <w:t>，按寻甸回族彝族自治县一般管控单元</w:t>
                  </w:r>
                  <w:r>
                    <w:rPr>
                      <w:rFonts w:hint="default" w:ascii="Times New Roman" w:hAnsi="Times New Roman" w:eastAsia="宋体" w:cs="Times New Roman"/>
                      <w:bCs/>
                      <w:color w:val="auto"/>
                      <w:kern w:val="2"/>
                      <w:sz w:val="21"/>
                      <w:szCs w:val="21"/>
                      <w:highlight w:val="none"/>
                      <w:lang w:val="en-US" w:eastAsia="zh-CN"/>
                    </w:rPr>
                    <w:t>和一般生态空间优先保护单元</w:t>
                  </w:r>
                  <w:r>
                    <w:rPr>
                      <w:rFonts w:hint="default" w:ascii="Times New Roman" w:hAnsi="Times New Roman" w:eastAsia="宋体" w:cs="Times New Roman"/>
                      <w:bCs/>
                      <w:color w:val="auto"/>
                      <w:kern w:val="2"/>
                      <w:sz w:val="21"/>
                      <w:szCs w:val="21"/>
                      <w:highlight w:val="none"/>
                    </w:rPr>
                    <w:t>进行管控。</w:t>
                  </w:r>
                </w:p>
              </w:tc>
              <w:tc>
                <w:tcPr>
                  <w:tcW w:w="378" w:type="pct"/>
                  <w:vAlign w:val="center"/>
                </w:tcPr>
                <w:p w14:paraId="7F7D26C0">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符合</w:t>
                  </w:r>
                </w:p>
              </w:tc>
            </w:tr>
            <w:tr w14:paraId="11BF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2" w:type="pct"/>
                  <w:vAlign w:val="center"/>
                </w:tcPr>
                <w:p w14:paraId="064E598F">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污染物排放管控</w:t>
                  </w:r>
                </w:p>
              </w:tc>
              <w:tc>
                <w:tcPr>
                  <w:tcW w:w="2585" w:type="pct"/>
                  <w:vAlign w:val="center"/>
                </w:tcPr>
                <w:p w14:paraId="06CE7BD3">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到2025年，昆明市地表水国控断面达到或好于Ⅲ类水体比例应达到81.5%，45个省控断面达到或好于Ⅲ类水体比例应达到80%，劣V类水体全面消除，县级及以上集中式饮用水水源地水质达标率100%；滇池草海水质稳定达到IV类、外海水质达到IV类（COD≤40mg/L），阳宗海水质稳定达到Ⅲ类水标准，县级及以上集中式饮用水水源地水质达标率100%。化学需氧量重点工程减排量10243t，氨氮重点工程减排量1009t。</w:t>
                  </w:r>
                </w:p>
                <w:p w14:paraId="3A70FBF5">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2.到2025年，昆明市环境空气质量优良天数比例应达到99.1%，城市细颗粒物（PM</w:t>
                  </w:r>
                  <w:r>
                    <w:rPr>
                      <w:rFonts w:hint="default" w:ascii="Times New Roman" w:hAnsi="Times New Roman" w:cs="Times New Roman"/>
                      <w:bCs/>
                      <w:color w:val="auto"/>
                      <w:kern w:val="2"/>
                      <w:sz w:val="21"/>
                      <w:szCs w:val="21"/>
                      <w:highlight w:val="none"/>
                      <w:vertAlign w:val="subscript"/>
                    </w:rPr>
                    <w:t>2.5</w:t>
                  </w:r>
                  <w:r>
                    <w:rPr>
                      <w:rFonts w:hint="default" w:ascii="Times New Roman" w:hAnsi="Times New Roman" w:cs="Times New Roman"/>
                      <w:bCs/>
                      <w:color w:val="auto"/>
                      <w:kern w:val="2"/>
                      <w:sz w:val="21"/>
                      <w:szCs w:val="21"/>
                      <w:highlight w:val="none"/>
                    </w:rPr>
                    <w:t>）平均浓度应达到24μg/m³；氮氧化物重点工程减排量2237t，挥发性有机物重点工程减排量1684t。</w:t>
                  </w:r>
                </w:p>
                <w:p w14:paraId="1B7EC996">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3.2025年底前，全面完成钢铁企业超低排放改造。持续开展燃煤锅炉整治，推进每小时65蒸吨以上的燃煤锅炉超低排放改造。燃气锅炉推行低氮燃烧，氮氧化物排放浓度不高于50毫克/立方米。重点涉气排放企业逐步取消烟气旁路，因安全生产无法取消的，安装在线监管系统。</w:t>
                  </w:r>
                </w:p>
                <w:p w14:paraId="6A084253">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4.建立完善源头、过程和末端的VOCs全过程控制体系，实施VOCs排放总量控制。</w:t>
                  </w:r>
                </w:p>
                <w:p w14:paraId="59E56B41">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5.推进农业废弃物综合利用，2025年底前综合利用率达90%以上。</w:t>
                  </w:r>
                </w:p>
                <w:p w14:paraId="5150752E">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6.滇池流域：2025年底前，完成流域内城镇雨污分流改造，城镇污水收集率达95％以上，农村生活污水收集处理率达75％以上，畜禽粪污综合利用率达90％以上，城市生活垃圾处理率达97％以上，实现农村生活垃圾分类投放、统一运输、集中处理。</w:t>
                  </w:r>
                </w:p>
                <w:p w14:paraId="16AC3404">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7.阳宗海流域：推进农业废弃物综合利用，2025年底前农作物综合利用率达90%以上，畜禽粪污综合利用率达96%以上，农膜回收利用率达85%以上。2025年底前，完成流域内城镇雨污分流改造，城镇污水收集率达95%以上，农村生活污水收集处理率达75%以上，畜禽粪污综合利用率达90%以上，城镇生活垃圾处理率达97%以上，实现农村生活垃圾分类投放、统一运输、集中处理。</w:t>
                  </w:r>
                </w:p>
                <w:p w14:paraId="675429CF">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8.督促指导磷石膏产生企业配套建设（或委托建设）相应能力的磷石膏无害化处理设施，采用水洗、焙烧、浮选、中和等技术对磷石膏进行无害化处理，确保在2025年新产生磷石膏实现100%无害化处理，从根本上降低磷石膏污染隐患。无害化处理后暂时不能利用的磷石膏，应当按生态环境、应急管理要求依法依规安全环保分类存放。</w:t>
                  </w:r>
                </w:p>
                <w:p w14:paraId="22D4D86C">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9.推动昆明市磷石膏综合利用率2023年达到52%，2024年达到64%，2025年确保达到73%，力争达到75%；到2025年底，中心城区污泥无害化处置率达到95%以上，县城污泥无害化处置率达到90%以上。</w:t>
                  </w:r>
                </w:p>
              </w:tc>
              <w:tc>
                <w:tcPr>
                  <w:tcW w:w="1603" w:type="pct"/>
                  <w:vAlign w:val="center"/>
                </w:tcPr>
                <w:p w14:paraId="5A7F6220">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Cs/>
                      <w:color w:val="auto"/>
                      <w:kern w:val="2"/>
                      <w:sz w:val="21"/>
                      <w:szCs w:val="21"/>
                      <w:highlight w:val="none"/>
                    </w:rPr>
                    <w:t>1.本项目位于</w:t>
                  </w:r>
                  <w:r>
                    <w:rPr>
                      <w:rFonts w:hint="default" w:ascii="Times New Roman" w:hAnsi="Times New Roman" w:cs="Times New Roman"/>
                      <w:color w:val="auto"/>
                      <w:sz w:val="21"/>
                      <w:szCs w:val="21"/>
                      <w:highlight w:val="none"/>
                    </w:rPr>
                    <w:t>寻甸县柯渡镇</w:t>
                  </w:r>
                  <w:r>
                    <w:rPr>
                      <w:rFonts w:hint="default" w:ascii="Times New Roman" w:hAnsi="Times New Roman" w:eastAsia="宋体" w:cs="Times New Roman"/>
                      <w:color w:val="auto"/>
                      <w:sz w:val="21"/>
                      <w:szCs w:val="21"/>
                      <w:highlight w:val="none"/>
                    </w:rPr>
                    <w:t>乐郎村委会稗子田村境内，根据现场调查，项目区地表水体主要为项目</w:t>
                  </w:r>
                  <w:r>
                    <w:rPr>
                      <w:rFonts w:hint="default" w:ascii="Times New Roman" w:hAnsi="Times New Roman" w:eastAsia="宋体" w:cs="Times New Roman"/>
                      <w:color w:val="auto"/>
                      <w:sz w:val="21"/>
                      <w:szCs w:val="21"/>
                      <w:highlight w:val="none"/>
                      <w:lang w:val="en-US" w:eastAsia="zh-CN"/>
                    </w:rPr>
                    <w:t>东北侧1700m的</w:t>
                  </w:r>
                  <w:r>
                    <w:rPr>
                      <w:rFonts w:hint="default" w:ascii="Times New Roman" w:hAnsi="Times New Roman" w:eastAsia="宋体" w:cs="Times New Roman"/>
                      <w:color w:val="auto"/>
                      <w:sz w:val="21"/>
                      <w:szCs w:val="21"/>
                      <w:highlight w:val="none"/>
                    </w:rPr>
                    <w:t>小河箐。根据</w:t>
                  </w:r>
                  <w:r>
                    <w:rPr>
                      <w:rFonts w:hint="default" w:ascii="Times New Roman" w:hAnsi="Times New Roman" w:eastAsia="宋体" w:cs="Times New Roman"/>
                      <w:color w:val="auto"/>
                      <w:sz w:val="21"/>
                      <w:szCs w:val="21"/>
                      <w:highlight w:val="none"/>
                      <w:lang w:val="en-US" w:eastAsia="zh-CN"/>
                    </w:rPr>
                    <w:t>下文地表水环境质量现状分析，本项目区地表水体能满足水环境功能要求</w:t>
                  </w: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val="en-US" w:eastAsia="zh-CN"/>
                    </w:rPr>
                    <w:t>生活废水经</w:t>
                  </w:r>
                  <w:r>
                    <w:rPr>
                      <w:rFonts w:hint="default" w:ascii="Times New Roman" w:hAnsi="Times New Roman" w:cs="Times New Roman"/>
                      <w:color w:val="auto"/>
                      <w:sz w:val="21"/>
                      <w:szCs w:val="21"/>
                      <w:highlight w:val="none"/>
                      <w:lang w:val="en-US" w:eastAsia="zh-CN"/>
                    </w:rPr>
                    <w:t>隔油池、</w:t>
                  </w:r>
                  <w:r>
                    <w:rPr>
                      <w:rFonts w:hint="default" w:ascii="Times New Roman" w:hAnsi="Times New Roman" w:cs="Times New Roman"/>
                      <w:color w:val="auto"/>
                      <w:sz w:val="21"/>
                      <w:szCs w:val="21"/>
                      <w:highlight w:val="none"/>
                      <w:lang w:eastAsia="zh-CN"/>
                    </w:rPr>
                    <w:t>三格化粪池</w:t>
                  </w:r>
                  <w:r>
                    <w:rPr>
                      <w:rFonts w:hint="default" w:ascii="Times New Roman" w:hAnsi="Times New Roman" w:eastAsia="宋体" w:cs="Times New Roman"/>
                      <w:color w:val="auto"/>
                      <w:sz w:val="21"/>
                      <w:szCs w:val="21"/>
                      <w:highlight w:val="none"/>
                      <w:lang w:val="en-US" w:eastAsia="zh-CN"/>
                    </w:rPr>
                    <w:t>处理后</w:t>
                  </w:r>
                  <w:r>
                    <w:rPr>
                      <w:rFonts w:hint="default" w:ascii="Times New Roman" w:hAnsi="Times New Roman" w:cs="Times New Roman"/>
                      <w:color w:val="auto"/>
                      <w:sz w:val="21"/>
                      <w:szCs w:val="21"/>
                      <w:highlight w:val="none"/>
                      <w:lang w:val="en-US" w:eastAsia="zh-CN"/>
                    </w:rPr>
                    <w:t>，定期清掏用作农肥</w:t>
                  </w:r>
                  <w:r>
                    <w:rPr>
                      <w:rFonts w:hint="default" w:ascii="Times New Roman" w:hAnsi="Times New Roman" w:eastAsia="宋体" w:cs="Times New Roman"/>
                      <w:color w:val="auto"/>
                      <w:sz w:val="21"/>
                      <w:szCs w:val="21"/>
                      <w:highlight w:val="none"/>
                    </w:rPr>
                    <w:t>。</w:t>
                  </w:r>
                </w:p>
                <w:p w14:paraId="63E45CFC">
                  <w:pPr>
                    <w:keepNext w:val="0"/>
                    <w:keepLines/>
                    <w:pageBreakBefore w:val="0"/>
                    <w:widowControl/>
                    <w:suppressLineNumbers w:val="0"/>
                    <w:kinsoku/>
                    <w:wordWrap w:val="0"/>
                    <w:overflowPunct/>
                    <w:topLinePunct w:val="0"/>
                    <w:autoSpaceDE w:val="0"/>
                    <w:autoSpaceDN w:val="0"/>
                    <w:bidi w:val="0"/>
                    <w:adjustRightInd/>
                    <w:snapToGrid w:val="0"/>
                    <w:spacing w:before="0" w:beforeAutospacing="0" w:after="0" w:afterAutospacing="0" w:line="240" w:lineRule="auto"/>
                    <w:ind w:left="0" w:right="0" w:firstLine="0" w:firstLineChars="0"/>
                    <w:jc w:val="left"/>
                    <w:textAlignment w:val="center"/>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2.</w:t>
                  </w:r>
                  <w:r>
                    <w:rPr>
                      <w:rFonts w:hint="default" w:ascii="Times New Roman" w:hAnsi="Times New Roman" w:cs="Times New Roman" w:eastAsiaTheme="minorEastAsia"/>
                      <w:caps w:val="0"/>
                      <w:smallCaps w:val="0"/>
                      <w:color w:val="auto"/>
                      <w:kern w:val="0"/>
                      <w:sz w:val="21"/>
                      <w:szCs w:val="21"/>
                      <w:highlight w:val="none"/>
                      <w:lang w:val="en-US" w:eastAsia="zh-CN" w:bidi="ar"/>
                    </w:rPr>
                    <w:t>项目所在区域的环境空气质量能达到</w:t>
                  </w:r>
                  <w:r>
                    <w:rPr>
                      <w:rFonts w:hint="default" w:ascii="Times New Roman" w:hAnsi="Times New Roman" w:cs="Times New Roman" w:eastAsiaTheme="minorEastAsia"/>
                      <w:caps w:val="0"/>
                      <w:smallCaps w:val="0"/>
                      <w:color w:val="auto"/>
                      <w:kern w:val="0"/>
                      <w:sz w:val="21"/>
                      <w:szCs w:val="21"/>
                      <w:highlight w:val="none"/>
                      <w:lang w:bidi="ar"/>
                    </w:rPr>
                    <w:t>《环境空气质量标准》（</w:t>
                  </w:r>
                  <w:r>
                    <w:rPr>
                      <w:rFonts w:hint="default" w:ascii="Times New Roman" w:hAnsi="Times New Roman" w:cs="Times New Roman" w:eastAsiaTheme="minorEastAsia"/>
                      <w:caps w:val="0"/>
                      <w:smallCaps w:val="0"/>
                      <w:color w:val="auto"/>
                      <w:kern w:val="0"/>
                      <w:sz w:val="21"/>
                      <w:szCs w:val="21"/>
                      <w:highlight w:val="none"/>
                      <w:lang w:val="en-US" w:eastAsia="zh-CN" w:bidi="ar"/>
                    </w:rPr>
                    <w:t>GB3095</w:t>
                  </w:r>
                  <w:r>
                    <w:rPr>
                      <w:rFonts w:hint="default" w:ascii="Times New Roman" w:hAnsi="Times New Roman" w:cs="Times New Roman" w:eastAsiaTheme="minorEastAsia"/>
                      <w:caps w:val="0"/>
                      <w:smallCaps w:val="0"/>
                      <w:color w:val="auto"/>
                      <w:kern w:val="0"/>
                      <w:sz w:val="21"/>
                      <w:szCs w:val="21"/>
                      <w:highlight w:val="none"/>
                      <w:lang w:bidi="ar"/>
                    </w:rPr>
                    <w:t>-20</w:t>
                  </w:r>
                  <w:r>
                    <w:rPr>
                      <w:rFonts w:hint="default" w:ascii="Times New Roman" w:hAnsi="Times New Roman" w:cs="Times New Roman" w:eastAsiaTheme="minorEastAsia"/>
                      <w:caps w:val="0"/>
                      <w:smallCaps w:val="0"/>
                      <w:color w:val="auto"/>
                      <w:kern w:val="0"/>
                      <w:sz w:val="21"/>
                      <w:szCs w:val="21"/>
                      <w:highlight w:val="none"/>
                      <w:lang w:val="en-US" w:eastAsia="zh-CN" w:bidi="ar"/>
                    </w:rPr>
                    <w:t>26</w:t>
                  </w:r>
                  <w:r>
                    <w:rPr>
                      <w:rFonts w:hint="default" w:ascii="Times New Roman" w:hAnsi="Times New Roman" w:cs="Times New Roman" w:eastAsiaTheme="minorEastAsia"/>
                      <w:caps w:val="0"/>
                      <w:smallCaps w:val="0"/>
                      <w:color w:val="auto"/>
                      <w:kern w:val="0"/>
                      <w:sz w:val="21"/>
                      <w:szCs w:val="21"/>
                      <w:highlight w:val="none"/>
                      <w:lang w:bidi="ar"/>
                    </w:rPr>
                    <w:t>）</w:t>
                  </w:r>
                  <w:r>
                    <w:rPr>
                      <w:rFonts w:hint="default" w:ascii="Times New Roman" w:hAnsi="Times New Roman" w:cs="Times New Roman" w:eastAsiaTheme="minorEastAsia"/>
                      <w:caps w:val="0"/>
                      <w:smallCaps w:val="0"/>
                      <w:color w:val="auto"/>
                      <w:kern w:val="0"/>
                      <w:sz w:val="21"/>
                      <w:szCs w:val="21"/>
                      <w:highlight w:val="none"/>
                      <w:lang w:val="en-US" w:eastAsia="zh-CN" w:bidi="ar"/>
                    </w:rPr>
                    <w:t>过渡阶段</w:t>
                  </w:r>
                  <w:r>
                    <w:rPr>
                      <w:rFonts w:hint="default" w:ascii="Times New Roman" w:hAnsi="Times New Roman" w:cs="Times New Roman" w:eastAsiaTheme="minorEastAsia"/>
                      <w:caps w:val="0"/>
                      <w:smallCaps w:val="0"/>
                      <w:color w:val="auto"/>
                      <w:kern w:val="0"/>
                      <w:sz w:val="21"/>
                      <w:szCs w:val="21"/>
                      <w:highlight w:val="none"/>
                      <w:lang w:bidi="ar"/>
                    </w:rPr>
                    <w:t>二级标准</w:t>
                  </w:r>
                  <w:r>
                    <w:rPr>
                      <w:rFonts w:hint="default" w:ascii="Times New Roman" w:hAnsi="Times New Roman" w:cs="Times New Roman" w:eastAsiaTheme="minorEastAsia"/>
                      <w:caps w:val="0"/>
                      <w:smallCaps w:val="0"/>
                      <w:color w:val="auto"/>
                      <w:kern w:val="0"/>
                      <w:sz w:val="21"/>
                      <w:szCs w:val="21"/>
                      <w:highlight w:val="none"/>
                      <w:lang w:eastAsia="zh-CN" w:bidi="ar"/>
                    </w:rPr>
                    <w:t>。</w:t>
                  </w:r>
                  <w:r>
                    <w:rPr>
                      <w:rFonts w:hint="default" w:ascii="Times New Roman" w:hAnsi="Times New Roman" w:cs="Times New Roman"/>
                      <w:bCs/>
                      <w:color w:val="auto"/>
                      <w:kern w:val="2"/>
                      <w:sz w:val="21"/>
                      <w:szCs w:val="21"/>
                      <w:highlight w:val="none"/>
                    </w:rPr>
                    <w:t>本项目废气主要为扬尘，</w:t>
                  </w:r>
                  <w:r>
                    <w:rPr>
                      <w:rFonts w:hint="default" w:ascii="Times New Roman" w:hAnsi="Times New Roman" w:cs="Times New Roman" w:eastAsiaTheme="minorEastAsia"/>
                      <w:caps w:val="0"/>
                      <w:smallCaps w:val="0"/>
                      <w:color w:val="auto"/>
                      <w:kern w:val="0"/>
                      <w:sz w:val="21"/>
                      <w:szCs w:val="21"/>
                      <w:highlight w:val="none"/>
                      <w:lang w:val="en-US" w:eastAsia="zh-CN" w:bidi="ar"/>
                    </w:rPr>
                    <w:t>污染物均可达标排放，对区域大气环境影响较小。</w:t>
                  </w:r>
                </w:p>
                <w:p w14:paraId="4AD016F3">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3</w:t>
                  </w:r>
                  <w:r>
                    <w:rPr>
                      <w:rFonts w:hint="default" w:ascii="Times New Roman" w:hAnsi="Times New Roman" w:cs="Times New Roman"/>
                      <w:bCs/>
                      <w:color w:val="auto"/>
                      <w:kern w:val="2"/>
                      <w:sz w:val="21"/>
                      <w:szCs w:val="21"/>
                      <w:highlight w:val="none"/>
                      <w:lang w:val="en-US" w:eastAsia="zh-CN"/>
                    </w:rPr>
                    <w:t>~</w:t>
                  </w:r>
                  <w:r>
                    <w:rPr>
                      <w:rFonts w:hint="default" w:ascii="Times New Roman" w:hAnsi="Times New Roman" w:cs="Times New Roman"/>
                      <w:bCs/>
                      <w:color w:val="auto"/>
                      <w:kern w:val="2"/>
                      <w:sz w:val="21"/>
                      <w:szCs w:val="21"/>
                      <w:highlight w:val="none"/>
                    </w:rPr>
                    <w:t>9.本项目不涉及。</w:t>
                  </w:r>
                </w:p>
              </w:tc>
              <w:tc>
                <w:tcPr>
                  <w:tcW w:w="378" w:type="pct"/>
                  <w:vAlign w:val="center"/>
                </w:tcPr>
                <w:p w14:paraId="2C0D353B">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符合</w:t>
                  </w:r>
                </w:p>
              </w:tc>
            </w:tr>
            <w:tr w14:paraId="4965D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2" w:type="pct"/>
                  <w:vAlign w:val="center"/>
                </w:tcPr>
                <w:p w14:paraId="0920773D">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环境风险防控</w:t>
                  </w:r>
                </w:p>
              </w:tc>
              <w:tc>
                <w:tcPr>
                  <w:tcW w:w="2585" w:type="pct"/>
                  <w:vAlign w:val="center"/>
                </w:tcPr>
                <w:p w14:paraId="3D8B1350">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加大放射性物质、电磁辐射、危险废物、医疗废物、尾矿库渣场、危险化学品、重金属等风险要素防控力度，全过程监控风险要素产生、使用、储存、运输、处理处置，实现智能化预警与报警，有效降低各类环境风险。</w:t>
                  </w:r>
                </w:p>
                <w:p w14:paraId="1B70A7BA">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2.针对持久性有机污染物、内分泌干扰物等新污染物，制定实施新污染物治理行动方案，开展新污染物筛查与评估，建立清单，开展化学物质生产使用信息调查，实施调查监测和环境风险评估。</w:t>
                  </w:r>
                </w:p>
                <w:p w14:paraId="4BDF3EDF">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3.开展重点区域、重点领域环境风险调查评估，加强源头预防、过程管控、末端治理；建设环境应急技术库和物资库，推动各地更新扩充应急物资和防护装备，提升环境应急指挥信息化水平，完善环境应急管理体系。</w:t>
                  </w:r>
                </w:p>
                <w:p w14:paraId="4E7BC29C">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4.开展“千吨万人”农村饮用水水源保护区环境风险排查整治，加强农村水源水质监测。</w:t>
                  </w:r>
                </w:p>
                <w:p w14:paraId="7CE5AD17">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5.以涉危险废物、涉重金属企业为重点，合理布设生产设施，强化应急导流槽、事故调蓄池、雨污总排口应急闸坝等事故排水收集截留设施，以及传输泵、配套管线、应急发电等事故水输送设施等建设，合理设置消防事故水池和雨水监测池。</w:t>
                  </w:r>
                </w:p>
                <w:p w14:paraId="122E4411">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6.严格新（改、扩）建尾矿库环境准入，健全尾矿库环境监管清单，加强尾矿库分类分级环境监管。严格落实《云南省尾矿库专项整治工作实施方案》。</w:t>
                  </w:r>
                </w:p>
              </w:tc>
              <w:tc>
                <w:tcPr>
                  <w:tcW w:w="1603" w:type="pct"/>
                  <w:vAlign w:val="center"/>
                </w:tcPr>
                <w:p w14:paraId="13F60BA2">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w:t>
                  </w:r>
                  <w:r>
                    <w:rPr>
                      <w:rFonts w:hint="default" w:ascii="Times New Roman" w:hAnsi="Times New Roman" w:cs="Times New Roman" w:eastAsiaTheme="minorEastAsia"/>
                      <w:caps w:val="0"/>
                      <w:smallCaps w:val="0"/>
                      <w:color w:val="auto"/>
                      <w:kern w:val="0"/>
                      <w:sz w:val="21"/>
                      <w:szCs w:val="21"/>
                      <w:highlight w:val="none"/>
                      <w:lang w:val="en-US" w:eastAsia="zh-CN" w:bidi="ar"/>
                    </w:rPr>
                    <w:t>项目为砂岩矿开采及加工，所涉及危险废物为废机油，暂存于危废暂存间后委托有资质的单位进行处置。</w:t>
                  </w:r>
                </w:p>
                <w:p w14:paraId="6128F5F4">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2.本项目污染物主要为颗粒物，不涉及持久性有机污染物、内分泌干扰物；</w:t>
                  </w:r>
                </w:p>
                <w:p w14:paraId="7B708301">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3.本次评价提出建设单位在项目建成后进行应急预案编制及实施工作，建立完善的环境应急管理体系，完善应急物资及防护装备，完善应急管理体系；</w:t>
                  </w:r>
                </w:p>
                <w:p w14:paraId="265EB6C0">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4.本项目不涉及；</w:t>
                  </w:r>
                </w:p>
                <w:p w14:paraId="1A95A11E">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5.本项目区初期雨水经</w:t>
                  </w:r>
                  <w:r>
                    <w:rPr>
                      <w:rFonts w:hint="default" w:ascii="Times New Roman" w:hAnsi="Times New Roman" w:cs="Times New Roman"/>
                      <w:bCs/>
                      <w:color w:val="auto"/>
                      <w:kern w:val="2"/>
                      <w:sz w:val="21"/>
                      <w:szCs w:val="21"/>
                      <w:highlight w:val="none"/>
                      <w:lang w:eastAsia="zh-CN"/>
                    </w:rPr>
                    <w:t>沉砂池</w:t>
                  </w:r>
                  <w:r>
                    <w:rPr>
                      <w:rFonts w:hint="default" w:ascii="Times New Roman" w:hAnsi="Times New Roman" w:cs="Times New Roman"/>
                      <w:bCs/>
                      <w:color w:val="auto"/>
                      <w:kern w:val="2"/>
                      <w:sz w:val="21"/>
                      <w:szCs w:val="21"/>
                      <w:highlight w:val="none"/>
                    </w:rPr>
                    <w:t>收集沉淀后晴天回用于项目区洒水降尘，不外排；</w:t>
                  </w:r>
                  <w:r>
                    <w:rPr>
                      <w:rFonts w:hint="default" w:ascii="Times New Roman" w:hAnsi="Times New Roman" w:cs="Times New Roman" w:eastAsiaTheme="minorEastAsia"/>
                      <w:caps w:val="0"/>
                      <w:smallCaps w:val="0"/>
                      <w:color w:val="auto"/>
                      <w:kern w:val="0"/>
                      <w:sz w:val="21"/>
                      <w:szCs w:val="21"/>
                      <w:highlight w:val="none"/>
                      <w:lang w:val="en-US" w:eastAsia="zh-CN" w:bidi="ar"/>
                    </w:rPr>
                    <w:t>危险废物为废机油，暂存于危废暂存间后委托有资质的单位进行处置。</w:t>
                  </w:r>
                </w:p>
                <w:p w14:paraId="7952CCAB">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6、本项目不涉及尾矿库。</w:t>
                  </w:r>
                </w:p>
              </w:tc>
              <w:tc>
                <w:tcPr>
                  <w:tcW w:w="378" w:type="pct"/>
                  <w:vAlign w:val="center"/>
                </w:tcPr>
                <w:p w14:paraId="7882B4FA">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符合</w:t>
                  </w:r>
                </w:p>
              </w:tc>
            </w:tr>
            <w:tr w14:paraId="01479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jc w:val="center"/>
              </w:trPr>
              <w:tc>
                <w:tcPr>
                  <w:tcW w:w="432" w:type="pct"/>
                  <w:vAlign w:val="center"/>
                </w:tcPr>
                <w:p w14:paraId="637F07B3">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资源开发利用效率</w:t>
                  </w:r>
                </w:p>
              </w:tc>
              <w:tc>
                <w:tcPr>
                  <w:tcW w:w="2585" w:type="pct"/>
                  <w:vAlign w:val="center"/>
                </w:tcPr>
                <w:p w14:paraId="1B57571D">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1.到2025年，基本建成与经济社会高质量发展和生态文明建设要求相适应、与由全面建成小康社会向基本实现现代化迈进起步期相协同的水安全保障体系。</w:t>
                  </w:r>
                </w:p>
                <w:p w14:paraId="00B5BB65">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2.节水型生产和生活方式初步建立，用水效率和效益显著提高，全社会节水意识明显增强，新时代节水型社会基本建成。全市用水总量控制在35.48亿m</w:t>
                  </w:r>
                  <w:r>
                    <w:rPr>
                      <w:rFonts w:hint="default" w:ascii="Times New Roman" w:hAnsi="Times New Roman" w:cs="Times New Roman"/>
                      <w:bCs/>
                      <w:color w:val="auto"/>
                      <w:kern w:val="2"/>
                      <w:sz w:val="21"/>
                      <w:szCs w:val="21"/>
                      <w:highlight w:val="none"/>
                      <w:vertAlign w:val="superscript"/>
                    </w:rPr>
                    <w:t>3</w:t>
                  </w:r>
                  <w:r>
                    <w:rPr>
                      <w:rFonts w:hint="default" w:ascii="Times New Roman" w:hAnsi="Times New Roman" w:cs="Times New Roman"/>
                      <w:bCs/>
                      <w:color w:val="auto"/>
                      <w:kern w:val="2"/>
                      <w:sz w:val="21"/>
                      <w:szCs w:val="21"/>
                      <w:highlight w:val="none"/>
                    </w:rPr>
                    <w:t>以内，万元GDP用水量较2020年下降10%，万元工业增加值用水量较2020年下降10%，农田灌溉水有效利用系数提高到0.55以上。</w:t>
                  </w:r>
                </w:p>
                <w:p w14:paraId="56E2CC95">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3.万元工业增加值用水量≤30（立方米/万元）。</w:t>
                  </w:r>
                </w:p>
                <w:p w14:paraId="55CF677D">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4.2025年底前，全市单位地区生产总值能源消耗较2020年下降14%，能源消费总量得到合理控制。</w:t>
                  </w:r>
                </w:p>
                <w:p w14:paraId="10C21947">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5.单位GDP能源消耗累计下降23.6%，不低于省级下达目标。</w:t>
                  </w:r>
                </w:p>
                <w:p w14:paraId="01507DBB">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6.对照国家有关高耗能行业重点领域能效标杆水平，实施钢铁、有色金属、冶炼等17个高耗能行业节能降碳改造升级，加快提升重点行业、企业能效水平。</w:t>
                  </w:r>
                </w:p>
                <w:p w14:paraId="07F4269C">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7.加强节能监察和探索用能预算管理，实施电机、变压器等重点用能设备能效提升三年行动，推广先进节能技术。</w:t>
                  </w:r>
                </w:p>
                <w:p w14:paraId="3C79E093">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8.到2025年，钢铁行业全面完成超低排放改造。</w:t>
                  </w:r>
                </w:p>
                <w:p w14:paraId="2AA94BB2">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9.加快推进有色、化工、印染、烟草等行业清洁生产和工业废水资源化利用。</w:t>
                  </w:r>
                </w:p>
                <w:p w14:paraId="3BC9B731">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10.到2025年，全市新建大型及以上数据中心绿色低碳等级达到4A以上，电源使用效率（PUE）达到1.3以下，逐步组织电源使用效率超过1.5的数据中心进行节能降碳改造。</w:t>
                  </w:r>
                </w:p>
                <w:p w14:paraId="4485B03D">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11.“十四五”期间，全市规模以上工业单位增加值能耗下降14.5%，万元工业增加值用水量下降12%。</w:t>
                  </w:r>
                </w:p>
                <w:p w14:paraId="57C6DB0B">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12.到2025年，通过实施节能降碳提升工程，钢铁、电解铝、水泥、平板玻璃、炼油、乙烯、合成氨、电石等重点行业产能和数据中心达到能效标杆水平的比例超过30%。</w:t>
                  </w:r>
                </w:p>
                <w:p w14:paraId="02CE0865">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13.公共机构单位建筑面积碳排放量比2020年下降7%。</w:t>
                  </w:r>
                </w:p>
                <w:p w14:paraId="3524C489">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14.非化石能源消费占一次能源消费比重达到40%以上，完成省级下达目标。</w:t>
                  </w:r>
                </w:p>
                <w:p w14:paraId="5E949E4D">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15.单位GDP二氧化碳排放累计下降23%，不低于省级下达目标。</w:t>
                  </w:r>
                </w:p>
                <w:p w14:paraId="0689DB59">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16.严把新上项目的碳排放关，严格环境影响评价审批，加强固定资产投资项目节能审查，推动新建“两高一低”项目能效水平应提尽提。</w:t>
                  </w:r>
                </w:p>
                <w:p w14:paraId="71B0A3F8">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17.以六大高耗能行业为重点，全面梳理形成拟建、在建、存量“两高一低”项目清单，实行清单管理、分类处置、动态监控。加强“两高一低”项目全过程监管，严肃查处不符合政策要求、违规审批、未批先建、批建不符、超标用能排污的“两高一低”项目。</w:t>
                  </w:r>
                </w:p>
                <w:p w14:paraId="208F5B9B">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18.加快淘汰落后和低端低效产能退出。</w:t>
                  </w:r>
                </w:p>
                <w:p w14:paraId="36B9FC30">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19.指导金融机构加强“两高一低”项目贷前审核。</w:t>
                  </w:r>
                </w:p>
              </w:tc>
              <w:tc>
                <w:tcPr>
                  <w:tcW w:w="1603" w:type="pct"/>
                  <w:vAlign w:val="center"/>
                </w:tcPr>
                <w:p w14:paraId="180C7DBB">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1.本项目用水主要是洒水降尘用水</w:t>
                  </w:r>
                  <w:r>
                    <w:rPr>
                      <w:rFonts w:hint="default" w:ascii="Times New Roman" w:hAnsi="Times New Roman" w:cs="Times New Roman"/>
                      <w:bCs/>
                      <w:color w:val="auto"/>
                      <w:kern w:val="2"/>
                      <w:sz w:val="21"/>
                      <w:szCs w:val="21"/>
                      <w:highlight w:val="none"/>
                      <w:lang w:eastAsia="zh-CN"/>
                    </w:rPr>
                    <w:t>、</w:t>
                  </w:r>
                  <w:r>
                    <w:rPr>
                      <w:rFonts w:hint="default" w:ascii="Times New Roman" w:hAnsi="Times New Roman" w:cs="Times New Roman"/>
                      <w:bCs/>
                      <w:color w:val="auto"/>
                      <w:kern w:val="2"/>
                      <w:sz w:val="21"/>
                      <w:szCs w:val="21"/>
                      <w:highlight w:val="none"/>
                      <w:lang w:val="en-US" w:eastAsia="zh-CN"/>
                    </w:rPr>
                    <w:t>凿岩用水以及生活用水</w:t>
                  </w:r>
                  <w:r>
                    <w:rPr>
                      <w:rFonts w:hint="default" w:ascii="Times New Roman" w:hAnsi="Times New Roman" w:cs="Times New Roman"/>
                      <w:bCs/>
                      <w:color w:val="auto"/>
                      <w:kern w:val="2"/>
                      <w:sz w:val="21"/>
                      <w:szCs w:val="21"/>
                      <w:highlight w:val="none"/>
                    </w:rPr>
                    <w:t>，</w:t>
                  </w:r>
                  <w:r>
                    <w:rPr>
                      <w:rFonts w:hint="default" w:ascii="Times New Roman" w:hAnsi="Times New Roman" w:cs="Times New Roman"/>
                      <w:bCs/>
                      <w:color w:val="auto"/>
                      <w:kern w:val="2"/>
                      <w:sz w:val="21"/>
                      <w:szCs w:val="21"/>
                      <w:highlight w:val="none"/>
                      <w:lang w:val="en-US" w:eastAsia="zh-CN"/>
                    </w:rPr>
                    <w:t>生活废水经隔油池、三格化粪池处理后，定期清掏用作农肥</w:t>
                  </w:r>
                  <w:r>
                    <w:rPr>
                      <w:rFonts w:hint="default" w:ascii="Times New Roman" w:hAnsi="Times New Roman" w:cs="Times New Roman"/>
                      <w:bCs/>
                      <w:color w:val="auto"/>
                      <w:kern w:val="2"/>
                      <w:sz w:val="21"/>
                      <w:szCs w:val="21"/>
                      <w:highlight w:val="none"/>
                    </w:rPr>
                    <w:t>，对水安全保障体系影响不大；</w:t>
                  </w:r>
                </w:p>
                <w:p w14:paraId="32401C91">
                  <w:pPr>
                    <w:pStyle w:val="2"/>
                    <w:keepNext w:val="0"/>
                    <w:keepLines w:val="0"/>
                    <w:pageBreakBefore w:val="0"/>
                    <w:widowControl w:val="0"/>
                    <w:kinsoku/>
                    <w:wordWrap/>
                    <w:overflowPunct/>
                    <w:topLinePunct w:val="0"/>
                    <w:autoSpaceDE/>
                    <w:autoSpaceDN/>
                    <w:bidi w:val="0"/>
                    <w:adjustRightInd w:val="0"/>
                    <w:snapToGrid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2.</w:t>
                  </w:r>
                  <w:r>
                    <w:rPr>
                      <w:rFonts w:hint="default" w:ascii="Times New Roman" w:hAnsi="Times New Roman" w:cs="Times New Roman"/>
                      <w:color w:val="auto"/>
                      <w:sz w:val="21"/>
                      <w:szCs w:val="21"/>
                      <w:highlight w:val="none"/>
                    </w:rPr>
                    <w:t>本</w:t>
                  </w:r>
                  <w:r>
                    <w:rPr>
                      <w:rFonts w:hint="default" w:ascii="Times New Roman" w:hAnsi="Times New Roman" w:cs="Times New Roman"/>
                      <w:bCs/>
                      <w:color w:val="auto"/>
                      <w:kern w:val="2"/>
                      <w:sz w:val="21"/>
                      <w:szCs w:val="21"/>
                      <w:highlight w:val="none"/>
                    </w:rPr>
                    <w:t>项目在建设和运行过程中加强人员管理，树立人员节约用水意识，项目不涉及农业灌溉用水；</w:t>
                  </w:r>
                </w:p>
                <w:p w14:paraId="6094B1E7">
                  <w:pPr>
                    <w:pStyle w:val="2"/>
                    <w:keepNext w:val="0"/>
                    <w:keepLines w:val="0"/>
                    <w:pageBreakBefore w:val="0"/>
                    <w:widowControl w:val="0"/>
                    <w:kinsoku/>
                    <w:wordWrap/>
                    <w:overflowPunct/>
                    <w:topLinePunct w:val="0"/>
                    <w:autoSpaceDE/>
                    <w:autoSpaceDN/>
                    <w:bidi w:val="0"/>
                    <w:adjustRightInd w:val="0"/>
                    <w:snapToGrid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3.本项目万元工业增加值用水量小于30立方米/万元；</w:t>
                  </w:r>
                </w:p>
                <w:p w14:paraId="4379D2D8">
                  <w:pPr>
                    <w:pStyle w:val="2"/>
                    <w:keepNext w:val="0"/>
                    <w:keepLines w:val="0"/>
                    <w:pageBreakBefore w:val="0"/>
                    <w:widowControl w:val="0"/>
                    <w:kinsoku/>
                    <w:wordWrap/>
                    <w:overflowPunct/>
                    <w:topLinePunct w:val="0"/>
                    <w:autoSpaceDE/>
                    <w:autoSpaceDN/>
                    <w:bidi w:val="0"/>
                    <w:adjustRightInd w:val="0"/>
                    <w:snapToGrid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4.</w:t>
                  </w:r>
                  <w:r>
                    <w:rPr>
                      <w:rFonts w:hint="default" w:ascii="Times New Roman" w:hAnsi="Times New Roman" w:cs="Times New Roman"/>
                      <w:color w:val="auto"/>
                      <w:sz w:val="21"/>
                      <w:szCs w:val="21"/>
                      <w:highlight w:val="none"/>
                    </w:rPr>
                    <w:t>本</w:t>
                  </w:r>
                  <w:r>
                    <w:rPr>
                      <w:rFonts w:hint="default" w:ascii="Times New Roman" w:hAnsi="Times New Roman" w:cs="Times New Roman"/>
                      <w:bCs/>
                      <w:color w:val="auto"/>
                      <w:kern w:val="2"/>
                      <w:sz w:val="21"/>
                      <w:szCs w:val="21"/>
                      <w:highlight w:val="none"/>
                    </w:rPr>
                    <w:t>项目主要使用电能，能源使用量较小，不会突破能源利用上限要求；</w:t>
                  </w:r>
                </w:p>
                <w:p w14:paraId="339A7FD6">
                  <w:pPr>
                    <w:pStyle w:val="2"/>
                    <w:keepNext w:val="0"/>
                    <w:keepLines w:val="0"/>
                    <w:pageBreakBefore w:val="0"/>
                    <w:widowControl w:val="0"/>
                    <w:kinsoku/>
                    <w:wordWrap/>
                    <w:overflowPunct/>
                    <w:topLinePunct w:val="0"/>
                    <w:autoSpaceDE/>
                    <w:autoSpaceDN/>
                    <w:bidi w:val="0"/>
                    <w:adjustRightInd w:val="0"/>
                    <w:snapToGrid w:val="0"/>
                    <w:spacing w:after="0"/>
                    <w:ind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6.本项目不属于高耗能行业；</w:t>
                  </w:r>
                </w:p>
                <w:p w14:paraId="492706A3">
                  <w:pPr>
                    <w:pStyle w:val="2"/>
                    <w:keepNext w:val="0"/>
                    <w:keepLines w:val="0"/>
                    <w:pageBreakBefore w:val="0"/>
                    <w:widowControl w:val="0"/>
                    <w:kinsoku/>
                    <w:wordWrap/>
                    <w:overflowPunct/>
                    <w:topLinePunct w:val="0"/>
                    <w:autoSpaceDE/>
                    <w:autoSpaceDN/>
                    <w:bidi w:val="0"/>
                    <w:adjustRightInd w:val="0"/>
                    <w:snapToGrid w:val="0"/>
                    <w:spacing w:after="0"/>
                    <w:ind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7.本项目在市场外购合格、满足国家能效标准要求的生产设备。</w:t>
                  </w:r>
                </w:p>
                <w:p w14:paraId="79368982">
                  <w:pPr>
                    <w:pStyle w:val="2"/>
                    <w:keepNext w:val="0"/>
                    <w:keepLines w:val="0"/>
                    <w:pageBreakBefore w:val="0"/>
                    <w:widowControl w:val="0"/>
                    <w:kinsoku/>
                    <w:wordWrap/>
                    <w:overflowPunct/>
                    <w:topLinePunct w:val="0"/>
                    <w:autoSpaceDE/>
                    <w:autoSpaceDN/>
                    <w:bidi w:val="0"/>
                    <w:adjustRightInd w:val="0"/>
                    <w:snapToGrid w:val="0"/>
                    <w:spacing w:after="0"/>
                    <w:ind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8~9.本项目不属于钢铁、有色、化工、印染、烟草等行业；</w:t>
                  </w:r>
                </w:p>
                <w:p w14:paraId="3C462874">
                  <w:pPr>
                    <w:pStyle w:val="2"/>
                    <w:keepNext w:val="0"/>
                    <w:keepLines w:val="0"/>
                    <w:pageBreakBefore w:val="0"/>
                    <w:widowControl w:val="0"/>
                    <w:kinsoku/>
                    <w:wordWrap/>
                    <w:overflowPunct/>
                    <w:topLinePunct w:val="0"/>
                    <w:autoSpaceDE/>
                    <w:autoSpaceDN/>
                    <w:bidi w:val="0"/>
                    <w:adjustRightInd w:val="0"/>
                    <w:snapToGrid w:val="0"/>
                    <w:spacing w:after="0"/>
                    <w:ind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10.项目不属于数据中心；</w:t>
                  </w:r>
                </w:p>
                <w:p w14:paraId="6A8AB717">
                  <w:pPr>
                    <w:pStyle w:val="2"/>
                    <w:keepNext w:val="0"/>
                    <w:keepLines w:val="0"/>
                    <w:pageBreakBefore w:val="0"/>
                    <w:widowControl w:val="0"/>
                    <w:kinsoku/>
                    <w:wordWrap/>
                    <w:overflowPunct/>
                    <w:topLinePunct w:val="0"/>
                    <w:autoSpaceDE/>
                    <w:autoSpaceDN/>
                    <w:bidi w:val="0"/>
                    <w:adjustRightInd w:val="0"/>
                    <w:snapToGrid w:val="0"/>
                    <w:spacing w:after="0"/>
                    <w:ind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11.本项目主要使用电能能源使用量较小，不会突破能源利用上限要求；</w:t>
                  </w:r>
                </w:p>
                <w:p w14:paraId="669EDC19">
                  <w:pPr>
                    <w:pStyle w:val="2"/>
                    <w:keepNext w:val="0"/>
                    <w:keepLines w:val="0"/>
                    <w:pageBreakBefore w:val="0"/>
                    <w:widowControl w:val="0"/>
                    <w:kinsoku/>
                    <w:wordWrap/>
                    <w:overflowPunct/>
                    <w:topLinePunct w:val="0"/>
                    <w:autoSpaceDE/>
                    <w:autoSpaceDN/>
                    <w:bidi w:val="0"/>
                    <w:adjustRightInd w:val="0"/>
                    <w:snapToGrid w:val="0"/>
                    <w:spacing w:after="0"/>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rPr>
                    <w:t>12.本项目不属于钢铁、电解铝、水泥、平板</w:t>
                  </w:r>
                  <w:r>
                    <w:rPr>
                      <w:rFonts w:hint="default" w:ascii="Times New Roman" w:hAnsi="Times New Roman" w:eastAsia="宋体" w:cs="Times New Roman"/>
                      <w:color w:val="auto"/>
                      <w:sz w:val="21"/>
                      <w:szCs w:val="21"/>
                      <w:highlight w:val="none"/>
                    </w:rPr>
                    <w:t>玻璃、炼油、乙烯、合成氨、电石等重点行业；</w:t>
                  </w:r>
                </w:p>
                <w:p w14:paraId="776E96C0">
                  <w:pPr>
                    <w:pStyle w:val="2"/>
                    <w:keepNext w:val="0"/>
                    <w:keepLines w:val="0"/>
                    <w:pageBreakBefore w:val="0"/>
                    <w:widowControl w:val="0"/>
                    <w:kinsoku/>
                    <w:wordWrap/>
                    <w:overflowPunct/>
                    <w:topLinePunct w:val="0"/>
                    <w:autoSpaceDE/>
                    <w:autoSpaceDN/>
                    <w:bidi w:val="0"/>
                    <w:adjustRightInd w:val="0"/>
                    <w:snapToGrid w:val="0"/>
                    <w:spacing w:after="0"/>
                    <w:ind w:firstLine="0" w:firstLineChars="0"/>
                    <w:textAlignment w:val="auto"/>
                    <w:rPr>
                      <w:rFonts w:hint="default" w:ascii="Times New Roman" w:hAnsi="Times New Roman" w:cs="Times New Roman"/>
                      <w:bCs/>
                      <w:color w:val="auto"/>
                      <w:kern w:val="2"/>
                      <w:sz w:val="21"/>
                      <w:szCs w:val="21"/>
                      <w:highlight w:val="none"/>
                    </w:rPr>
                  </w:pPr>
                  <w:r>
                    <w:rPr>
                      <w:rFonts w:hint="default" w:ascii="Times New Roman" w:hAnsi="Times New Roman" w:eastAsia="宋体" w:cs="Times New Roman"/>
                      <w:color w:val="auto"/>
                      <w:sz w:val="21"/>
                      <w:szCs w:val="21"/>
                      <w:highlight w:val="none"/>
                    </w:rPr>
                    <w:t>13~19.本项目为</w:t>
                  </w:r>
                  <w:r>
                    <w:rPr>
                      <w:rFonts w:hint="default" w:ascii="Times New Roman" w:hAnsi="Times New Roman" w:eastAsia="宋体" w:cs="Times New Roman"/>
                      <w:color w:val="auto"/>
                      <w:sz w:val="21"/>
                      <w:szCs w:val="21"/>
                      <w:highlight w:val="none"/>
                      <w:lang w:eastAsia="zh-CN"/>
                    </w:rPr>
                    <w:t>普通建筑材料用砂岩矿</w:t>
                  </w:r>
                  <w:r>
                    <w:rPr>
                      <w:rFonts w:hint="default" w:ascii="Times New Roman" w:hAnsi="Times New Roman" w:eastAsia="宋体" w:cs="Times New Roman"/>
                      <w:color w:val="auto"/>
                      <w:sz w:val="21"/>
                      <w:szCs w:val="21"/>
                      <w:highlight w:val="none"/>
                    </w:rPr>
                    <w:t>开采，不属于“两高”项目，项目用水量较小，且废水不</w:t>
                  </w:r>
                  <w:r>
                    <w:rPr>
                      <w:rFonts w:hint="default" w:ascii="Times New Roman" w:hAnsi="Times New Roman" w:cs="Times New Roman"/>
                      <w:color w:val="auto"/>
                      <w:sz w:val="21"/>
                      <w:szCs w:val="21"/>
                      <w:highlight w:val="none"/>
                    </w:rPr>
                    <w:t>外排，原辅材料消耗合理，不会突破能源利用上限。</w:t>
                  </w:r>
                </w:p>
              </w:tc>
              <w:tc>
                <w:tcPr>
                  <w:tcW w:w="378" w:type="pct"/>
                  <w:vAlign w:val="center"/>
                </w:tcPr>
                <w:p w14:paraId="689A44A0">
                  <w:pPr>
                    <w:pStyle w:val="2"/>
                    <w:keepNext w:val="0"/>
                    <w:keepLines w:val="0"/>
                    <w:pageBreakBefore w:val="0"/>
                    <w:widowControl w:val="0"/>
                    <w:kinsoku/>
                    <w:wordWrap/>
                    <w:overflowPunct/>
                    <w:topLinePunct w:val="0"/>
                    <w:autoSpaceDE/>
                    <w:autoSpaceDN/>
                    <w:bidi w:val="0"/>
                    <w:spacing w:after="0"/>
                    <w:ind w:firstLine="0" w:firstLineChars="0"/>
                    <w:jc w:val="center"/>
                    <w:textAlignment w:val="auto"/>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符合</w:t>
                  </w:r>
                </w:p>
              </w:tc>
            </w:tr>
          </w:tbl>
          <w:p w14:paraId="32A4C478">
            <w:pPr>
              <w:pStyle w:val="49"/>
              <w:spacing w:before="156" w:beforeLines="50" w:line="360" w:lineRule="auto"/>
              <w:ind w:firstLine="484" w:firstLineChars="200"/>
              <w:rPr>
                <w:rFonts w:hint="default" w:ascii="Times New Roman" w:hAnsi="Times New Roman" w:cs="Times New Roman"/>
                <w:color w:val="auto"/>
                <w:spacing w:val="1"/>
                <w:highlight w:val="none"/>
                <w:lang w:eastAsia="zh-CN"/>
              </w:rPr>
            </w:pPr>
            <w:r>
              <w:rPr>
                <w:rFonts w:hint="default" w:ascii="Times New Roman" w:hAnsi="Times New Roman" w:cs="Times New Roman"/>
                <w:color w:val="auto"/>
                <w:spacing w:val="1"/>
                <w:highlight w:val="none"/>
                <w:lang w:eastAsia="zh-CN"/>
              </w:rPr>
              <w:t>根据上表分析，本项目符合《昆明市生态环境管控总体准入要求》中相关要求。</w:t>
            </w:r>
          </w:p>
          <w:p w14:paraId="76120130">
            <w:pPr>
              <w:ind w:firstLine="480"/>
              <w:rPr>
                <w:rFonts w:hint="default" w:ascii="Times New Roman" w:hAnsi="Times New Roman" w:cs="Times New Roman"/>
                <w:color w:val="auto"/>
                <w:spacing w:val="1"/>
                <w:highlight w:val="none"/>
                <w:lang w:eastAsia="zh-CN"/>
              </w:rPr>
            </w:pPr>
            <w:r>
              <w:rPr>
                <w:rFonts w:hint="default" w:ascii="Times New Roman" w:hAnsi="Times New Roman" w:cs="Times New Roman"/>
                <w:color w:val="auto"/>
                <w:spacing w:val="1"/>
                <w:highlight w:val="none"/>
                <w:lang w:eastAsia="zh-CN"/>
              </w:rPr>
              <w:t>根据《寻甸县环境管控单元生态环境准入清单》，本项目</w:t>
            </w:r>
            <w:r>
              <w:rPr>
                <w:rFonts w:hint="default" w:ascii="Times New Roman" w:hAnsi="Times New Roman" w:cs="Times New Roman"/>
                <w:color w:val="auto"/>
                <w:kern w:val="0"/>
                <w:highlight w:val="none"/>
                <w:shd w:val="clear" w:color="auto" w:fill="FFFFFF"/>
              </w:rPr>
              <w:t>与“</w:t>
            </w:r>
            <w:r>
              <w:rPr>
                <w:rFonts w:hint="default" w:ascii="Times New Roman" w:hAnsi="Times New Roman" w:cs="Times New Roman"/>
                <w:color w:val="auto"/>
                <w:sz w:val="24"/>
                <w:highlight w:val="none"/>
              </w:rPr>
              <w:t>寻甸回族彝族自治县一般管控单元</w:t>
            </w:r>
            <w:r>
              <w:rPr>
                <w:rFonts w:hint="default" w:ascii="Times New Roman" w:hAnsi="Times New Roman" w:cs="Times New Roman"/>
                <w:color w:val="auto"/>
                <w:sz w:val="24"/>
                <w:highlight w:val="none"/>
                <w:lang w:val="en-US" w:eastAsia="zh-CN"/>
              </w:rPr>
              <w:t>和一般生态空间优先保护单元</w:t>
            </w:r>
            <w:r>
              <w:rPr>
                <w:rFonts w:hint="default" w:ascii="Times New Roman" w:hAnsi="Times New Roman" w:cs="Times New Roman"/>
                <w:color w:val="auto"/>
                <w:kern w:val="0"/>
                <w:highlight w:val="none"/>
                <w:shd w:val="clear" w:color="auto" w:fill="FFFFFF"/>
              </w:rPr>
              <w:t>生态环境准入清单”</w:t>
            </w:r>
            <w:r>
              <w:rPr>
                <w:rFonts w:hint="default" w:ascii="Times New Roman" w:hAnsi="Times New Roman" w:cs="Times New Roman"/>
                <w:color w:val="auto"/>
                <w:spacing w:val="1"/>
                <w:highlight w:val="none"/>
                <w:lang w:eastAsia="zh-CN"/>
              </w:rPr>
              <w:t>符合性分析如下表。</w:t>
            </w:r>
          </w:p>
          <w:p w14:paraId="2BC492BA">
            <w:pPr>
              <w:widowControl/>
              <w:topLinePunct/>
              <w:adjustRightInd w:val="0"/>
              <w:spacing w:line="240" w:lineRule="auto"/>
              <w:ind w:firstLine="0" w:firstLineChars="0"/>
              <w:jc w:val="center"/>
              <w:textAlignment w:val="baseline"/>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表1-</w:t>
            </w:r>
            <w:r>
              <w:rPr>
                <w:rFonts w:hint="default" w:ascii="Times New Roman" w:hAnsi="Times New Roman" w:cs="Times New Roman"/>
                <w:b/>
                <w:bCs/>
                <w:snapToGrid w:val="0"/>
                <w:color w:val="auto"/>
                <w:kern w:val="0"/>
                <w:sz w:val="21"/>
                <w:szCs w:val="21"/>
                <w:highlight w:val="none"/>
                <w:lang w:val="en-US" w:eastAsia="zh-CN"/>
              </w:rPr>
              <w:t>8</w:t>
            </w:r>
            <w:r>
              <w:rPr>
                <w:rFonts w:hint="default" w:ascii="Times New Roman" w:hAnsi="Times New Roman" w:cs="Times New Roman"/>
                <w:b/>
                <w:bCs/>
                <w:snapToGrid w:val="0"/>
                <w:color w:val="auto"/>
                <w:kern w:val="0"/>
                <w:sz w:val="21"/>
                <w:szCs w:val="21"/>
                <w:highlight w:val="none"/>
              </w:rPr>
              <w:t xml:space="preserve"> 本项目与寻甸回族彝族自治县一般管控单元</w:t>
            </w:r>
            <w:r>
              <w:rPr>
                <w:rFonts w:hint="default" w:ascii="Times New Roman" w:hAnsi="Times New Roman" w:cs="Times New Roman"/>
                <w:b/>
                <w:bCs/>
                <w:snapToGrid w:val="0"/>
                <w:color w:val="auto"/>
                <w:kern w:val="0"/>
                <w:sz w:val="21"/>
                <w:szCs w:val="21"/>
                <w:highlight w:val="none"/>
                <w:lang w:val="en-US" w:eastAsia="zh-CN"/>
              </w:rPr>
              <w:t>和一般生态空间优先保护单元</w:t>
            </w:r>
            <w:r>
              <w:rPr>
                <w:rFonts w:hint="default" w:ascii="Times New Roman" w:hAnsi="Times New Roman" w:cs="Times New Roman"/>
                <w:b/>
                <w:bCs/>
                <w:snapToGrid w:val="0"/>
                <w:color w:val="auto"/>
                <w:kern w:val="0"/>
                <w:sz w:val="21"/>
                <w:szCs w:val="21"/>
                <w:highlight w:val="none"/>
              </w:rPr>
              <w:t>生态环境准入清单符合性分析一览表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465"/>
              <w:gridCol w:w="4142"/>
              <w:gridCol w:w="1867"/>
              <w:gridCol w:w="644"/>
            </w:tblGrid>
            <w:tr w14:paraId="4A17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25" w:type="pct"/>
                  <w:noWrap w:val="0"/>
                  <w:vAlign w:val="center"/>
                </w:tcPr>
                <w:p w14:paraId="4CC9AB42">
                  <w:pPr>
                    <w:pStyle w:val="71"/>
                    <w:keepNext w:val="0"/>
                    <w:keepLines w:val="0"/>
                    <w:pageBreakBefore w:val="0"/>
                    <w:kinsoku/>
                    <w:wordWrap/>
                    <w:overflowPunct/>
                    <w:topLinePunct w:val="0"/>
                    <w:autoSpaceDE/>
                    <w:autoSpaceDN/>
                    <w:bidi w:val="0"/>
                    <w:spacing w:line="240" w:lineRule="auto"/>
                    <w:ind w:firstLine="0" w:firstLineChars="0"/>
                    <w:rPr>
                      <w:rFonts w:hint="default" w:ascii="Times New Roman" w:hAnsi="Times New Roman" w:eastAsia="宋体" w:cs="Times New Roman"/>
                      <w:b/>
                      <w:bCs/>
                      <w:caps w:val="0"/>
                      <w:smallCaps w:val="0"/>
                      <w:color w:val="auto"/>
                      <w:sz w:val="21"/>
                      <w:szCs w:val="21"/>
                      <w:highlight w:val="none"/>
                      <w:lang w:eastAsia="zh-CN"/>
                    </w:rPr>
                  </w:pPr>
                  <w:r>
                    <w:rPr>
                      <w:rFonts w:hint="default" w:ascii="Times New Roman" w:hAnsi="Times New Roman" w:cs="Times New Roman"/>
                      <w:b/>
                      <w:bCs/>
                      <w:caps w:val="0"/>
                      <w:smallCaps w:val="0"/>
                      <w:color w:val="auto"/>
                      <w:sz w:val="21"/>
                      <w:szCs w:val="21"/>
                      <w:highlight w:val="none"/>
                      <w:lang w:val="en-US" w:eastAsia="zh-CN"/>
                    </w:rPr>
                    <w:t>管控单元</w:t>
                  </w:r>
                </w:p>
              </w:tc>
              <w:tc>
                <w:tcPr>
                  <w:tcW w:w="2960" w:type="pct"/>
                  <w:gridSpan w:val="2"/>
                  <w:noWrap w:val="0"/>
                  <w:vAlign w:val="center"/>
                </w:tcPr>
                <w:p w14:paraId="15A7DCB7">
                  <w:pPr>
                    <w:pStyle w:val="71"/>
                    <w:keepNext w:val="0"/>
                    <w:keepLines w:val="0"/>
                    <w:pageBreakBefore w:val="0"/>
                    <w:kinsoku/>
                    <w:wordWrap/>
                    <w:overflowPunct/>
                    <w:topLinePunct w:val="0"/>
                    <w:autoSpaceDE/>
                    <w:autoSpaceDN/>
                    <w:bidi w:val="0"/>
                    <w:spacing w:line="240" w:lineRule="auto"/>
                    <w:ind w:firstLine="0" w:firstLineChars="0"/>
                    <w:rPr>
                      <w:rFonts w:hint="default" w:ascii="Times New Roman" w:hAnsi="Times New Roman" w:cs="Times New Roman"/>
                      <w:b/>
                      <w:bCs/>
                      <w:caps w:val="0"/>
                      <w:smallCaps w:val="0"/>
                      <w:color w:val="auto"/>
                      <w:sz w:val="21"/>
                      <w:szCs w:val="21"/>
                      <w:highlight w:val="none"/>
                    </w:rPr>
                  </w:pPr>
                  <w:r>
                    <w:rPr>
                      <w:rFonts w:hint="default" w:ascii="Times New Roman" w:hAnsi="Times New Roman" w:cs="Times New Roman"/>
                      <w:b/>
                      <w:bCs/>
                      <w:caps w:val="0"/>
                      <w:smallCaps w:val="0"/>
                      <w:color w:val="auto"/>
                      <w:sz w:val="21"/>
                      <w:szCs w:val="21"/>
                      <w:highlight w:val="none"/>
                    </w:rPr>
                    <w:t>管控要求</w:t>
                  </w:r>
                </w:p>
              </w:tc>
              <w:tc>
                <w:tcPr>
                  <w:tcW w:w="1199" w:type="pct"/>
                  <w:noWrap w:val="0"/>
                  <w:vAlign w:val="center"/>
                </w:tcPr>
                <w:p w14:paraId="27B1F9D3">
                  <w:pPr>
                    <w:pStyle w:val="71"/>
                    <w:keepNext w:val="0"/>
                    <w:keepLines w:val="0"/>
                    <w:pageBreakBefore w:val="0"/>
                    <w:kinsoku/>
                    <w:wordWrap/>
                    <w:overflowPunct/>
                    <w:topLinePunct w:val="0"/>
                    <w:autoSpaceDE/>
                    <w:autoSpaceDN/>
                    <w:bidi w:val="0"/>
                    <w:spacing w:line="240" w:lineRule="auto"/>
                    <w:ind w:firstLine="0" w:firstLineChars="0"/>
                    <w:rPr>
                      <w:rFonts w:hint="default" w:ascii="Times New Roman" w:hAnsi="Times New Roman" w:cs="Times New Roman"/>
                      <w:b/>
                      <w:bCs/>
                      <w:caps w:val="0"/>
                      <w:smallCaps w:val="0"/>
                      <w:color w:val="auto"/>
                      <w:sz w:val="21"/>
                      <w:szCs w:val="21"/>
                      <w:highlight w:val="none"/>
                    </w:rPr>
                  </w:pPr>
                  <w:r>
                    <w:rPr>
                      <w:rFonts w:hint="default" w:ascii="Times New Roman" w:hAnsi="Times New Roman" w:cs="Times New Roman"/>
                      <w:b/>
                      <w:bCs/>
                      <w:caps w:val="0"/>
                      <w:smallCaps w:val="0"/>
                      <w:color w:val="auto"/>
                      <w:sz w:val="21"/>
                      <w:szCs w:val="21"/>
                      <w:highlight w:val="none"/>
                    </w:rPr>
                    <w:t>项目情况</w:t>
                  </w:r>
                </w:p>
              </w:tc>
              <w:tc>
                <w:tcPr>
                  <w:tcW w:w="413" w:type="pct"/>
                  <w:noWrap w:val="0"/>
                  <w:vAlign w:val="center"/>
                </w:tcPr>
                <w:p w14:paraId="5C853793">
                  <w:pPr>
                    <w:pStyle w:val="71"/>
                    <w:keepNext w:val="0"/>
                    <w:keepLines w:val="0"/>
                    <w:pageBreakBefore w:val="0"/>
                    <w:kinsoku/>
                    <w:wordWrap/>
                    <w:overflowPunct/>
                    <w:topLinePunct w:val="0"/>
                    <w:autoSpaceDE/>
                    <w:autoSpaceDN/>
                    <w:bidi w:val="0"/>
                    <w:spacing w:line="240" w:lineRule="auto"/>
                    <w:ind w:firstLine="0" w:firstLineChars="0"/>
                    <w:rPr>
                      <w:rFonts w:hint="default" w:ascii="Times New Roman" w:hAnsi="Times New Roman" w:cs="Times New Roman"/>
                      <w:b/>
                      <w:bCs/>
                      <w:caps w:val="0"/>
                      <w:smallCaps w:val="0"/>
                      <w:color w:val="auto"/>
                      <w:sz w:val="21"/>
                      <w:szCs w:val="21"/>
                      <w:highlight w:val="none"/>
                    </w:rPr>
                  </w:pPr>
                  <w:r>
                    <w:rPr>
                      <w:rFonts w:hint="default" w:ascii="Times New Roman" w:hAnsi="Times New Roman" w:cs="Times New Roman"/>
                      <w:b/>
                      <w:bCs/>
                      <w:caps w:val="0"/>
                      <w:smallCaps w:val="0"/>
                      <w:color w:val="auto"/>
                      <w:sz w:val="21"/>
                      <w:szCs w:val="21"/>
                      <w:highlight w:val="none"/>
                    </w:rPr>
                    <w:t>符合性</w:t>
                  </w:r>
                </w:p>
              </w:tc>
            </w:tr>
            <w:tr w14:paraId="117C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9" w:hRule="atLeast"/>
                <w:jc w:val="center"/>
              </w:trPr>
              <w:tc>
                <w:tcPr>
                  <w:tcW w:w="425" w:type="pct"/>
                  <w:vMerge w:val="restart"/>
                  <w:noWrap w:val="0"/>
                  <w:vAlign w:val="center"/>
                </w:tcPr>
                <w:p w14:paraId="12E59C5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寻甸回族彝族自治县一般管控单元</w:t>
                  </w:r>
                </w:p>
              </w:tc>
              <w:tc>
                <w:tcPr>
                  <w:tcW w:w="298" w:type="pct"/>
                  <w:noWrap w:val="0"/>
                  <w:vAlign w:val="center"/>
                </w:tcPr>
                <w:p w14:paraId="42122FB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空间布局约束</w:t>
                  </w:r>
                </w:p>
              </w:tc>
              <w:tc>
                <w:tcPr>
                  <w:tcW w:w="2661" w:type="pct"/>
                  <w:noWrap w:val="0"/>
                  <w:vAlign w:val="center"/>
                </w:tcPr>
                <w:p w14:paraId="401154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1</w:t>
                  </w:r>
                  <w:r>
                    <w:rPr>
                      <w:rFonts w:hint="default" w:ascii="Times New Roman" w:hAnsi="Times New Roman" w:cs="Times New Roman"/>
                      <w:caps w:val="0"/>
                      <w:smallCaps w:val="0"/>
                      <w:color w:val="auto"/>
                      <w:sz w:val="21"/>
                      <w:szCs w:val="21"/>
                      <w:highlight w:val="none"/>
                      <w:lang w:eastAsia="zh-CN"/>
                    </w:rPr>
                    <w:t>、</w:t>
                  </w:r>
                  <w:r>
                    <w:rPr>
                      <w:rFonts w:hint="default" w:ascii="Times New Roman" w:hAnsi="Times New Roman" w:cs="Times New Roman"/>
                      <w:caps w:val="0"/>
                      <w:smallCaps w:val="0"/>
                      <w:color w:val="auto"/>
                      <w:sz w:val="21"/>
                      <w:szCs w:val="21"/>
                      <w:highlight w:val="none"/>
                    </w:rPr>
                    <w:t>禁止在林地、河湖管理范围内新建、改建、扩建房地产开发项目。</w:t>
                  </w:r>
                </w:p>
                <w:p w14:paraId="6BEB438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2</w:t>
                  </w:r>
                  <w:r>
                    <w:rPr>
                      <w:rFonts w:hint="default" w:ascii="Times New Roman" w:hAnsi="Times New Roman" w:cs="Times New Roman"/>
                      <w:caps w:val="0"/>
                      <w:smallCaps w:val="0"/>
                      <w:color w:val="auto"/>
                      <w:sz w:val="21"/>
                      <w:szCs w:val="21"/>
                      <w:highlight w:val="none"/>
                      <w:lang w:eastAsia="zh-CN"/>
                    </w:rPr>
                    <w:t>、</w:t>
                  </w:r>
                  <w:r>
                    <w:rPr>
                      <w:rFonts w:hint="default" w:ascii="Times New Roman" w:hAnsi="Times New Roman" w:cs="Times New Roman"/>
                      <w:caps w:val="0"/>
                      <w:smallCaps w:val="0"/>
                      <w:color w:val="auto"/>
                      <w:sz w:val="21"/>
                      <w:szCs w:val="21"/>
                      <w:highlight w:val="none"/>
                    </w:rPr>
                    <w:t>禁止围湖造田和侵占江河滩地。</w:t>
                  </w:r>
                </w:p>
                <w:p w14:paraId="2172B5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3</w:t>
                  </w:r>
                  <w:r>
                    <w:rPr>
                      <w:rFonts w:hint="default" w:ascii="Times New Roman" w:hAnsi="Times New Roman" w:cs="Times New Roman"/>
                      <w:caps w:val="0"/>
                      <w:smallCaps w:val="0"/>
                      <w:color w:val="auto"/>
                      <w:sz w:val="21"/>
                      <w:szCs w:val="21"/>
                      <w:highlight w:val="none"/>
                      <w:lang w:eastAsia="zh-CN"/>
                    </w:rPr>
                    <w:t>、</w:t>
                  </w:r>
                  <w:r>
                    <w:rPr>
                      <w:rFonts w:hint="default" w:ascii="Times New Roman" w:hAnsi="Times New Roman" w:cs="Times New Roman"/>
                      <w:caps w:val="0"/>
                      <w:smallCaps w:val="0"/>
                      <w:color w:val="auto"/>
                      <w:sz w:val="21"/>
                      <w:szCs w:val="21"/>
                      <w:highlight w:val="none"/>
                    </w:rPr>
                    <w:t>禁止企业向滩涂、沼泽、荒地等未利用地非法排污、倾倒有毒有害物质。</w:t>
                  </w:r>
                </w:p>
              </w:tc>
              <w:tc>
                <w:tcPr>
                  <w:tcW w:w="1199" w:type="pct"/>
                  <w:noWrap w:val="0"/>
                  <w:vAlign w:val="center"/>
                </w:tcPr>
                <w:p w14:paraId="31339A2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本项目不涉及</w:t>
                  </w:r>
                </w:p>
              </w:tc>
              <w:tc>
                <w:tcPr>
                  <w:tcW w:w="413" w:type="pct"/>
                  <w:noWrap w:val="0"/>
                  <w:vAlign w:val="center"/>
                </w:tcPr>
                <w:p w14:paraId="29E5725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符合</w:t>
                  </w:r>
                </w:p>
              </w:tc>
            </w:tr>
            <w:tr w14:paraId="4488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1" w:hRule="atLeast"/>
                <w:jc w:val="center"/>
              </w:trPr>
              <w:tc>
                <w:tcPr>
                  <w:tcW w:w="425" w:type="pct"/>
                  <w:vMerge w:val="continue"/>
                  <w:noWrap w:val="0"/>
                  <w:vAlign w:val="center"/>
                </w:tcPr>
                <w:p w14:paraId="76550A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cs="Times New Roman"/>
                      <w:caps w:val="0"/>
                      <w:smallCaps w:val="0"/>
                      <w:color w:val="auto"/>
                      <w:sz w:val="21"/>
                      <w:szCs w:val="21"/>
                      <w:highlight w:val="none"/>
                      <w:lang w:val="en-US" w:eastAsia="zh-CN"/>
                    </w:rPr>
                  </w:pPr>
                </w:p>
              </w:tc>
              <w:tc>
                <w:tcPr>
                  <w:tcW w:w="298" w:type="pct"/>
                  <w:noWrap w:val="0"/>
                  <w:vAlign w:val="center"/>
                </w:tcPr>
                <w:p w14:paraId="0AFEA25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污染物排放管控制</w:t>
                  </w:r>
                </w:p>
              </w:tc>
              <w:tc>
                <w:tcPr>
                  <w:tcW w:w="2661" w:type="pct"/>
                  <w:noWrap w:val="0"/>
                  <w:vAlign w:val="center"/>
                </w:tcPr>
                <w:p w14:paraId="1122F0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1</w:t>
                  </w:r>
                  <w:r>
                    <w:rPr>
                      <w:rFonts w:hint="default" w:ascii="Times New Roman" w:hAnsi="Times New Roman" w:cs="Times New Roman"/>
                      <w:caps w:val="0"/>
                      <w:smallCaps w:val="0"/>
                      <w:color w:val="auto"/>
                      <w:sz w:val="21"/>
                      <w:szCs w:val="21"/>
                      <w:highlight w:val="none"/>
                      <w:lang w:eastAsia="zh-CN"/>
                    </w:rPr>
                    <w:t>、</w:t>
                  </w:r>
                  <w:r>
                    <w:rPr>
                      <w:rFonts w:hint="default" w:ascii="Times New Roman" w:hAnsi="Times New Roman" w:cs="Times New Roman"/>
                      <w:caps w:val="0"/>
                      <w:smallCaps w:val="0"/>
                      <w:color w:val="auto"/>
                      <w:sz w:val="21"/>
                      <w:szCs w:val="21"/>
                      <w:highlight w:val="none"/>
                    </w:rPr>
                    <w:t>严格控制“两高”行业新增产能，新、改、扩建项目要实行产能等量或减量置换。</w:t>
                  </w:r>
                </w:p>
                <w:p w14:paraId="5E441B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2</w:t>
                  </w:r>
                  <w:r>
                    <w:rPr>
                      <w:rFonts w:hint="default" w:ascii="Times New Roman" w:hAnsi="Times New Roman" w:cs="Times New Roman"/>
                      <w:caps w:val="0"/>
                      <w:smallCaps w:val="0"/>
                      <w:color w:val="auto"/>
                      <w:sz w:val="21"/>
                      <w:szCs w:val="21"/>
                      <w:highlight w:val="none"/>
                      <w:lang w:eastAsia="zh-CN"/>
                    </w:rPr>
                    <w:t>、</w:t>
                  </w:r>
                  <w:r>
                    <w:rPr>
                      <w:rFonts w:hint="default" w:ascii="Times New Roman" w:hAnsi="Times New Roman" w:cs="Times New Roman"/>
                      <w:caps w:val="0"/>
                      <w:smallCaps w:val="0"/>
                      <w:color w:val="auto"/>
                      <w:sz w:val="21"/>
                      <w:szCs w:val="21"/>
                      <w:highlight w:val="none"/>
                    </w:rPr>
                    <w:t>严格用地准入，工业用地及商业用地供地前，自然资源部门需对拟供地块进行土壤环境状况调查，评估环境污染风险后方可供地。</w:t>
                  </w:r>
                </w:p>
                <w:p w14:paraId="5DFE09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3</w:t>
                  </w:r>
                  <w:r>
                    <w:rPr>
                      <w:rFonts w:hint="default" w:ascii="Times New Roman" w:hAnsi="Times New Roman" w:cs="Times New Roman"/>
                      <w:caps w:val="0"/>
                      <w:smallCaps w:val="0"/>
                      <w:color w:val="auto"/>
                      <w:sz w:val="21"/>
                      <w:szCs w:val="21"/>
                      <w:highlight w:val="none"/>
                      <w:lang w:eastAsia="zh-CN"/>
                    </w:rPr>
                    <w:t>、</w:t>
                  </w:r>
                  <w:r>
                    <w:rPr>
                      <w:rFonts w:hint="default" w:ascii="Times New Roman" w:hAnsi="Times New Roman" w:cs="Times New Roman"/>
                      <w:caps w:val="0"/>
                      <w:smallCaps w:val="0"/>
                      <w:color w:val="auto"/>
                      <w:sz w:val="21"/>
                      <w:szCs w:val="21"/>
                      <w:highlight w:val="none"/>
                    </w:rPr>
                    <w:t>禁止使用炸鱼、毒鱼、电鱼等破坏渔业资源方法进行捕捞。</w:t>
                  </w:r>
                </w:p>
                <w:p w14:paraId="7690F8E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4</w:t>
                  </w:r>
                  <w:r>
                    <w:rPr>
                      <w:rFonts w:hint="default" w:ascii="Times New Roman" w:hAnsi="Times New Roman" w:cs="Times New Roman"/>
                      <w:caps w:val="0"/>
                      <w:smallCaps w:val="0"/>
                      <w:color w:val="auto"/>
                      <w:sz w:val="21"/>
                      <w:szCs w:val="21"/>
                      <w:highlight w:val="none"/>
                      <w:lang w:eastAsia="zh-CN"/>
                    </w:rPr>
                    <w:t>、</w:t>
                  </w:r>
                  <w:r>
                    <w:rPr>
                      <w:rFonts w:hint="default" w:ascii="Times New Roman" w:hAnsi="Times New Roman" w:cs="Times New Roman"/>
                      <w:caps w:val="0"/>
                      <w:smallCaps w:val="0"/>
                      <w:color w:val="auto"/>
                      <w:sz w:val="21"/>
                      <w:szCs w:val="21"/>
                      <w:highlight w:val="none"/>
                    </w:rPr>
                    <w:t>禁止在禁渔区、禁渔期进行捕捞。禁止使用小于最小网目尺寸的网具进行捕捞，未依法取得捕捞许可证擅自捕捞。</w:t>
                  </w:r>
                </w:p>
              </w:tc>
              <w:tc>
                <w:tcPr>
                  <w:tcW w:w="1199" w:type="pct"/>
                  <w:noWrap w:val="0"/>
                  <w:vAlign w:val="center"/>
                </w:tcPr>
                <w:p w14:paraId="632C6E0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本项目为</w:t>
                  </w:r>
                  <w:r>
                    <w:rPr>
                      <w:rFonts w:hint="default" w:ascii="Times New Roman" w:hAnsi="Times New Roman" w:eastAsia="宋体" w:cs="Times New Roman"/>
                      <w:color w:val="auto"/>
                      <w:sz w:val="21"/>
                      <w:szCs w:val="21"/>
                      <w:highlight w:val="none"/>
                      <w:lang w:eastAsia="zh-CN"/>
                    </w:rPr>
                    <w:t>普通建筑材料用砂岩矿</w:t>
                  </w:r>
                  <w:r>
                    <w:rPr>
                      <w:rFonts w:hint="default" w:ascii="Times New Roman" w:hAnsi="Times New Roman" w:eastAsia="宋体" w:cs="Times New Roman"/>
                      <w:color w:val="auto"/>
                      <w:sz w:val="21"/>
                      <w:szCs w:val="21"/>
                      <w:highlight w:val="none"/>
                    </w:rPr>
                    <w:t>开采，不属于“两高”项目</w:t>
                  </w:r>
                  <w:r>
                    <w:rPr>
                      <w:rFonts w:hint="default" w:ascii="Times New Roman" w:hAnsi="Times New Roman" w:eastAsia="宋体" w:cs="Times New Roman"/>
                      <w:color w:val="auto"/>
                      <w:sz w:val="21"/>
                      <w:szCs w:val="21"/>
                      <w:highlight w:val="none"/>
                      <w:lang w:val="en-US" w:eastAsia="zh-CN"/>
                    </w:rPr>
                    <w:t>。</w:t>
                  </w:r>
                </w:p>
                <w:p w14:paraId="1E189A1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本项目采矿权已取得采矿许可证</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不属于</w:t>
                  </w:r>
                  <w:r>
                    <w:rPr>
                      <w:rFonts w:hint="default" w:ascii="Times New Roman" w:hAnsi="Times New Roman" w:cs="Times New Roman"/>
                      <w:caps w:val="0"/>
                      <w:smallCaps w:val="0"/>
                      <w:color w:val="auto"/>
                      <w:sz w:val="21"/>
                      <w:szCs w:val="21"/>
                      <w:highlight w:val="none"/>
                    </w:rPr>
                    <w:t>环境污染</w:t>
                  </w:r>
                  <w:r>
                    <w:rPr>
                      <w:rFonts w:hint="default" w:ascii="Times New Roman" w:hAnsi="Times New Roman" w:cs="Times New Roman"/>
                      <w:caps w:val="0"/>
                      <w:smallCaps w:val="0"/>
                      <w:color w:val="auto"/>
                      <w:sz w:val="21"/>
                      <w:szCs w:val="21"/>
                      <w:highlight w:val="none"/>
                      <w:lang w:val="en-US" w:eastAsia="zh-CN"/>
                    </w:rPr>
                    <w:t>用地</w:t>
                  </w:r>
                  <w:r>
                    <w:rPr>
                      <w:rFonts w:hint="default" w:ascii="Times New Roman" w:hAnsi="Times New Roman" w:eastAsia="宋体" w:cs="Times New Roman"/>
                      <w:color w:val="auto"/>
                      <w:sz w:val="21"/>
                      <w:szCs w:val="21"/>
                      <w:highlight w:val="none"/>
                    </w:rPr>
                    <w:t>。</w:t>
                  </w:r>
                </w:p>
                <w:p w14:paraId="47B1106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3~4.项目不涉及。</w:t>
                  </w:r>
                </w:p>
              </w:tc>
              <w:tc>
                <w:tcPr>
                  <w:tcW w:w="413" w:type="pct"/>
                  <w:noWrap w:val="0"/>
                  <w:vAlign w:val="center"/>
                </w:tcPr>
                <w:p w14:paraId="2A1CE1A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符合</w:t>
                  </w:r>
                </w:p>
              </w:tc>
            </w:tr>
            <w:tr w14:paraId="1E624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6" w:hRule="atLeast"/>
                <w:jc w:val="center"/>
              </w:trPr>
              <w:tc>
                <w:tcPr>
                  <w:tcW w:w="425" w:type="pct"/>
                  <w:vMerge w:val="continue"/>
                  <w:noWrap w:val="0"/>
                  <w:vAlign w:val="center"/>
                </w:tcPr>
                <w:p w14:paraId="032E94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cs="Times New Roman"/>
                      <w:caps w:val="0"/>
                      <w:smallCaps w:val="0"/>
                      <w:color w:val="auto"/>
                      <w:kern w:val="0"/>
                      <w:sz w:val="21"/>
                      <w:szCs w:val="21"/>
                      <w:highlight w:val="none"/>
                    </w:rPr>
                  </w:pPr>
                </w:p>
              </w:tc>
              <w:tc>
                <w:tcPr>
                  <w:tcW w:w="298" w:type="pct"/>
                  <w:noWrap w:val="0"/>
                  <w:vAlign w:val="center"/>
                </w:tcPr>
                <w:p w14:paraId="358600B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环境风险防控</w:t>
                  </w:r>
                </w:p>
              </w:tc>
              <w:tc>
                <w:tcPr>
                  <w:tcW w:w="2661" w:type="pct"/>
                  <w:noWrap w:val="0"/>
                  <w:vAlign w:val="center"/>
                </w:tcPr>
                <w:p w14:paraId="0996D7C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rPr>
                  </w:pPr>
                  <w:r>
                    <w:rPr>
                      <w:rFonts w:hint="default" w:ascii="Times New Roman" w:hAnsi="Times New Roman" w:eastAsia="宋体" w:cs="Times New Roman"/>
                      <w:caps w:val="0"/>
                      <w:smallCaps w:val="0"/>
                      <w:color w:val="auto"/>
                      <w:sz w:val="21"/>
                      <w:szCs w:val="21"/>
                      <w:highlight w:val="none"/>
                    </w:rPr>
                    <w:t>1</w:t>
                  </w:r>
                  <w:r>
                    <w:rPr>
                      <w:rFonts w:hint="default" w:ascii="Times New Roman" w:hAnsi="Times New Roman" w:eastAsia="宋体" w:cs="Times New Roman"/>
                      <w:caps w:val="0"/>
                      <w:smallCaps w:val="0"/>
                      <w:color w:val="auto"/>
                      <w:sz w:val="21"/>
                      <w:szCs w:val="21"/>
                      <w:highlight w:val="none"/>
                      <w:lang w:eastAsia="zh-CN"/>
                    </w:rPr>
                    <w:t>、</w:t>
                  </w:r>
                  <w:r>
                    <w:rPr>
                      <w:rFonts w:hint="default" w:ascii="Times New Roman" w:hAnsi="Times New Roman" w:eastAsia="宋体" w:cs="Times New Roman"/>
                      <w:caps w:val="0"/>
                      <w:smallCaps w:val="0"/>
                      <w:color w:val="auto"/>
                      <w:sz w:val="21"/>
                      <w:szCs w:val="21"/>
                      <w:highlight w:val="none"/>
                    </w:rPr>
                    <w:t>严格限制《环境保护综合名录》（2021年版）中“高污染、高环境风险”产品与工艺装备。</w:t>
                  </w:r>
                </w:p>
                <w:p w14:paraId="69C781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rPr>
                  </w:pPr>
                  <w:r>
                    <w:rPr>
                      <w:rFonts w:hint="default" w:ascii="Times New Roman" w:hAnsi="Times New Roman" w:eastAsia="宋体" w:cs="Times New Roman"/>
                      <w:caps w:val="0"/>
                      <w:smallCaps w:val="0"/>
                      <w:color w:val="auto"/>
                      <w:sz w:val="21"/>
                      <w:szCs w:val="21"/>
                      <w:highlight w:val="none"/>
                    </w:rPr>
                    <w:t>2</w:t>
                  </w:r>
                  <w:r>
                    <w:rPr>
                      <w:rFonts w:hint="default" w:ascii="Times New Roman" w:hAnsi="Times New Roman" w:eastAsia="宋体" w:cs="Times New Roman"/>
                      <w:caps w:val="0"/>
                      <w:smallCaps w:val="0"/>
                      <w:color w:val="auto"/>
                      <w:sz w:val="21"/>
                      <w:szCs w:val="21"/>
                      <w:highlight w:val="none"/>
                      <w:lang w:eastAsia="zh-CN"/>
                    </w:rPr>
                    <w:t>、</w:t>
                  </w:r>
                  <w:r>
                    <w:rPr>
                      <w:rFonts w:hint="default" w:ascii="Times New Roman" w:hAnsi="Times New Roman" w:eastAsia="宋体" w:cs="Times New Roman"/>
                      <w:caps w:val="0"/>
                      <w:smallCaps w:val="0"/>
                      <w:color w:val="auto"/>
                      <w:sz w:val="21"/>
                      <w:szCs w:val="21"/>
                      <w:highlight w:val="none"/>
                    </w:rPr>
                    <w:t>禁止使用剧毒、高残留以及可能二次中毒的农药。</w:t>
                  </w:r>
                </w:p>
                <w:p w14:paraId="708FE37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rPr>
                  </w:pPr>
                  <w:r>
                    <w:rPr>
                      <w:rFonts w:hint="default" w:ascii="Times New Roman" w:hAnsi="Times New Roman" w:eastAsia="宋体" w:cs="Times New Roman"/>
                      <w:caps w:val="0"/>
                      <w:smallCaps w:val="0"/>
                      <w:color w:val="auto"/>
                      <w:sz w:val="21"/>
                      <w:szCs w:val="21"/>
                      <w:highlight w:val="none"/>
                    </w:rPr>
                    <w:t>3</w:t>
                  </w:r>
                  <w:r>
                    <w:rPr>
                      <w:rFonts w:hint="default" w:ascii="Times New Roman" w:hAnsi="Times New Roman" w:eastAsia="宋体" w:cs="Times New Roman"/>
                      <w:caps w:val="0"/>
                      <w:smallCaps w:val="0"/>
                      <w:color w:val="auto"/>
                      <w:sz w:val="21"/>
                      <w:szCs w:val="21"/>
                      <w:highlight w:val="none"/>
                      <w:lang w:eastAsia="zh-CN"/>
                    </w:rPr>
                    <w:t>、</w:t>
                  </w:r>
                  <w:r>
                    <w:rPr>
                      <w:rFonts w:hint="default" w:ascii="Times New Roman" w:hAnsi="Times New Roman" w:eastAsia="宋体" w:cs="Times New Roman"/>
                      <w:caps w:val="0"/>
                      <w:smallCaps w:val="0"/>
                      <w:color w:val="auto"/>
                      <w:sz w:val="21"/>
                      <w:szCs w:val="21"/>
                      <w:highlight w:val="none"/>
                    </w:rPr>
                    <w:t>严格污染场地开发利用和流转审批，在影响健康地块修复达标之前，禁止建设居民区、学校、医疗和养老机构。</w:t>
                  </w:r>
                </w:p>
              </w:tc>
              <w:tc>
                <w:tcPr>
                  <w:tcW w:w="1199" w:type="pct"/>
                  <w:noWrap w:val="0"/>
                  <w:vAlign w:val="center"/>
                </w:tcPr>
                <w:p w14:paraId="318FFD3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rPr>
                  </w:pPr>
                  <w:r>
                    <w:rPr>
                      <w:rFonts w:hint="default" w:ascii="Times New Roman" w:hAnsi="Times New Roman" w:eastAsia="宋体" w:cs="Times New Roman"/>
                      <w:caps w:val="0"/>
                      <w:smallCaps w:val="0"/>
                      <w:color w:val="auto"/>
                      <w:sz w:val="21"/>
                      <w:szCs w:val="21"/>
                      <w:highlight w:val="none"/>
                    </w:rPr>
                    <w:t>1.</w:t>
                  </w:r>
                  <w:r>
                    <w:rPr>
                      <w:rFonts w:hint="default" w:ascii="Times New Roman" w:hAnsi="Times New Roman" w:eastAsia="宋体" w:cs="Times New Roman"/>
                      <w:caps w:val="0"/>
                      <w:smallCaps w:val="0"/>
                      <w:color w:val="auto"/>
                      <w:sz w:val="21"/>
                      <w:szCs w:val="21"/>
                      <w:highlight w:val="none"/>
                      <w:lang w:val="en-US" w:eastAsia="zh-CN"/>
                    </w:rPr>
                    <w:t>项目</w:t>
                  </w:r>
                  <w:r>
                    <w:rPr>
                      <w:rFonts w:hint="default" w:ascii="Times New Roman" w:hAnsi="Times New Roman" w:eastAsia="宋体" w:cs="Times New Roman"/>
                      <w:caps w:val="0"/>
                      <w:smallCaps w:val="0"/>
                      <w:color w:val="auto"/>
                      <w:sz w:val="21"/>
                      <w:szCs w:val="21"/>
                      <w:highlight w:val="none"/>
                    </w:rPr>
                    <w:t>不属于“两高 ”产品与工艺装备。</w:t>
                  </w:r>
                </w:p>
                <w:p w14:paraId="5DE5758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rPr>
                  </w:pPr>
                  <w:r>
                    <w:rPr>
                      <w:rFonts w:hint="default" w:ascii="Times New Roman" w:hAnsi="Times New Roman" w:eastAsia="宋体" w:cs="Times New Roman"/>
                      <w:caps w:val="0"/>
                      <w:smallCaps w:val="0"/>
                      <w:color w:val="auto"/>
                      <w:sz w:val="21"/>
                      <w:szCs w:val="21"/>
                      <w:highlight w:val="none"/>
                    </w:rPr>
                    <w:t>2.</w:t>
                  </w:r>
                  <w:r>
                    <w:rPr>
                      <w:rFonts w:hint="default" w:ascii="Times New Roman" w:hAnsi="Times New Roman" w:eastAsia="宋体" w:cs="Times New Roman"/>
                      <w:caps w:val="0"/>
                      <w:smallCaps w:val="0"/>
                      <w:color w:val="auto"/>
                      <w:sz w:val="21"/>
                      <w:szCs w:val="21"/>
                      <w:highlight w:val="none"/>
                      <w:lang w:val="en-US" w:eastAsia="zh-CN"/>
                    </w:rPr>
                    <w:t>项目</w:t>
                  </w:r>
                  <w:r>
                    <w:rPr>
                      <w:rFonts w:hint="default" w:ascii="Times New Roman" w:hAnsi="Times New Roman" w:eastAsia="宋体" w:cs="Times New Roman"/>
                      <w:caps w:val="0"/>
                      <w:smallCaps w:val="0"/>
                      <w:color w:val="auto"/>
                      <w:sz w:val="21"/>
                      <w:szCs w:val="21"/>
                      <w:highlight w:val="none"/>
                    </w:rPr>
                    <w:t>不涉及剧毒、高残留以及可能二次中毒的农药。</w:t>
                  </w:r>
                </w:p>
                <w:p w14:paraId="2A897C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rPr>
                  </w:pPr>
                  <w:r>
                    <w:rPr>
                      <w:rFonts w:hint="default" w:ascii="Times New Roman" w:hAnsi="Times New Roman" w:eastAsia="宋体" w:cs="Times New Roman"/>
                      <w:caps w:val="0"/>
                      <w:smallCaps w:val="0"/>
                      <w:color w:val="auto"/>
                      <w:sz w:val="21"/>
                      <w:szCs w:val="21"/>
                      <w:highlight w:val="none"/>
                    </w:rPr>
                    <w:t>3.项目不涉及居民区、学校、医疗和养老机构建设。</w:t>
                  </w:r>
                </w:p>
              </w:tc>
              <w:tc>
                <w:tcPr>
                  <w:tcW w:w="413" w:type="pct"/>
                  <w:noWrap w:val="0"/>
                  <w:vAlign w:val="center"/>
                </w:tcPr>
                <w:p w14:paraId="7770EF2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符合</w:t>
                  </w:r>
                </w:p>
              </w:tc>
            </w:tr>
            <w:tr w14:paraId="5A44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0" w:hRule="atLeast"/>
                <w:jc w:val="center"/>
              </w:trPr>
              <w:tc>
                <w:tcPr>
                  <w:tcW w:w="425" w:type="pct"/>
                  <w:vMerge w:val="restart"/>
                  <w:noWrap w:val="0"/>
                  <w:vAlign w:val="center"/>
                </w:tcPr>
                <w:p w14:paraId="2F6EF36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aps w:val="0"/>
                      <w:smallCaps w:val="0"/>
                      <w:color w:val="auto"/>
                      <w:kern w:val="0"/>
                      <w:sz w:val="21"/>
                      <w:szCs w:val="21"/>
                      <w:highlight w:val="none"/>
                    </w:rPr>
                  </w:pPr>
                  <w:r>
                    <w:rPr>
                      <w:rFonts w:hint="default" w:ascii="Times New Roman" w:hAnsi="Times New Roman" w:eastAsia="宋体" w:cs="Times New Roman"/>
                      <w:caps w:val="0"/>
                      <w:smallCaps w:val="0"/>
                      <w:color w:val="auto"/>
                      <w:sz w:val="21"/>
                      <w:szCs w:val="21"/>
                      <w:highlight w:val="none"/>
                      <w:lang w:val="en-US" w:eastAsia="zh-CN"/>
                    </w:rPr>
                    <w:t>寻甸回族彝族自治县一般生态空间优先保护单元</w:t>
                  </w:r>
                </w:p>
              </w:tc>
              <w:tc>
                <w:tcPr>
                  <w:tcW w:w="298" w:type="pct"/>
                  <w:noWrap w:val="0"/>
                  <w:vAlign w:val="center"/>
                </w:tcPr>
                <w:p w14:paraId="4990EF0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空间布局约束</w:t>
                  </w:r>
                </w:p>
              </w:tc>
              <w:tc>
                <w:tcPr>
                  <w:tcW w:w="2661" w:type="pct"/>
                  <w:noWrap w:val="0"/>
                  <w:vAlign w:val="center"/>
                </w:tcPr>
                <w:p w14:paraId="21C8E0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1.一般生态空间优先保护单元以保护和修复生态环境、提供生态产品为首要任务，参照主体功能区中重点生态功能区的开发和管制原则进行管控，加强资源环境承载力控制，防止过度垦殖、放牧、采伐、取水、渔猎、旅游等对生态功能造成损害，确保自然生态系统稳定。涉及占用一般生态空间的开发活动应符合相关法律法规规定，没有明确规定的，加强论证和管理。</w:t>
                  </w:r>
                </w:p>
                <w:p w14:paraId="03D8686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2.暂未纳入生态保护红线的自然保护地按照相关保护地法律法规进行管理；公益林依据《国家级公益林管理办法》《云南省公益林管理办法》进行管理；天然林依据《国家林业局关于严格保护天然林的通知》（林资发〔2015〕181号）《中共中央办公厅 国务院办公厅关于印发〈天然林保护修复制度方案〉的通知》（厅字〔2019〕39号）等进行管理。</w:t>
                  </w:r>
                </w:p>
              </w:tc>
              <w:tc>
                <w:tcPr>
                  <w:tcW w:w="1199" w:type="pct"/>
                  <w:noWrap w:val="0"/>
                  <w:vAlign w:val="center"/>
                </w:tcPr>
                <w:p w14:paraId="504B744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1.</w:t>
                  </w:r>
                  <w:r>
                    <w:rPr>
                      <w:rFonts w:hint="default" w:ascii="Times New Roman" w:hAnsi="Times New Roman" w:cs="Times New Roman"/>
                      <w:bCs/>
                      <w:color w:val="auto"/>
                      <w:kern w:val="2"/>
                      <w:sz w:val="21"/>
                      <w:szCs w:val="21"/>
                      <w:highlight w:val="none"/>
                    </w:rPr>
                    <w:t>根据</w:t>
                  </w:r>
                  <w:r>
                    <w:rPr>
                      <w:rFonts w:hint="default" w:ascii="Times New Roman" w:hAnsi="Times New Roman" w:eastAsia="宋体" w:cs="Times New Roman"/>
                      <w:bCs/>
                      <w:color w:val="auto"/>
                      <w:kern w:val="2"/>
                      <w:sz w:val="21"/>
                      <w:szCs w:val="21"/>
                      <w:highlight w:val="none"/>
                    </w:rPr>
                    <w:t>云南省生态环境分区管控公共服务查询平台查询结果，本项目</w:t>
                  </w:r>
                  <w:r>
                    <w:rPr>
                      <w:rFonts w:hint="default" w:ascii="Times New Roman" w:hAnsi="Times New Roman" w:eastAsia="宋体" w:cs="Times New Roman"/>
                      <w:bCs/>
                      <w:color w:val="auto"/>
                      <w:kern w:val="2"/>
                      <w:sz w:val="21"/>
                      <w:szCs w:val="21"/>
                      <w:highlight w:val="none"/>
                      <w:lang w:val="en-US" w:eastAsia="zh-CN"/>
                    </w:rPr>
                    <w:t>涉及一般生态空间优先保护单元。</w:t>
                  </w:r>
                  <w:r>
                    <w:rPr>
                      <w:rFonts w:hint="default" w:ascii="Times New Roman" w:hAnsi="Times New Roman" w:eastAsia="宋体" w:cs="Times New Roman"/>
                      <w:caps w:val="0"/>
                      <w:smallCaps w:val="0"/>
                      <w:color w:val="auto"/>
                      <w:sz w:val="21"/>
                      <w:szCs w:val="21"/>
                      <w:highlight w:val="none"/>
                      <w:lang w:val="en-US" w:eastAsia="zh-CN"/>
                    </w:rPr>
                    <w:t>项目严格按照采矿许可证的开采范围进行开采，禁止越界开采；矿山开采严格按照由上而下分台阶开采；严格执行“边开采边复垦”开采方式，对开采过程中产生的采空区进行植被恢复，减少裸露地面。2.项目已取得云南省林业和草原局准予行政许可决定书（云林许准（昆）〔2025〕230号），关于本项目的使用林地审核</w:t>
                  </w:r>
                  <w:r>
                    <w:rPr>
                      <w:rFonts w:hint="default" w:ascii="Times New Roman" w:hAnsi="Times New Roman" w:cs="Times New Roman"/>
                      <w:caps w:val="0"/>
                      <w:smallCaps w:val="0"/>
                      <w:color w:val="auto"/>
                      <w:sz w:val="21"/>
                      <w:szCs w:val="21"/>
                      <w:highlight w:val="none"/>
                      <w:lang w:val="en-US" w:eastAsia="zh-CN"/>
                    </w:rPr>
                    <w:t>同意</w:t>
                  </w:r>
                  <w:r>
                    <w:rPr>
                      <w:rFonts w:hint="default" w:ascii="Times New Roman" w:hAnsi="Times New Roman" w:eastAsia="宋体" w:cs="Times New Roman"/>
                      <w:caps w:val="0"/>
                      <w:smallCaps w:val="0"/>
                      <w:color w:val="auto"/>
                      <w:sz w:val="21"/>
                      <w:szCs w:val="21"/>
                      <w:highlight w:val="none"/>
                      <w:lang w:val="en-US" w:eastAsia="zh-CN"/>
                    </w:rPr>
                    <w:t>书</w:t>
                  </w:r>
                  <w:r>
                    <w:rPr>
                      <w:rFonts w:hint="default" w:ascii="Times New Roman" w:hAnsi="Times New Roman" w:cs="Times New Roman"/>
                      <w:caps w:val="0"/>
                      <w:smallCaps w:val="0"/>
                      <w:color w:val="auto"/>
                      <w:sz w:val="21"/>
                      <w:szCs w:val="21"/>
                      <w:highlight w:val="none"/>
                      <w:lang w:val="en-US" w:eastAsia="zh-CN"/>
                    </w:rPr>
                    <w:t>。</w:t>
                  </w:r>
                </w:p>
              </w:tc>
              <w:tc>
                <w:tcPr>
                  <w:tcW w:w="413" w:type="pct"/>
                  <w:noWrap w:val="0"/>
                  <w:vAlign w:val="center"/>
                </w:tcPr>
                <w:p w14:paraId="71B8FCE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符合</w:t>
                  </w:r>
                </w:p>
              </w:tc>
            </w:tr>
            <w:tr w14:paraId="3996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jc w:val="center"/>
              </w:trPr>
              <w:tc>
                <w:tcPr>
                  <w:tcW w:w="425" w:type="pct"/>
                  <w:vMerge w:val="continue"/>
                  <w:noWrap w:val="0"/>
                  <w:vAlign w:val="center"/>
                </w:tcPr>
                <w:p w14:paraId="78BD37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cs="Times New Roman"/>
                      <w:caps w:val="0"/>
                      <w:smallCaps w:val="0"/>
                      <w:color w:val="auto"/>
                      <w:kern w:val="0"/>
                      <w:sz w:val="21"/>
                      <w:szCs w:val="21"/>
                      <w:highlight w:val="none"/>
                    </w:rPr>
                  </w:pPr>
                </w:p>
              </w:tc>
              <w:tc>
                <w:tcPr>
                  <w:tcW w:w="298" w:type="pct"/>
                  <w:noWrap w:val="0"/>
                  <w:vAlign w:val="center"/>
                </w:tcPr>
                <w:p w14:paraId="5BF7F7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污染物排放管控</w:t>
                  </w:r>
                </w:p>
              </w:tc>
              <w:tc>
                <w:tcPr>
                  <w:tcW w:w="2661" w:type="pct"/>
                  <w:noWrap w:val="0"/>
                  <w:vAlign w:val="center"/>
                </w:tcPr>
                <w:p w14:paraId="4741AD0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1.禁止在二十五度以上陡坡地开垦种植农作物。</w:t>
                  </w:r>
                </w:p>
                <w:p w14:paraId="27EFDF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2.禁止围湖造田和侵占江河滩地。</w:t>
                  </w:r>
                </w:p>
                <w:p w14:paraId="3A2308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3.畜禽养殖严格执行禁养区规定。对草原实行以草定蓄、草蓄平衡制度，禁止过度放牧。</w:t>
                  </w:r>
                </w:p>
              </w:tc>
              <w:tc>
                <w:tcPr>
                  <w:tcW w:w="1199" w:type="pct"/>
                  <w:noWrap w:val="0"/>
                  <w:vAlign w:val="center"/>
                </w:tcPr>
                <w:p w14:paraId="7C0BC05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本项目不涉及</w:t>
                  </w:r>
                </w:p>
              </w:tc>
              <w:tc>
                <w:tcPr>
                  <w:tcW w:w="413" w:type="pct"/>
                  <w:noWrap w:val="0"/>
                  <w:vAlign w:val="center"/>
                </w:tcPr>
                <w:p w14:paraId="0AA49B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符合</w:t>
                  </w:r>
                </w:p>
              </w:tc>
            </w:tr>
            <w:tr w14:paraId="365C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jc w:val="center"/>
              </w:trPr>
              <w:tc>
                <w:tcPr>
                  <w:tcW w:w="425" w:type="pct"/>
                  <w:vMerge w:val="continue"/>
                  <w:noWrap w:val="0"/>
                  <w:vAlign w:val="center"/>
                </w:tcPr>
                <w:p w14:paraId="1851EC2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bottom"/>
                    <w:rPr>
                      <w:rFonts w:hint="default" w:ascii="Times New Roman" w:hAnsi="Times New Roman" w:cs="Times New Roman"/>
                      <w:caps w:val="0"/>
                      <w:smallCaps w:val="0"/>
                      <w:color w:val="auto"/>
                      <w:kern w:val="0"/>
                      <w:sz w:val="21"/>
                      <w:szCs w:val="21"/>
                      <w:highlight w:val="none"/>
                    </w:rPr>
                  </w:pPr>
                </w:p>
              </w:tc>
              <w:tc>
                <w:tcPr>
                  <w:tcW w:w="298" w:type="pct"/>
                  <w:noWrap w:val="0"/>
                  <w:vAlign w:val="center"/>
                </w:tcPr>
                <w:p w14:paraId="04F644B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环境风险防控</w:t>
                  </w:r>
                </w:p>
              </w:tc>
              <w:tc>
                <w:tcPr>
                  <w:tcW w:w="2661" w:type="pct"/>
                  <w:noWrap w:val="0"/>
                  <w:vAlign w:val="center"/>
                </w:tcPr>
                <w:p w14:paraId="42ECAD4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执行昆明市总体要求。</w:t>
                  </w:r>
                </w:p>
              </w:tc>
              <w:tc>
                <w:tcPr>
                  <w:tcW w:w="1199" w:type="pct"/>
                  <w:noWrap w:val="0"/>
                  <w:vAlign w:val="center"/>
                </w:tcPr>
                <w:p w14:paraId="7A20C6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根据表1-</w:t>
                  </w:r>
                  <w:r>
                    <w:rPr>
                      <w:rFonts w:hint="default" w:ascii="Times New Roman" w:hAnsi="Times New Roman" w:cs="Times New Roman"/>
                      <w:caps w:val="0"/>
                      <w:smallCaps w:val="0"/>
                      <w:color w:val="auto"/>
                      <w:sz w:val="21"/>
                      <w:szCs w:val="21"/>
                      <w:highlight w:val="none"/>
                      <w:lang w:val="en-US" w:eastAsia="zh-CN"/>
                    </w:rPr>
                    <w:t>7</w:t>
                  </w:r>
                  <w:r>
                    <w:rPr>
                      <w:rFonts w:hint="default" w:ascii="Times New Roman" w:hAnsi="Times New Roman" w:eastAsia="宋体" w:cs="Times New Roman"/>
                      <w:caps w:val="0"/>
                      <w:smallCaps w:val="0"/>
                      <w:color w:val="auto"/>
                      <w:sz w:val="21"/>
                      <w:szCs w:val="21"/>
                      <w:highlight w:val="none"/>
                      <w:lang w:val="en-US" w:eastAsia="zh-CN"/>
                    </w:rPr>
                    <w:t>分析，项目符合昆明市生态环境管控总体准入要求</w:t>
                  </w:r>
                </w:p>
                <w:p w14:paraId="76F9827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aps w:val="0"/>
                      <w:smallCaps w:val="0"/>
                      <w:color w:val="auto"/>
                      <w:sz w:val="21"/>
                      <w:szCs w:val="21"/>
                      <w:highlight w:val="none"/>
                      <w:lang w:val="en-US" w:eastAsia="zh-CN"/>
                    </w:rPr>
                  </w:pPr>
                </w:p>
              </w:tc>
              <w:tc>
                <w:tcPr>
                  <w:tcW w:w="413" w:type="pct"/>
                  <w:noWrap w:val="0"/>
                  <w:vAlign w:val="center"/>
                </w:tcPr>
                <w:p w14:paraId="0D5990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eastAsia="宋体" w:cs="Times New Roman"/>
                      <w:caps w:val="0"/>
                      <w:smallCaps w:val="0"/>
                      <w:color w:val="auto"/>
                      <w:sz w:val="21"/>
                      <w:szCs w:val="21"/>
                      <w:highlight w:val="none"/>
                      <w:lang w:val="en-US" w:eastAsia="zh-CN"/>
                    </w:rPr>
                    <w:t>符合</w:t>
                  </w:r>
                </w:p>
              </w:tc>
            </w:tr>
          </w:tbl>
          <w:p w14:paraId="522DA251">
            <w:pPr>
              <w:autoSpaceDE w:val="0"/>
              <w:autoSpaceDN w:val="0"/>
              <w:adjustRightInd w:val="0"/>
              <w:spacing w:before="156" w:beforeLines="50"/>
              <w:ind w:firstLine="480"/>
              <w:rPr>
                <w:rFonts w:hint="default" w:ascii="Times New Roman" w:hAnsi="Times New Roman" w:eastAsia="Times New Roman" w:cs="Times New Roman"/>
                <w:snapToGrid w:val="0"/>
                <w:color w:val="auto"/>
                <w:kern w:val="0"/>
                <w:szCs w:val="24"/>
                <w:highlight w:val="none"/>
              </w:rPr>
            </w:pPr>
            <w:r>
              <w:rPr>
                <w:rFonts w:hint="default" w:ascii="Times New Roman" w:hAnsi="Times New Roman" w:cs="Times New Roman"/>
                <w:bCs/>
                <w:color w:val="auto"/>
                <w:kern w:val="0"/>
                <w:highlight w:val="none"/>
              </w:rPr>
              <w:t>根据上表分析，本项目建设符合</w:t>
            </w:r>
            <w:r>
              <w:rPr>
                <w:rFonts w:hint="default" w:ascii="Times New Roman" w:hAnsi="Times New Roman" w:cs="Times New Roman"/>
                <w:color w:val="auto"/>
                <w:sz w:val="24"/>
                <w:highlight w:val="none"/>
              </w:rPr>
              <w:t>寻甸回族彝族自治县一般管控单元</w:t>
            </w:r>
            <w:r>
              <w:rPr>
                <w:rFonts w:hint="default" w:ascii="Times New Roman" w:hAnsi="Times New Roman" w:cs="Times New Roman"/>
                <w:color w:val="auto"/>
                <w:sz w:val="24"/>
                <w:highlight w:val="none"/>
                <w:lang w:val="en-US" w:eastAsia="zh-CN"/>
              </w:rPr>
              <w:t>和一般生态空间优先保护单元</w:t>
            </w:r>
            <w:r>
              <w:rPr>
                <w:rFonts w:hint="default" w:ascii="Times New Roman" w:hAnsi="Times New Roman" w:cs="Times New Roman"/>
                <w:color w:val="auto"/>
                <w:kern w:val="0"/>
                <w:highlight w:val="none"/>
                <w:shd w:val="clear" w:color="auto" w:fill="FFFFFF"/>
              </w:rPr>
              <w:t>生态环境准入清单</w:t>
            </w:r>
            <w:r>
              <w:rPr>
                <w:rFonts w:hint="default" w:ascii="Times New Roman" w:hAnsi="Times New Roman" w:cs="Times New Roman"/>
                <w:bCs/>
                <w:color w:val="auto"/>
                <w:kern w:val="0"/>
                <w:highlight w:val="none"/>
              </w:rPr>
              <w:t>要求。</w:t>
            </w:r>
          </w:p>
          <w:p w14:paraId="3BB8ECFF">
            <w:pPr>
              <w:pStyle w:val="40"/>
              <w:snapToGrid/>
              <w:ind w:firstLine="0"/>
              <w:jc w:val="both"/>
              <w:rPr>
                <w:rFonts w:hint="default" w:ascii="Times New Roman" w:hAnsi="Times New Roman" w:cs="Times New Roman"/>
                <w:color w:val="auto"/>
                <w:kern w:val="0"/>
                <w:sz w:val="24"/>
                <w:highlight w:val="none"/>
              </w:rPr>
            </w:pPr>
            <w:r>
              <w:rPr>
                <w:rFonts w:hint="default" w:ascii="Times New Roman" w:hAnsi="Times New Roman" w:cs="Times New Roman"/>
                <w:b/>
                <w:color w:val="auto"/>
                <w:sz w:val="24"/>
                <w:highlight w:val="none"/>
              </w:rPr>
              <w:t>五、相关</w:t>
            </w:r>
            <w:r>
              <w:rPr>
                <w:rFonts w:hint="default" w:ascii="Times New Roman" w:hAnsi="Times New Roman" w:cs="Times New Roman"/>
                <w:b/>
                <w:color w:val="auto"/>
                <w:sz w:val="24"/>
                <w:highlight w:val="none"/>
                <w:lang w:val="en-US"/>
              </w:rPr>
              <w:t>法律、法规及政策</w:t>
            </w:r>
            <w:r>
              <w:rPr>
                <w:rFonts w:hint="default" w:ascii="Times New Roman" w:hAnsi="Times New Roman" w:cs="Times New Roman"/>
                <w:b/>
                <w:color w:val="auto"/>
                <w:sz w:val="24"/>
                <w:highlight w:val="none"/>
              </w:rPr>
              <w:t>符合性分析</w:t>
            </w:r>
          </w:p>
          <w:p w14:paraId="4068B7DF">
            <w:pPr>
              <w:ind w:firstLine="482"/>
              <w:jc w:val="left"/>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1、与《云南省人民政府关于促进非煤矿山转型升级的实施意见》（云政发〔2015〕38号）符合性分析</w:t>
            </w:r>
          </w:p>
          <w:p w14:paraId="0C62B98F">
            <w:pPr>
              <w:ind w:firstLine="480"/>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本项目属于</w:t>
            </w:r>
            <w:r>
              <w:rPr>
                <w:rFonts w:hint="default" w:ascii="Times New Roman" w:hAnsi="Times New Roman" w:cs="Times New Roman"/>
                <w:bCs/>
                <w:color w:val="auto"/>
                <w:highlight w:val="none"/>
                <w:lang w:val="en-US" w:eastAsia="zh-CN"/>
              </w:rPr>
              <w:t>现有</w:t>
            </w:r>
            <w:r>
              <w:rPr>
                <w:rFonts w:hint="default" w:ascii="Times New Roman" w:hAnsi="Times New Roman" w:cs="Times New Roman"/>
                <w:bCs/>
                <w:color w:val="auto"/>
                <w:highlight w:val="none"/>
              </w:rPr>
              <w:t>矿山</w:t>
            </w:r>
            <w:r>
              <w:rPr>
                <w:rFonts w:hint="default" w:ascii="Times New Roman" w:hAnsi="Times New Roman" w:cs="Times New Roman"/>
                <w:bCs/>
                <w:color w:val="auto"/>
                <w:highlight w:val="none"/>
                <w:lang w:val="en-US" w:eastAsia="zh-CN"/>
              </w:rPr>
              <w:t>扩建</w:t>
            </w:r>
            <w:r>
              <w:rPr>
                <w:rFonts w:hint="default" w:ascii="Times New Roman" w:hAnsi="Times New Roman" w:cs="Times New Roman"/>
                <w:bCs/>
                <w:color w:val="auto"/>
                <w:highlight w:val="none"/>
              </w:rPr>
              <w:t>，2015年5月29日，云南省人民政府下发了《云南省人民政府关于促进非煤矿山转型升级的实施意见》（云政发〔2015〕38号），本项目与云政发〔2015〕38号文件相关要求符合性分析见下表1-</w:t>
            </w:r>
            <w:r>
              <w:rPr>
                <w:rFonts w:hint="default" w:ascii="Times New Roman" w:hAnsi="Times New Roman" w:cs="Times New Roman"/>
                <w:bCs/>
                <w:color w:val="auto"/>
                <w:highlight w:val="none"/>
                <w:lang w:val="en-US" w:eastAsia="zh-CN"/>
              </w:rPr>
              <w:t>9</w:t>
            </w:r>
            <w:r>
              <w:rPr>
                <w:rFonts w:hint="default" w:ascii="Times New Roman" w:hAnsi="Times New Roman" w:cs="Times New Roman"/>
                <w:bCs/>
                <w:color w:val="auto"/>
                <w:highlight w:val="none"/>
              </w:rPr>
              <w:t>所示。</w:t>
            </w:r>
          </w:p>
          <w:p w14:paraId="42756ABB">
            <w:pPr>
              <w:widowControl/>
              <w:topLinePunct/>
              <w:adjustRightInd w:val="0"/>
              <w:spacing w:line="240" w:lineRule="auto"/>
              <w:ind w:firstLine="0" w:firstLineChars="0"/>
              <w:jc w:val="center"/>
              <w:textAlignment w:val="baseline"/>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表1-</w:t>
            </w:r>
            <w:r>
              <w:rPr>
                <w:rFonts w:hint="default" w:ascii="Times New Roman" w:hAnsi="Times New Roman" w:cs="Times New Roman"/>
                <w:b/>
                <w:bCs/>
                <w:snapToGrid w:val="0"/>
                <w:color w:val="auto"/>
                <w:kern w:val="0"/>
                <w:sz w:val="21"/>
                <w:szCs w:val="21"/>
                <w:highlight w:val="none"/>
                <w:lang w:val="en-US" w:eastAsia="zh-CN"/>
              </w:rPr>
              <w:t>9</w:t>
            </w:r>
            <w:r>
              <w:rPr>
                <w:rFonts w:hint="default" w:ascii="Times New Roman" w:hAnsi="Times New Roman" w:cs="Times New Roman"/>
                <w:b/>
                <w:bCs/>
                <w:snapToGrid w:val="0"/>
                <w:color w:val="auto"/>
                <w:kern w:val="0"/>
                <w:sz w:val="21"/>
                <w:szCs w:val="21"/>
                <w:highlight w:val="none"/>
              </w:rPr>
              <w:t xml:space="preserve"> 本项目与《云南省人民政府关于促进非煤矿山转型升级的实施意见》符合性分析一览表</w:t>
            </w:r>
          </w:p>
          <w:tbl>
            <w:tblPr>
              <w:tblStyle w:val="70"/>
              <w:tblW w:w="499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3561"/>
              <w:gridCol w:w="3562"/>
              <w:gridCol w:w="658"/>
            </w:tblGrid>
            <w:tr w14:paraId="5849B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20" w:hRule="atLeast"/>
                <w:jc w:val="center"/>
              </w:trPr>
              <w:tc>
                <w:tcPr>
                  <w:tcW w:w="2288" w:type="pct"/>
                  <w:vAlign w:val="center"/>
                </w:tcPr>
                <w:p w14:paraId="2D8C6239">
                  <w:pPr>
                    <w:pStyle w:val="49"/>
                    <w:jc w:val="center"/>
                    <w:rPr>
                      <w:rFonts w:hint="default" w:ascii="Times New Roman" w:hAnsi="Times New Roman" w:cs="Times New Roman"/>
                      <w:b/>
                      <w:bCs/>
                      <w:color w:val="auto"/>
                      <w:sz w:val="21"/>
                      <w:szCs w:val="21"/>
                      <w:highlight w:val="none"/>
                      <w:lang w:eastAsia="zh-CN"/>
                    </w:rPr>
                  </w:pPr>
                  <w:r>
                    <w:rPr>
                      <w:rFonts w:hint="default" w:ascii="Times New Roman" w:hAnsi="Times New Roman" w:cs="Times New Roman"/>
                      <w:b/>
                      <w:bCs/>
                      <w:color w:val="auto"/>
                      <w:spacing w:val="5"/>
                      <w:position w:val="2"/>
                      <w:sz w:val="21"/>
                      <w:szCs w:val="21"/>
                      <w:highlight w:val="none"/>
                      <w:lang w:eastAsia="zh-CN"/>
                    </w:rPr>
                    <w:t>云政发〔2015〕38号内容（摘录）</w:t>
                  </w:r>
                </w:p>
              </w:tc>
              <w:tc>
                <w:tcPr>
                  <w:tcW w:w="2289" w:type="pct"/>
                  <w:vAlign w:val="center"/>
                </w:tcPr>
                <w:p w14:paraId="7DA0F9D2">
                  <w:pPr>
                    <w:pStyle w:val="49"/>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pacing w:val="7"/>
                      <w:sz w:val="21"/>
                      <w:szCs w:val="21"/>
                      <w:highlight w:val="none"/>
                    </w:rPr>
                    <w:t>本项目</w:t>
                  </w:r>
                  <w:r>
                    <w:rPr>
                      <w:rFonts w:hint="default" w:ascii="Times New Roman" w:hAnsi="Times New Roman" w:cs="Times New Roman"/>
                      <w:b/>
                      <w:bCs/>
                      <w:color w:val="auto"/>
                      <w:spacing w:val="7"/>
                      <w:sz w:val="21"/>
                      <w:szCs w:val="21"/>
                      <w:highlight w:val="none"/>
                      <w:lang w:eastAsia="zh-CN"/>
                    </w:rPr>
                    <w:t>情况</w:t>
                  </w:r>
                </w:p>
              </w:tc>
              <w:tc>
                <w:tcPr>
                  <w:tcW w:w="422" w:type="pct"/>
                  <w:vAlign w:val="center"/>
                </w:tcPr>
                <w:p w14:paraId="239CFAAE">
                  <w:pPr>
                    <w:pStyle w:val="49"/>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pacing w:val="6"/>
                      <w:sz w:val="21"/>
                      <w:szCs w:val="21"/>
                      <w:highlight w:val="none"/>
                      <w:lang w:eastAsia="zh-CN"/>
                    </w:rPr>
                    <w:t>符合性</w:t>
                  </w:r>
                </w:p>
              </w:tc>
            </w:tr>
            <w:tr w14:paraId="7B5FD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20" w:hRule="atLeast"/>
                <w:jc w:val="center"/>
              </w:trPr>
              <w:tc>
                <w:tcPr>
                  <w:tcW w:w="5000" w:type="pct"/>
                  <w:gridSpan w:val="3"/>
                  <w:vAlign w:val="center"/>
                </w:tcPr>
                <w:p w14:paraId="1ECEB76F">
                  <w:pPr>
                    <w:pStyle w:val="49"/>
                    <w:rPr>
                      <w:rFonts w:hint="default" w:ascii="Times New Roman" w:hAnsi="Times New Roman" w:cs="Times New Roman"/>
                      <w:b/>
                      <w:bCs/>
                      <w:color w:val="auto"/>
                      <w:spacing w:val="6"/>
                      <w:sz w:val="21"/>
                      <w:szCs w:val="21"/>
                      <w:highlight w:val="none"/>
                      <w:lang w:eastAsia="zh-CN"/>
                    </w:rPr>
                  </w:pPr>
                  <w:r>
                    <w:rPr>
                      <w:rFonts w:hint="default" w:ascii="Times New Roman" w:hAnsi="Times New Roman" w:cs="Times New Roman"/>
                      <w:b/>
                      <w:bCs/>
                      <w:color w:val="auto"/>
                      <w:spacing w:val="5"/>
                      <w:position w:val="2"/>
                      <w:sz w:val="21"/>
                      <w:szCs w:val="21"/>
                      <w:highlight w:val="none"/>
                      <w:lang w:eastAsia="zh-CN"/>
                    </w:rPr>
                    <w:t>（一）严格新建非煤矿山准入标准</w:t>
                  </w:r>
                </w:p>
              </w:tc>
            </w:tr>
            <w:tr w14:paraId="5F249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760" w:hRule="atLeast"/>
                <w:jc w:val="center"/>
              </w:trPr>
              <w:tc>
                <w:tcPr>
                  <w:tcW w:w="2288" w:type="pct"/>
                  <w:vAlign w:val="center"/>
                </w:tcPr>
                <w:p w14:paraId="27A045B6">
                  <w:pPr>
                    <w:pStyle w:val="49"/>
                    <w:rPr>
                      <w:rFonts w:hint="default" w:ascii="Times New Roman" w:hAnsi="Times New Roman" w:eastAsia="宋体" w:cs="Times New Roman"/>
                      <w:color w:val="auto"/>
                      <w:spacing w:val="8"/>
                      <w:sz w:val="21"/>
                      <w:szCs w:val="21"/>
                      <w:highlight w:val="none"/>
                      <w:lang w:eastAsia="zh-CN"/>
                    </w:rPr>
                  </w:pPr>
                  <w:r>
                    <w:rPr>
                      <w:rFonts w:hint="default" w:ascii="Times New Roman" w:hAnsi="Times New Roman" w:eastAsia="宋体" w:cs="Times New Roman"/>
                      <w:color w:val="auto"/>
                      <w:spacing w:val="8"/>
                      <w:sz w:val="21"/>
                      <w:szCs w:val="21"/>
                      <w:highlight w:val="none"/>
                      <w:lang w:eastAsia="zh-CN"/>
                    </w:rPr>
                    <w:t>1.新建非煤矿山项目存在下列情形之一的，各地、有关部门一律不予批准：</w:t>
                  </w:r>
                </w:p>
                <w:p w14:paraId="4A9F318E">
                  <w:pPr>
                    <w:pStyle w:val="49"/>
                    <w:rPr>
                      <w:rFonts w:hint="default" w:ascii="Times New Roman" w:hAnsi="Times New Roman" w:eastAsia="宋体" w:cs="Times New Roman"/>
                      <w:color w:val="auto"/>
                      <w:spacing w:val="8"/>
                      <w:sz w:val="21"/>
                      <w:szCs w:val="21"/>
                      <w:highlight w:val="none"/>
                      <w:lang w:eastAsia="zh-CN"/>
                    </w:rPr>
                  </w:pPr>
                  <w:r>
                    <w:rPr>
                      <w:rFonts w:hint="default" w:ascii="Times New Roman" w:hAnsi="Times New Roman" w:eastAsia="宋体" w:cs="Times New Roman"/>
                      <w:color w:val="auto"/>
                      <w:spacing w:val="8"/>
                      <w:sz w:val="21"/>
                      <w:szCs w:val="21"/>
                      <w:highlight w:val="none"/>
                      <w:lang w:eastAsia="zh-CN"/>
                    </w:rPr>
                    <w:t>（1）生产建设规模和服务年限低于《云南省非煤矿山最小开采规模和最低服务年限标准》（见附件，以下简称标准）规定的；（2）与铁路、高等级公路、石油天然气输送管道和高压输电线路等重要设施的安全距离不能满足有关法律法规规定的，矿山申请划定的矿区范围与周边毗邻的采矿权间距不满足设计规范规定保留安全间距要求的；（3）位于国家划定的自然保护区、重要风景区，国家重点保护的不能移动的历史文物和名胜古迹所在地等区域，以及位于重要城镇、城市面山的；（4）露天采石（砂）场矿界与村庄的距离小于500米，矿界与矿界之间安全距离小于300米，2个以上（含2个）露天采石（砂）场开采同一独立山头，难以实现自上而下分台阶（层）开采，位于铁路、高速公路、国道、省道等重要交通干线和重要旅游线路两侧可视范围内的（本文印发之前已取得合法探矿权的除外）；（5）未达到法律法规规定的其他情形的。</w:t>
                  </w:r>
                </w:p>
              </w:tc>
              <w:tc>
                <w:tcPr>
                  <w:tcW w:w="2289" w:type="pct"/>
                  <w:vAlign w:val="center"/>
                </w:tcPr>
                <w:p w14:paraId="583CF7A4">
                  <w:pPr>
                    <w:pStyle w:val="49"/>
                    <w:rPr>
                      <w:rFonts w:hint="default" w:ascii="Times New Roman" w:hAnsi="Times New Roman" w:eastAsia="宋体" w:cs="Times New Roman"/>
                      <w:color w:val="auto"/>
                      <w:spacing w:val="8"/>
                      <w:sz w:val="21"/>
                      <w:szCs w:val="21"/>
                      <w:highlight w:val="none"/>
                      <w:lang w:val="en-US" w:eastAsia="zh-CN"/>
                    </w:rPr>
                  </w:pPr>
                  <w:r>
                    <w:rPr>
                      <w:rFonts w:hint="default" w:ascii="Times New Roman" w:hAnsi="Times New Roman" w:eastAsia="宋体" w:cs="Times New Roman"/>
                      <w:color w:val="auto"/>
                      <w:spacing w:val="8"/>
                      <w:sz w:val="21"/>
                      <w:szCs w:val="21"/>
                      <w:highlight w:val="none"/>
                      <w:lang w:eastAsia="zh-CN"/>
                    </w:rPr>
                    <w:t>（</w:t>
                  </w:r>
                  <w:r>
                    <w:rPr>
                      <w:rFonts w:hint="default" w:ascii="Times New Roman" w:hAnsi="Times New Roman" w:eastAsia="宋体" w:cs="Times New Roman"/>
                      <w:color w:val="auto"/>
                      <w:spacing w:val="8"/>
                      <w:sz w:val="21"/>
                      <w:szCs w:val="21"/>
                      <w:highlight w:val="none"/>
                      <w:lang w:val="en-US" w:eastAsia="zh-CN"/>
                    </w:rPr>
                    <w:t>1</w:t>
                  </w:r>
                  <w:r>
                    <w:rPr>
                      <w:rFonts w:hint="default" w:ascii="Times New Roman" w:hAnsi="Times New Roman" w:eastAsia="宋体" w:cs="Times New Roman"/>
                      <w:color w:val="auto"/>
                      <w:spacing w:val="8"/>
                      <w:sz w:val="21"/>
                      <w:szCs w:val="21"/>
                      <w:highlight w:val="none"/>
                      <w:lang w:eastAsia="zh-CN"/>
                    </w:rPr>
                    <w:t>）本项目属于普通建筑材料用砂岩矿露天开采，为扩建矿山，建成后开采规模为</w:t>
                  </w:r>
                  <w:r>
                    <w:rPr>
                      <w:rFonts w:hint="default" w:ascii="Times New Roman" w:hAnsi="Times New Roman" w:eastAsia="宋体" w:cs="Times New Roman"/>
                      <w:color w:val="auto"/>
                      <w:spacing w:val="8"/>
                      <w:sz w:val="21"/>
                      <w:szCs w:val="21"/>
                      <w:highlight w:val="none"/>
                      <w:lang w:val="en-US" w:eastAsia="zh-CN"/>
                    </w:rPr>
                    <w:t>50</w:t>
                  </w:r>
                  <w:r>
                    <w:rPr>
                      <w:rFonts w:hint="default" w:ascii="Times New Roman" w:hAnsi="Times New Roman" w:eastAsia="宋体" w:cs="Times New Roman"/>
                      <w:color w:val="auto"/>
                      <w:spacing w:val="8"/>
                      <w:sz w:val="21"/>
                      <w:szCs w:val="21"/>
                      <w:highlight w:val="none"/>
                      <w:lang w:eastAsia="zh-CN"/>
                    </w:rPr>
                    <w:t>万吨/年，满足《云南省非煤矿山最小开采规模和最低服务年限标准》规定：</w:t>
                  </w:r>
                  <w:r>
                    <w:rPr>
                      <w:rFonts w:hint="default" w:ascii="Times New Roman" w:hAnsi="Times New Roman" w:cs="Times New Roman"/>
                      <w:color w:val="auto"/>
                      <w:kern w:val="0"/>
                      <w:sz w:val="21"/>
                      <w:szCs w:val="21"/>
                      <w:lang w:bidi="ar"/>
                    </w:rPr>
                    <w:t>新建、改建、扩建、整合重组矿山最小开采规模≥30t/a，露天开采矿山最低服务年限为6年</w:t>
                  </w:r>
                  <w:r>
                    <w:rPr>
                      <w:rFonts w:hint="default" w:ascii="Times New Roman" w:hAnsi="Times New Roman" w:eastAsia="宋体" w:cs="Times New Roman"/>
                      <w:color w:val="auto"/>
                      <w:spacing w:val="8"/>
                      <w:sz w:val="21"/>
                      <w:szCs w:val="21"/>
                      <w:highlight w:val="none"/>
                      <w:lang w:eastAsia="zh-CN"/>
                    </w:rPr>
                    <w:t>。</w:t>
                  </w:r>
                  <w:r>
                    <w:rPr>
                      <w:rFonts w:hint="default" w:ascii="Times New Roman" w:hAnsi="Times New Roman" w:eastAsia="宋体" w:cs="Times New Roman"/>
                      <w:color w:val="auto"/>
                      <w:spacing w:val="8"/>
                      <w:sz w:val="21"/>
                      <w:szCs w:val="21"/>
                      <w:highlight w:val="none"/>
                      <w:lang w:val="en-US" w:eastAsia="zh-CN"/>
                    </w:rPr>
                    <w:t>昆明达泽商贸有限公司于2021年3月29日取得寻甸回族彝族自治县自然资源局颁发的采矿许可证，证号；C5301292021037100151679，</w:t>
                  </w:r>
                  <w:r>
                    <w:rPr>
                      <w:rFonts w:hint="default" w:ascii="Times New Roman" w:hAnsi="Times New Roman" w:cs="Times New Roman"/>
                      <w:color w:val="auto"/>
                      <w:spacing w:val="8"/>
                      <w:sz w:val="21"/>
                      <w:szCs w:val="21"/>
                      <w:highlight w:val="none"/>
                      <w:lang w:val="en-US" w:eastAsia="zh-CN"/>
                    </w:rPr>
                    <w:t>开采规模为10万</w:t>
                  </w:r>
                  <w:r>
                    <w:rPr>
                      <w:rFonts w:hint="default" w:ascii="Times New Roman" w:hAnsi="Times New Roman" w:eastAsia="宋体" w:cs="Times New Roman"/>
                      <w:color w:val="auto"/>
                      <w:spacing w:val="8"/>
                      <w:sz w:val="21"/>
                      <w:szCs w:val="21"/>
                      <w:highlight w:val="none"/>
                      <w:lang w:eastAsia="zh-CN"/>
                    </w:rPr>
                    <w:t>t/a，</w:t>
                  </w:r>
                  <w:r>
                    <w:rPr>
                      <w:rFonts w:hint="default" w:ascii="Times New Roman" w:hAnsi="Times New Roman" w:eastAsia="宋体" w:cs="Times New Roman"/>
                      <w:color w:val="auto"/>
                      <w:spacing w:val="8"/>
                      <w:sz w:val="21"/>
                      <w:szCs w:val="21"/>
                      <w:highlight w:val="none"/>
                      <w:lang w:val="en-US" w:eastAsia="zh-CN"/>
                    </w:rPr>
                    <w:t>服务年限为7年，本项目为</w:t>
                  </w:r>
                  <w:r>
                    <w:rPr>
                      <w:rFonts w:hint="default" w:ascii="Times New Roman" w:hAnsi="Times New Roman" w:cs="Times New Roman"/>
                      <w:color w:val="auto"/>
                      <w:spacing w:val="8"/>
                      <w:sz w:val="21"/>
                      <w:szCs w:val="21"/>
                      <w:highlight w:val="none"/>
                      <w:lang w:val="en-US" w:eastAsia="zh-CN"/>
                    </w:rPr>
                    <w:t>对现有矿山进行升级改造，矿权范围不变，生产规模扩大为50万t/a</w:t>
                  </w:r>
                  <w:r>
                    <w:rPr>
                      <w:rFonts w:hint="default" w:ascii="Times New Roman" w:hAnsi="Times New Roman" w:eastAsia="宋体" w:cs="Times New Roman"/>
                      <w:color w:val="auto"/>
                      <w:spacing w:val="8"/>
                      <w:sz w:val="21"/>
                      <w:szCs w:val="21"/>
                      <w:highlight w:val="none"/>
                      <w:lang w:val="en-US" w:eastAsia="zh-CN"/>
                    </w:rPr>
                    <w:t>。</w:t>
                  </w:r>
                </w:p>
                <w:p w14:paraId="0153E609">
                  <w:pPr>
                    <w:pStyle w:val="49"/>
                    <w:rPr>
                      <w:rFonts w:hint="default" w:ascii="Times New Roman" w:hAnsi="Times New Roman" w:eastAsia="宋体" w:cs="Times New Roman"/>
                      <w:color w:val="auto"/>
                      <w:spacing w:val="8"/>
                      <w:sz w:val="21"/>
                      <w:szCs w:val="21"/>
                      <w:highlight w:val="none"/>
                      <w:lang w:eastAsia="zh-CN"/>
                    </w:rPr>
                  </w:pPr>
                  <w:r>
                    <w:rPr>
                      <w:rFonts w:hint="default" w:ascii="Times New Roman" w:hAnsi="Times New Roman" w:eastAsia="宋体" w:cs="Times New Roman"/>
                      <w:color w:val="auto"/>
                      <w:spacing w:val="8"/>
                      <w:sz w:val="21"/>
                      <w:szCs w:val="21"/>
                      <w:highlight w:val="none"/>
                      <w:lang w:val="en-US" w:eastAsia="zh-CN"/>
                    </w:rPr>
                    <w:t>（2）</w:t>
                  </w:r>
                  <w:r>
                    <w:rPr>
                      <w:rFonts w:hint="default" w:ascii="Times New Roman" w:hAnsi="Times New Roman" w:eastAsia="宋体" w:cs="Times New Roman"/>
                      <w:color w:val="auto"/>
                      <w:spacing w:val="8"/>
                      <w:sz w:val="21"/>
                      <w:szCs w:val="21"/>
                      <w:highlight w:val="none"/>
                      <w:lang w:eastAsia="zh-CN"/>
                    </w:rPr>
                    <w:t>矿山周边</w:t>
                  </w:r>
                  <w:r>
                    <w:rPr>
                      <w:rFonts w:hint="default" w:ascii="Times New Roman" w:hAnsi="Times New Roman" w:eastAsia="宋体" w:cs="Times New Roman"/>
                      <w:color w:val="auto"/>
                      <w:spacing w:val="8"/>
                      <w:sz w:val="21"/>
                      <w:szCs w:val="21"/>
                      <w:highlight w:val="none"/>
                      <w:lang w:val="en-US" w:eastAsia="zh-CN"/>
                    </w:rPr>
                    <w:t>无</w:t>
                  </w:r>
                  <w:r>
                    <w:rPr>
                      <w:rFonts w:hint="default" w:ascii="Times New Roman" w:hAnsi="Times New Roman" w:eastAsia="宋体" w:cs="Times New Roman"/>
                      <w:color w:val="auto"/>
                      <w:spacing w:val="8"/>
                      <w:sz w:val="21"/>
                      <w:szCs w:val="21"/>
                      <w:highlight w:val="none"/>
                      <w:lang w:eastAsia="zh-CN"/>
                    </w:rPr>
                    <w:t>铁路、高等级公路、石油天然气输送管道和高压输电线路等重要设施，矿山周边无毗邻的采矿权。</w:t>
                  </w:r>
                </w:p>
                <w:p w14:paraId="6460444E">
                  <w:pPr>
                    <w:pStyle w:val="49"/>
                    <w:rPr>
                      <w:rFonts w:hint="default" w:ascii="Times New Roman" w:hAnsi="Times New Roman" w:eastAsia="宋体" w:cs="Times New Roman"/>
                      <w:color w:val="auto"/>
                      <w:spacing w:val="8"/>
                      <w:sz w:val="21"/>
                      <w:szCs w:val="21"/>
                      <w:highlight w:val="none"/>
                      <w:lang w:eastAsia="zh-CN"/>
                    </w:rPr>
                  </w:pPr>
                  <w:r>
                    <w:rPr>
                      <w:rFonts w:hint="default" w:ascii="Times New Roman" w:hAnsi="Times New Roman" w:eastAsia="宋体" w:cs="Times New Roman"/>
                      <w:color w:val="auto"/>
                      <w:spacing w:val="8"/>
                      <w:sz w:val="21"/>
                      <w:szCs w:val="21"/>
                      <w:highlight w:val="none"/>
                      <w:lang w:eastAsia="zh-CN"/>
                    </w:rPr>
                    <w:t>（</w:t>
                  </w:r>
                  <w:r>
                    <w:rPr>
                      <w:rFonts w:hint="default" w:ascii="Times New Roman" w:hAnsi="Times New Roman" w:eastAsia="宋体" w:cs="Times New Roman"/>
                      <w:color w:val="auto"/>
                      <w:spacing w:val="8"/>
                      <w:sz w:val="21"/>
                      <w:szCs w:val="21"/>
                      <w:highlight w:val="none"/>
                      <w:lang w:val="en-US" w:eastAsia="zh-CN"/>
                    </w:rPr>
                    <w:t>3</w:t>
                  </w:r>
                  <w:r>
                    <w:rPr>
                      <w:rFonts w:hint="default" w:ascii="Times New Roman" w:hAnsi="Times New Roman" w:eastAsia="宋体" w:cs="Times New Roman"/>
                      <w:color w:val="auto"/>
                      <w:spacing w:val="8"/>
                      <w:sz w:val="21"/>
                      <w:szCs w:val="21"/>
                      <w:highlight w:val="none"/>
                      <w:lang w:eastAsia="zh-CN"/>
                    </w:rPr>
                    <w:t>）</w:t>
                  </w:r>
                  <w:r>
                    <w:rPr>
                      <w:rFonts w:hint="default" w:ascii="Times New Roman" w:hAnsi="Times New Roman" w:cs="Times New Roman"/>
                      <w:color w:val="auto"/>
                      <w:spacing w:val="8"/>
                      <w:sz w:val="21"/>
                      <w:szCs w:val="21"/>
                      <w:highlight w:val="none"/>
                      <w:lang w:val="en-US" w:eastAsia="zh-CN"/>
                    </w:rPr>
                    <w:t>根据《寻甸回族彝族自治县自然资源局关于云南省寻甸县柯渡黄龙塘普通建筑材料用砂岩矿采矿权新立联勘联审及相关规划等有关情况审查意见》（附件9）</w:t>
                  </w:r>
                  <w:r>
                    <w:rPr>
                      <w:rFonts w:hint="default" w:ascii="Times New Roman" w:hAnsi="Times New Roman" w:eastAsia="宋体" w:cs="Times New Roman"/>
                      <w:color w:val="auto"/>
                      <w:spacing w:val="8"/>
                      <w:sz w:val="21"/>
                      <w:szCs w:val="21"/>
                      <w:highlight w:val="none"/>
                      <w:lang w:eastAsia="zh-CN"/>
                    </w:rPr>
                    <w:t>项目不在国家划定的自然保护区、重要风景区、国家重点保护的不能移动的历史文物和名胜古迹所在地等区域，不在重要城镇、城市面山区域内。</w:t>
                  </w:r>
                </w:p>
                <w:p w14:paraId="35F52D5D">
                  <w:pPr>
                    <w:pStyle w:val="49"/>
                    <w:rPr>
                      <w:rFonts w:hint="default" w:ascii="Times New Roman" w:hAnsi="Times New Roman" w:eastAsia="宋体" w:cs="Times New Roman"/>
                      <w:color w:val="auto"/>
                      <w:spacing w:val="8"/>
                      <w:sz w:val="21"/>
                      <w:szCs w:val="21"/>
                      <w:highlight w:val="none"/>
                      <w:lang w:eastAsia="zh-CN"/>
                    </w:rPr>
                  </w:pPr>
                  <w:r>
                    <w:rPr>
                      <w:rFonts w:hint="default" w:ascii="Times New Roman" w:hAnsi="Times New Roman" w:eastAsia="宋体" w:cs="Times New Roman"/>
                      <w:color w:val="auto"/>
                      <w:spacing w:val="8"/>
                      <w:sz w:val="21"/>
                      <w:szCs w:val="21"/>
                      <w:highlight w:val="none"/>
                      <w:lang w:eastAsia="zh-CN"/>
                    </w:rPr>
                    <w:t>（</w:t>
                  </w:r>
                  <w:r>
                    <w:rPr>
                      <w:rFonts w:hint="default" w:ascii="Times New Roman" w:hAnsi="Times New Roman" w:eastAsia="宋体" w:cs="Times New Roman"/>
                      <w:color w:val="auto"/>
                      <w:spacing w:val="8"/>
                      <w:sz w:val="21"/>
                      <w:szCs w:val="21"/>
                      <w:highlight w:val="none"/>
                      <w:lang w:val="en-US" w:eastAsia="zh-CN"/>
                    </w:rPr>
                    <w:t>4</w:t>
                  </w:r>
                  <w:r>
                    <w:rPr>
                      <w:rFonts w:hint="default" w:ascii="Times New Roman" w:hAnsi="Times New Roman" w:eastAsia="宋体" w:cs="Times New Roman"/>
                      <w:color w:val="auto"/>
                      <w:spacing w:val="8"/>
                      <w:sz w:val="21"/>
                      <w:szCs w:val="21"/>
                      <w:highlight w:val="none"/>
                      <w:lang w:eastAsia="zh-CN"/>
                    </w:rPr>
                    <w:t>）</w:t>
                  </w:r>
                  <w:r>
                    <w:rPr>
                      <w:rFonts w:hint="default" w:ascii="Times New Roman" w:hAnsi="Times New Roman" w:eastAsia="宋体" w:cs="Times New Roman"/>
                      <w:color w:val="auto"/>
                      <w:spacing w:val="8"/>
                      <w:sz w:val="21"/>
                      <w:szCs w:val="21"/>
                      <w:highlight w:val="none"/>
                      <w:lang w:val="en-US" w:eastAsia="zh-CN"/>
                    </w:rPr>
                    <w:t>项目</w:t>
                  </w:r>
                  <w:r>
                    <w:rPr>
                      <w:rFonts w:hint="default" w:ascii="Times New Roman" w:hAnsi="Times New Roman" w:eastAsia="宋体" w:cs="Times New Roman"/>
                      <w:color w:val="auto"/>
                      <w:spacing w:val="8"/>
                      <w:sz w:val="21"/>
                      <w:szCs w:val="21"/>
                      <w:highlight w:val="none"/>
                      <w:lang w:eastAsia="zh-CN"/>
                    </w:rPr>
                    <w:t>矿界外500m范围内</w:t>
                  </w:r>
                  <w:r>
                    <w:rPr>
                      <w:rFonts w:hint="default" w:ascii="Times New Roman" w:hAnsi="Times New Roman" w:eastAsia="宋体" w:cs="Times New Roman"/>
                      <w:color w:val="auto"/>
                      <w:spacing w:val="8"/>
                      <w:sz w:val="21"/>
                      <w:szCs w:val="21"/>
                      <w:highlight w:val="none"/>
                      <w:lang w:val="en-US" w:eastAsia="zh-CN"/>
                    </w:rPr>
                    <w:t>无村庄居民，</w:t>
                  </w:r>
                  <w:r>
                    <w:rPr>
                      <w:rFonts w:hint="default" w:ascii="Times New Roman" w:hAnsi="Times New Roman" w:cs="Times New Roman"/>
                      <w:color w:val="auto"/>
                      <w:spacing w:val="8"/>
                      <w:sz w:val="21"/>
                      <w:szCs w:val="21"/>
                      <w:highlight w:val="none"/>
                      <w:lang w:val="en-US" w:eastAsia="zh-CN"/>
                    </w:rPr>
                    <w:t>项目矿界北侧直线距离约670m处为稗子田村；</w:t>
                  </w:r>
                  <w:r>
                    <w:rPr>
                      <w:rFonts w:hint="default" w:ascii="Times New Roman" w:hAnsi="Times New Roman" w:eastAsia="宋体" w:cs="Times New Roman"/>
                      <w:color w:val="auto"/>
                      <w:spacing w:val="8"/>
                      <w:sz w:val="21"/>
                      <w:szCs w:val="21"/>
                      <w:highlight w:val="none"/>
                      <w:lang w:eastAsia="zh-CN"/>
                    </w:rPr>
                    <w:t>矿界外</w:t>
                  </w:r>
                  <w:r>
                    <w:rPr>
                      <w:rFonts w:hint="default" w:ascii="Times New Roman" w:hAnsi="Times New Roman" w:eastAsia="宋体" w:cs="Times New Roman"/>
                      <w:color w:val="auto"/>
                      <w:spacing w:val="8"/>
                      <w:sz w:val="21"/>
                      <w:szCs w:val="21"/>
                      <w:highlight w:val="none"/>
                      <w:lang w:val="en-US" w:eastAsia="zh-CN"/>
                    </w:rPr>
                    <w:t>3</w:t>
                  </w:r>
                  <w:r>
                    <w:rPr>
                      <w:rFonts w:hint="default" w:ascii="Times New Roman" w:hAnsi="Times New Roman" w:eastAsia="宋体" w:cs="Times New Roman"/>
                      <w:color w:val="auto"/>
                      <w:spacing w:val="8"/>
                      <w:sz w:val="21"/>
                      <w:szCs w:val="21"/>
                      <w:highlight w:val="none"/>
                      <w:lang w:eastAsia="zh-CN"/>
                    </w:rPr>
                    <w:t>00m范围内</w:t>
                  </w:r>
                  <w:r>
                    <w:rPr>
                      <w:rFonts w:hint="default" w:ascii="Times New Roman" w:hAnsi="Times New Roman" w:eastAsia="宋体" w:cs="Times New Roman"/>
                      <w:color w:val="auto"/>
                      <w:spacing w:val="8"/>
                      <w:sz w:val="21"/>
                      <w:szCs w:val="21"/>
                      <w:highlight w:val="none"/>
                      <w:lang w:val="en-US" w:eastAsia="zh-CN"/>
                    </w:rPr>
                    <w:t>无其他矿权</w:t>
                  </w:r>
                  <w:r>
                    <w:rPr>
                      <w:rFonts w:hint="default" w:ascii="Times New Roman" w:hAnsi="Times New Roman" w:cs="Times New Roman"/>
                      <w:color w:val="auto"/>
                      <w:spacing w:val="8"/>
                      <w:sz w:val="21"/>
                      <w:szCs w:val="21"/>
                      <w:highlight w:val="none"/>
                      <w:lang w:val="en-US" w:eastAsia="zh-CN"/>
                    </w:rPr>
                    <w:t>；</w:t>
                  </w:r>
                  <w:r>
                    <w:rPr>
                      <w:rFonts w:hint="default" w:ascii="Times New Roman" w:hAnsi="Times New Roman" w:cs="Times New Roman"/>
                      <w:caps w:val="0"/>
                      <w:smallCaps w:val="0"/>
                      <w:color w:val="auto"/>
                      <w:sz w:val="21"/>
                      <w:szCs w:val="21"/>
                      <w:highlight w:val="none"/>
                      <w:lang w:val="en-US" w:eastAsia="zh-CN"/>
                    </w:rPr>
                    <w:t>项目西侧直线距离约585.5m处为S101省道，存在海拔差且有山体和林木的遮挡，故</w:t>
                  </w:r>
                  <w:r>
                    <w:rPr>
                      <w:rFonts w:hint="default" w:ascii="Times New Roman" w:hAnsi="Times New Roman" w:eastAsia="宋体" w:cs="Times New Roman"/>
                      <w:color w:val="auto"/>
                      <w:spacing w:val="8"/>
                      <w:sz w:val="21"/>
                      <w:szCs w:val="21"/>
                      <w:highlight w:val="none"/>
                      <w:lang w:eastAsia="zh-CN"/>
                    </w:rPr>
                    <w:t>矿山不位于铁路、高速公路、国道、省道等重要交通干线和重要旅游线路两侧可视范围内。</w:t>
                  </w:r>
                </w:p>
              </w:tc>
              <w:tc>
                <w:tcPr>
                  <w:tcW w:w="422" w:type="pct"/>
                  <w:vAlign w:val="center"/>
                </w:tcPr>
                <w:p w14:paraId="19DA1A03">
                  <w:pPr>
                    <w:pStyle w:val="49"/>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3"/>
                      <w:sz w:val="21"/>
                      <w:szCs w:val="21"/>
                      <w:highlight w:val="none"/>
                      <w:lang w:eastAsia="zh-CN"/>
                    </w:rPr>
                    <w:t>符合</w:t>
                  </w:r>
                </w:p>
              </w:tc>
            </w:tr>
            <w:tr w14:paraId="208B7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895" w:hRule="atLeast"/>
                <w:jc w:val="center"/>
              </w:trPr>
              <w:tc>
                <w:tcPr>
                  <w:tcW w:w="2288" w:type="pct"/>
                  <w:vAlign w:val="center"/>
                </w:tcPr>
                <w:p w14:paraId="19684B13">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8"/>
                      <w:sz w:val="21"/>
                      <w:szCs w:val="21"/>
                      <w:highlight w:val="none"/>
                      <w:lang w:eastAsia="zh-CN"/>
                    </w:rPr>
                  </w:pPr>
                  <w:r>
                    <w:rPr>
                      <w:rFonts w:hint="default" w:ascii="Times New Roman" w:hAnsi="Times New Roman" w:cs="Times New Roman"/>
                      <w:color w:val="auto"/>
                      <w:kern w:val="0"/>
                      <w:sz w:val="21"/>
                      <w:szCs w:val="21"/>
                      <w:highlight w:val="none"/>
                      <w:lang w:eastAsia="zh-CN"/>
                    </w:rPr>
                    <w:t>3.采矿权新立、扩大、缩小、变更，应通过同级有关主管部门安全条件初步审查和环境影响评价。</w:t>
                  </w:r>
                </w:p>
              </w:tc>
              <w:tc>
                <w:tcPr>
                  <w:tcW w:w="2289" w:type="pct"/>
                  <w:vAlign w:val="center"/>
                </w:tcPr>
                <w:p w14:paraId="5114E168">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6"/>
                      <w:sz w:val="21"/>
                      <w:szCs w:val="21"/>
                      <w:highlight w:val="none"/>
                      <w:lang w:eastAsia="zh-CN"/>
                    </w:rPr>
                  </w:pPr>
                  <w:r>
                    <w:rPr>
                      <w:rFonts w:hint="default" w:ascii="Times New Roman" w:hAnsi="Times New Roman" w:cs="Times New Roman"/>
                      <w:color w:val="auto"/>
                      <w:kern w:val="0"/>
                      <w:sz w:val="21"/>
                      <w:szCs w:val="21"/>
                      <w:highlight w:val="none"/>
                      <w:lang w:eastAsia="zh-CN"/>
                    </w:rPr>
                    <w:t>本项目采矿权</w:t>
                  </w:r>
                  <w:r>
                    <w:rPr>
                      <w:rFonts w:hint="default" w:ascii="Times New Roman" w:hAnsi="Times New Roman" w:cs="Times New Roman"/>
                      <w:color w:val="auto"/>
                      <w:kern w:val="0"/>
                      <w:sz w:val="21"/>
                      <w:szCs w:val="21"/>
                      <w:highlight w:val="none"/>
                      <w:lang w:val="en-US" w:eastAsia="zh-CN"/>
                    </w:rPr>
                    <w:t>范围不变</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开采规模由</w:t>
                  </w:r>
                  <w:r>
                    <w:rPr>
                      <w:rFonts w:hint="default" w:ascii="Times New Roman" w:hAnsi="Times New Roman" w:cs="Times New Roman"/>
                      <w:color w:val="auto"/>
                      <w:sz w:val="21"/>
                      <w:szCs w:val="21"/>
                      <w:highlight w:val="none"/>
                      <w:lang w:val="en-US" w:eastAsia="zh-CN"/>
                    </w:rPr>
                    <w:t>10万</w:t>
                  </w:r>
                  <w:r>
                    <w:rPr>
                      <w:rFonts w:hint="default" w:ascii="Times New Roman" w:hAnsi="Times New Roman" w:cs="Times New Roman"/>
                      <w:color w:val="auto"/>
                      <w:spacing w:val="9"/>
                      <w:sz w:val="21"/>
                      <w:szCs w:val="21"/>
                      <w:highlight w:val="none"/>
                      <w:lang w:eastAsia="zh-CN"/>
                    </w:rPr>
                    <w:t>t/a</w:t>
                  </w:r>
                  <w:r>
                    <w:rPr>
                      <w:rFonts w:hint="default" w:ascii="Times New Roman" w:hAnsi="Times New Roman" w:cs="Times New Roman"/>
                      <w:color w:val="auto"/>
                      <w:kern w:val="0"/>
                      <w:sz w:val="21"/>
                      <w:szCs w:val="21"/>
                      <w:highlight w:val="none"/>
                      <w:lang w:val="en-US" w:eastAsia="zh-CN"/>
                    </w:rPr>
                    <w:t>变大为50万t/a，</w:t>
                  </w:r>
                  <w:r>
                    <w:rPr>
                      <w:rFonts w:hint="default" w:ascii="Times New Roman" w:hAnsi="Times New Roman" w:cs="Times New Roman"/>
                      <w:color w:val="auto"/>
                      <w:kern w:val="0"/>
                      <w:sz w:val="21"/>
                      <w:szCs w:val="21"/>
                      <w:highlight w:val="none"/>
                      <w:lang w:eastAsia="zh-CN"/>
                    </w:rPr>
                    <w:t>已进行安全设施设计并已取得安全设施设计审查意见，目前正在进行环境影响评价工作。</w:t>
                  </w:r>
                </w:p>
              </w:tc>
              <w:tc>
                <w:tcPr>
                  <w:tcW w:w="422" w:type="pct"/>
                  <w:vAlign w:val="center"/>
                </w:tcPr>
                <w:p w14:paraId="291833E4">
                  <w:pPr>
                    <w:pStyle w:val="49"/>
                    <w:jc w:val="center"/>
                    <w:rPr>
                      <w:rFonts w:hint="default" w:ascii="Times New Roman" w:hAnsi="Times New Roman" w:cs="Times New Roman"/>
                      <w:color w:val="auto"/>
                      <w:spacing w:val="3"/>
                      <w:sz w:val="21"/>
                      <w:szCs w:val="21"/>
                      <w:highlight w:val="none"/>
                      <w:lang w:eastAsia="zh-CN"/>
                    </w:rPr>
                  </w:pPr>
                  <w:r>
                    <w:rPr>
                      <w:rFonts w:hint="default" w:ascii="Times New Roman" w:hAnsi="Times New Roman" w:cs="Times New Roman"/>
                      <w:color w:val="auto"/>
                      <w:kern w:val="0"/>
                      <w:sz w:val="21"/>
                      <w:szCs w:val="21"/>
                      <w:highlight w:val="none"/>
                      <w:lang w:eastAsia="zh-CN"/>
                    </w:rPr>
                    <w:t>符合</w:t>
                  </w:r>
                </w:p>
              </w:tc>
            </w:tr>
            <w:tr w14:paraId="7BE6E2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69" w:hRule="atLeast"/>
                <w:jc w:val="center"/>
              </w:trPr>
              <w:tc>
                <w:tcPr>
                  <w:tcW w:w="2288" w:type="pct"/>
                </w:tcPr>
                <w:p w14:paraId="58E86E41">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kern w:val="0"/>
                      <w:sz w:val="21"/>
                      <w:szCs w:val="21"/>
                      <w:highlight w:val="none"/>
                      <w:lang w:eastAsia="zh-CN"/>
                    </w:rPr>
                  </w:pPr>
                  <w:r>
                    <w:rPr>
                      <w:rFonts w:hint="default" w:ascii="Times New Roman" w:hAnsi="Times New Roman" w:cs="Times New Roman"/>
                      <w:color w:val="auto"/>
                      <w:sz w:val="21"/>
                      <w:szCs w:val="21"/>
                      <w:highlight w:val="none"/>
                      <w:lang w:eastAsia="zh-CN"/>
                    </w:rPr>
                    <w:t>5.非煤矿山新、改、扩建项目以及对矿山进行整合，应按照国家有关规定严格履行安全设施和职业卫生“三同时”手续。严禁以探矿等名义实施采矿活动。</w:t>
                  </w:r>
                </w:p>
              </w:tc>
              <w:tc>
                <w:tcPr>
                  <w:tcW w:w="2289" w:type="pct"/>
                </w:tcPr>
                <w:p w14:paraId="67DAA919">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kern w:val="0"/>
                      <w:sz w:val="21"/>
                      <w:szCs w:val="21"/>
                      <w:highlight w:val="none"/>
                      <w:lang w:eastAsia="zh-CN"/>
                    </w:rPr>
                  </w:pPr>
                  <w:r>
                    <w:rPr>
                      <w:rFonts w:hint="default" w:ascii="Times New Roman" w:hAnsi="Times New Roman" w:cs="Times New Roman"/>
                      <w:color w:val="auto"/>
                      <w:sz w:val="21"/>
                      <w:szCs w:val="21"/>
                      <w:highlight w:val="none"/>
                      <w:lang w:eastAsia="zh-CN"/>
                    </w:rPr>
                    <w:t>本项目正在按照国家有关规定履行安全设施和职业卫生“三同时”手续，目前正在进行环境影响评价工作，拟</w:t>
                  </w:r>
                  <w:r>
                    <w:rPr>
                      <w:rFonts w:hint="default" w:ascii="Times New Roman" w:hAnsi="Times New Roman" w:cs="Times New Roman"/>
                      <w:color w:val="auto"/>
                      <w:sz w:val="21"/>
                      <w:szCs w:val="21"/>
                      <w:highlight w:val="none"/>
                      <w:lang w:val="en-US" w:eastAsia="zh-CN"/>
                    </w:rPr>
                    <w:t>扩大</w:t>
                  </w:r>
                  <w:r>
                    <w:rPr>
                      <w:rFonts w:hint="default" w:ascii="Times New Roman" w:hAnsi="Times New Roman" w:cs="Times New Roman"/>
                      <w:color w:val="auto"/>
                      <w:kern w:val="0"/>
                      <w:sz w:val="21"/>
                      <w:szCs w:val="21"/>
                      <w:highlight w:val="none"/>
                      <w:lang w:val="en-US" w:eastAsia="zh-CN"/>
                    </w:rPr>
                    <w:t>开采规模由</w:t>
                  </w:r>
                  <w:r>
                    <w:rPr>
                      <w:rFonts w:hint="default" w:ascii="Times New Roman" w:hAnsi="Times New Roman" w:cs="Times New Roman"/>
                      <w:color w:val="auto"/>
                      <w:highlight w:val="none"/>
                      <w:lang w:val="en-US" w:eastAsia="zh-CN"/>
                    </w:rPr>
                    <w:t>10万</w:t>
                  </w:r>
                  <w:r>
                    <w:rPr>
                      <w:rFonts w:hint="default" w:ascii="Times New Roman" w:hAnsi="Times New Roman" w:cs="Times New Roman"/>
                      <w:color w:val="auto"/>
                      <w:spacing w:val="9"/>
                      <w:sz w:val="21"/>
                      <w:szCs w:val="21"/>
                      <w:highlight w:val="none"/>
                      <w:lang w:eastAsia="zh-CN"/>
                    </w:rPr>
                    <w:t>t/a</w:t>
                  </w:r>
                  <w:r>
                    <w:rPr>
                      <w:rFonts w:hint="default" w:ascii="Times New Roman" w:hAnsi="Times New Roman" w:cs="Times New Roman"/>
                      <w:color w:val="auto"/>
                      <w:spacing w:val="9"/>
                      <w:sz w:val="21"/>
                      <w:szCs w:val="21"/>
                      <w:highlight w:val="none"/>
                      <w:lang w:val="en-US" w:eastAsia="zh-CN"/>
                    </w:rPr>
                    <w:t>变</w:t>
                  </w:r>
                  <w:r>
                    <w:rPr>
                      <w:rFonts w:hint="default" w:ascii="Times New Roman" w:hAnsi="Times New Roman" w:cs="Times New Roman"/>
                      <w:color w:val="auto"/>
                      <w:kern w:val="0"/>
                      <w:sz w:val="21"/>
                      <w:szCs w:val="21"/>
                      <w:highlight w:val="none"/>
                      <w:lang w:val="en-US" w:eastAsia="zh-CN"/>
                    </w:rPr>
                    <w:t>为50万t/a，</w:t>
                  </w:r>
                  <w:r>
                    <w:rPr>
                      <w:rFonts w:hint="default" w:ascii="Times New Roman" w:hAnsi="Times New Roman" w:cs="Times New Roman"/>
                      <w:color w:val="auto"/>
                      <w:sz w:val="21"/>
                      <w:szCs w:val="21"/>
                      <w:highlight w:val="none"/>
                      <w:lang w:eastAsia="zh-CN"/>
                    </w:rPr>
                    <w:t>尚未开采。</w:t>
                  </w:r>
                </w:p>
              </w:tc>
              <w:tc>
                <w:tcPr>
                  <w:tcW w:w="422" w:type="pct"/>
                  <w:vAlign w:val="center"/>
                </w:tcPr>
                <w:p w14:paraId="4A961D17">
                  <w:pPr>
                    <w:pStyle w:val="49"/>
                    <w:jc w:val="center"/>
                    <w:rPr>
                      <w:rFonts w:hint="default" w:ascii="Times New Roman" w:hAnsi="Times New Roman" w:cs="Times New Roman"/>
                      <w:color w:val="auto"/>
                      <w:kern w:val="0"/>
                      <w:sz w:val="21"/>
                      <w:szCs w:val="21"/>
                      <w:highlight w:val="none"/>
                      <w:lang w:eastAsia="zh-CN"/>
                    </w:rPr>
                  </w:pPr>
                  <w:r>
                    <w:rPr>
                      <w:rFonts w:hint="default" w:ascii="Times New Roman" w:hAnsi="Times New Roman" w:cs="Times New Roman"/>
                      <w:color w:val="auto"/>
                      <w:sz w:val="21"/>
                      <w:szCs w:val="21"/>
                      <w:highlight w:val="none"/>
                      <w:lang w:eastAsia="zh-CN"/>
                    </w:rPr>
                    <w:t>符合</w:t>
                  </w:r>
                </w:p>
              </w:tc>
            </w:tr>
            <w:tr w14:paraId="2F01E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69" w:hRule="atLeast"/>
                <w:jc w:val="center"/>
              </w:trPr>
              <w:tc>
                <w:tcPr>
                  <w:tcW w:w="5000" w:type="pct"/>
                  <w:gridSpan w:val="3"/>
                </w:tcPr>
                <w:p w14:paraId="639039AF">
                  <w:pPr>
                    <w:pStyle w:val="49"/>
                    <w:jc w:val="left"/>
                    <w:rPr>
                      <w:rFonts w:hint="default" w:ascii="Times New Roman" w:hAnsi="Times New Roman" w:cs="Times New Roman"/>
                      <w:b/>
                      <w:bCs/>
                      <w:color w:val="auto"/>
                      <w:sz w:val="21"/>
                      <w:szCs w:val="21"/>
                      <w:highlight w:val="none"/>
                      <w:lang w:eastAsia="zh-CN"/>
                    </w:rPr>
                  </w:pPr>
                  <w:r>
                    <w:rPr>
                      <w:rFonts w:hint="default" w:ascii="Times New Roman" w:hAnsi="Times New Roman" w:cs="Times New Roman"/>
                      <w:b/>
                      <w:bCs/>
                      <w:color w:val="auto"/>
                      <w:spacing w:val="8"/>
                      <w:sz w:val="21"/>
                      <w:szCs w:val="21"/>
                      <w:highlight w:val="none"/>
                      <w:lang w:eastAsia="zh-CN"/>
                    </w:rPr>
                    <w:t>（二）现有非煤矿山应当具备的基本条件</w:t>
                  </w:r>
                </w:p>
              </w:tc>
            </w:tr>
            <w:tr w14:paraId="0EBBB8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94" w:hRule="atLeast"/>
                <w:jc w:val="center"/>
              </w:trPr>
              <w:tc>
                <w:tcPr>
                  <w:tcW w:w="2288" w:type="pct"/>
                  <w:vAlign w:val="center"/>
                </w:tcPr>
                <w:p w14:paraId="76D369BD">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8"/>
                      <w:sz w:val="21"/>
                      <w:szCs w:val="21"/>
                      <w:highlight w:val="none"/>
                      <w:lang w:eastAsia="zh-CN"/>
                    </w:rPr>
                  </w:pPr>
                  <w:r>
                    <w:rPr>
                      <w:rFonts w:hint="default" w:ascii="Times New Roman" w:hAnsi="Times New Roman" w:cs="Times New Roman"/>
                      <w:color w:val="auto"/>
                      <w:spacing w:val="8"/>
                      <w:sz w:val="21"/>
                      <w:szCs w:val="21"/>
                      <w:highlight w:val="none"/>
                      <w:lang w:eastAsia="zh-CN"/>
                    </w:rPr>
                    <w:t>1.生产矿山应当具备以下基本条件：</w:t>
                  </w:r>
                </w:p>
                <w:p w14:paraId="278C7B76">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8"/>
                      <w:sz w:val="21"/>
                      <w:szCs w:val="21"/>
                      <w:highlight w:val="none"/>
                      <w:lang w:eastAsia="zh-CN"/>
                    </w:rPr>
                  </w:pPr>
                  <w:r>
                    <w:rPr>
                      <w:rFonts w:hint="default" w:ascii="Times New Roman" w:hAnsi="Times New Roman" w:cs="Times New Roman"/>
                      <w:color w:val="auto"/>
                      <w:spacing w:val="8"/>
                      <w:sz w:val="21"/>
                      <w:szCs w:val="21"/>
                      <w:highlight w:val="none"/>
                      <w:lang w:eastAsia="zh-CN"/>
                    </w:rPr>
                    <w:t>（1）生产规模符合标准要求，矿山符合已批准的矿产资源规划、矿业权设置方案和矿区总体规划；</w:t>
                  </w:r>
                </w:p>
                <w:p w14:paraId="536924D3">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8"/>
                      <w:sz w:val="21"/>
                      <w:szCs w:val="21"/>
                      <w:highlight w:val="none"/>
                      <w:lang w:eastAsia="zh-CN"/>
                    </w:rPr>
                  </w:pPr>
                  <w:r>
                    <w:rPr>
                      <w:rFonts w:hint="default" w:ascii="Times New Roman" w:hAnsi="Times New Roman" w:cs="Times New Roman"/>
                      <w:color w:val="auto"/>
                      <w:spacing w:val="8"/>
                      <w:sz w:val="21"/>
                      <w:szCs w:val="21"/>
                      <w:highlight w:val="none"/>
                      <w:lang w:eastAsia="zh-CN"/>
                    </w:rPr>
                    <w:t>（2）依法取得采矿许可证、工商营业执照和安全生产许可证等证照，达到安全生产标准化三级及以上；</w:t>
                  </w:r>
                </w:p>
                <w:p w14:paraId="03B68D05">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8"/>
                      <w:sz w:val="21"/>
                      <w:szCs w:val="21"/>
                      <w:highlight w:val="none"/>
                      <w:lang w:eastAsia="zh-CN"/>
                    </w:rPr>
                  </w:pPr>
                  <w:r>
                    <w:rPr>
                      <w:rFonts w:hint="default" w:ascii="Times New Roman" w:hAnsi="Times New Roman" w:cs="Times New Roman"/>
                      <w:color w:val="auto"/>
                      <w:spacing w:val="8"/>
                      <w:sz w:val="21"/>
                      <w:szCs w:val="21"/>
                      <w:highlight w:val="none"/>
                      <w:lang w:eastAsia="zh-CN"/>
                    </w:rPr>
                    <w:t>（3）与相邻矿山以及村庄、重要设施之间的安全距离符合“严格新建非煤矿山准入标准”的有关规定；</w:t>
                  </w:r>
                </w:p>
                <w:p w14:paraId="0D4CAE8B">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8"/>
                      <w:sz w:val="21"/>
                      <w:szCs w:val="21"/>
                      <w:highlight w:val="none"/>
                      <w:lang w:eastAsia="zh-CN"/>
                    </w:rPr>
                  </w:pPr>
                  <w:r>
                    <w:rPr>
                      <w:rFonts w:hint="default" w:ascii="Times New Roman" w:hAnsi="Times New Roman" w:cs="Times New Roman"/>
                      <w:color w:val="auto"/>
                      <w:spacing w:val="8"/>
                      <w:sz w:val="21"/>
                      <w:szCs w:val="21"/>
                      <w:highlight w:val="none"/>
                      <w:lang w:eastAsia="zh-CN"/>
                    </w:rPr>
                    <w:t>（4）具有相应资质的设计单位编制的满足国家法律法规和设计规范要求的安全设施设计。通过环境影响评价，有环保审批及验收手续，污染防治和生态保护措施符合有关要求；</w:t>
                  </w:r>
                </w:p>
                <w:p w14:paraId="51D0C70A">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8"/>
                      <w:sz w:val="21"/>
                      <w:szCs w:val="21"/>
                      <w:highlight w:val="none"/>
                      <w:lang w:eastAsia="zh-CN"/>
                    </w:rPr>
                  </w:pPr>
                  <w:r>
                    <w:rPr>
                      <w:rFonts w:hint="default" w:ascii="Times New Roman" w:hAnsi="Times New Roman" w:cs="Times New Roman"/>
                      <w:color w:val="auto"/>
                      <w:spacing w:val="8"/>
                      <w:sz w:val="21"/>
                      <w:szCs w:val="21"/>
                      <w:highlight w:val="none"/>
                      <w:lang w:eastAsia="zh-CN"/>
                    </w:rPr>
                    <w:t>（5）矿山生产系统及安全设施齐全有效，满足矿山安全规程、设计规范要求。地下开采矿山每个矿井至少应有2个独立的直达地面的安全出口，每个生产水平（中段）均应至少有2个便于行人的安全出口，并应同通往地面的安全出口相通。露天开采矿山应自上而下分台阶（层）开采，且台阶高度、台阶坡面角、最终边坡角等参数符合矿山安全规程规范及设计要求；</w:t>
                  </w:r>
                </w:p>
                <w:p w14:paraId="51709B7B">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8"/>
                      <w:sz w:val="21"/>
                      <w:szCs w:val="21"/>
                      <w:highlight w:val="none"/>
                      <w:lang w:eastAsia="zh-CN"/>
                    </w:rPr>
                  </w:pPr>
                  <w:r>
                    <w:rPr>
                      <w:rFonts w:hint="default" w:ascii="Times New Roman" w:hAnsi="Times New Roman" w:cs="Times New Roman"/>
                      <w:color w:val="auto"/>
                      <w:spacing w:val="8"/>
                      <w:sz w:val="21"/>
                      <w:szCs w:val="21"/>
                      <w:highlight w:val="none"/>
                      <w:lang w:eastAsia="zh-CN"/>
                    </w:rPr>
                    <w:t>（6）无重大安全隐患，没有非法、违法开采行为，未使用国家禁止或者淘汰的设备及工艺；</w:t>
                  </w:r>
                </w:p>
                <w:p w14:paraId="68099725">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8"/>
                      <w:sz w:val="21"/>
                      <w:szCs w:val="21"/>
                      <w:highlight w:val="none"/>
                      <w:lang w:eastAsia="zh-CN"/>
                    </w:rPr>
                  </w:pPr>
                  <w:r>
                    <w:rPr>
                      <w:rFonts w:hint="default" w:ascii="Times New Roman" w:hAnsi="Times New Roman" w:cs="Times New Roman"/>
                      <w:color w:val="auto"/>
                      <w:spacing w:val="8"/>
                      <w:sz w:val="21"/>
                      <w:szCs w:val="21"/>
                      <w:highlight w:val="none"/>
                      <w:lang w:eastAsia="zh-CN"/>
                    </w:rPr>
                    <w:t>（7）有与职业病防治工作相适应的有效防护设施，职业病危害因素的强度或者浓度符合国家职业卫生标准；</w:t>
                  </w:r>
                </w:p>
                <w:p w14:paraId="52F861FF">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2"/>
                      <w:sz w:val="21"/>
                      <w:szCs w:val="21"/>
                      <w:highlight w:val="none"/>
                      <w:lang w:eastAsia="zh-CN"/>
                    </w:rPr>
                  </w:pPr>
                  <w:r>
                    <w:rPr>
                      <w:rFonts w:hint="default" w:ascii="Times New Roman" w:hAnsi="Times New Roman" w:cs="Times New Roman"/>
                      <w:color w:val="auto"/>
                      <w:spacing w:val="8"/>
                      <w:sz w:val="21"/>
                      <w:szCs w:val="21"/>
                      <w:highlight w:val="none"/>
                      <w:lang w:eastAsia="zh-CN"/>
                    </w:rPr>
                    <w:t>（8）符合国家法律法规和矿山安全生产的其他有关规定。</w:t>
                  </w:r>
                </w:p>
              </w:tc>
              <w:tc>
                <w:tcPr>
                  <w:tcW w:w="2289" w:type="pct"/>
                  <w:vAlign w:val="center"/>
                </w:tcPr>
                <w:p w14:paraId="1DD461A2">
                  <w:pPr>
                    <w:pStyle w:val="49"/>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ascii="Times New Roman" w:hAnsi="Times New Roman" w:cs="Times New Roman"/>
                      <w:color w:val="auto"/>
                      <w:spacing w:val="10"/>
                      <w:sz w:val="21"/>
                      <w:szCs w:val="21"/>
                      <w:highlight w:val="none"/>
                      <w:lang w:eastAsia="zh-CN"/>
                    </w:rPr>
                  </w:pPr>
                  <w:r>
                    <w:rPr>
                      <w:rFonts w:hint="default" w:ascii="Times New Roman" w:hAnsi="Times New Roman" w:cs="Times New Roman"/>
                      <w:color w:val="auto"/>
                      <w:spacing w:val="9"/>
                      <w:sz w:val="21"/>
                      <w:szCs w:val="21"/>
                      <w:highlight w:val="none"/>
                      <w:lang w:eastAsia="zh-CN"/>
                    </w:rPr>
                    <w:t>（</w:t>
                  </w:r>
                  <w:r>
                    <w:rPr>
                      <w:rFonts w:hint="default" w:ascii="Times New Roman" w:hAnsi="Times New Roman" w:cs="Times New Roman"/>
                      <w:color w:val="auto"/>
                      <w:spacing w:val="9"/>
                      <w:sz w:val="21"/>
                      <w:szCs w:val="21"/>
                      <w:highlight w:val="none"/>
                      <w:lang w:val="en-US" w:eastAsia="zh-CN"/>
                    </w:rPr>
                    <w:t>1</w:t>
                  </w:r>
                  <w:r>
                    <w:rPr>
                      <w:rFonts w:hint="default" w:ascii="Times New Roman" w:hAnsi="Times New Roman" w:cs="Times New Roman"/>
                      <w:color w:val="auto"/>
                      <w:spacing w:val="9"/>
                      <w:sz w:val="21"/>
                      <w:szCs w:val="21"/>
                      <w:highlight w:val="none"/>
                      <w:lang w:eastAsia="zh-CN"/>
                    </w:rPr>
                    <w:t>）本项目为现有矿山扩建，现有矿山生产规模为10万吨/a，符合《云南省非煤矿山最小开采规模和最低服务年限标准》规定：现有矿山生产规模≥10万t/a；（</w:t>
                  </w:r>
                  <w:r>
                    <w:rPr>
                      <w:rFonts w:hint="default" w:ascii="Times New Roman" w:hAnsi="Times New Roman" w:cs="Times New Roman"/>
                      <w:color w:val="auto"/>
                      <w:spacing w:val="9"/>
                      <w:sz w:val="21"/>
                      <w:szCs w:val="21"/>
                      <w:highlight w:val="none"/>
                      <w:lang w:val="en-US" w:eastAsia="zh-CN"/>
                    </w:rPr>
                    <w:t>2</w:t>
                  </w:r>
                  <w:r>
                    <w:rPr>
                      <w:rFonts w:hint="default" w:ascii="Times New Roman" w:hAnsi="Times New Roman" w:cs="Times New Roman"/>
                      <w:color w:val="auto"/>
                      <w:spacing w:val="9"/>
                      <w:sz w:val="21"/>
                      <w:szCs w:val="21"/>
                      <w:highlight w:val="none"/>
                      <w:lang w:eastAsia="zh-CN"/>
                    </w:rPr>
                    <w:t>）现有矿山已依法取得采矿许可证、</w:t>
                  </w:r>
                  <w:r>
                    <w:rPr>
                      <w:rFonts w:hint="default" w:ascii="Times New Roman" w:hAnsi="Times New Roman" w:cs="Times New Roman"/>
                      <w:color w:val="auto"/>
                      <w:spacing w:val="8"/>
                      <w:sz w:val="21"/>
                      <w:szCs w:val="21"/>
                      <w:highlight w:val="none"/>
                      <w:lang w:eastAsia="zh-CN"/>
                    </w:rPr>
                    <w:t>工商营业执照和安全生产许可证等证照，达到安全生产标准化三级及以上</w:t>
                  </w:r>
                  <w:r>
                    <w:rPr>
                      <w:rFonts w:hint="default" w:ascii="Times New Roman" w:hAnsi="Times New Roman" w:cs="Times New Roman"/>
                      <w:color w:val="auto"/>
                      <w:spacing w:val="9"/>
                      <w:sz w:val="21"/>
                      <w:szCs w:val="21"/>
                      <w:highlight w:val="none"/>
                      <w:lang w:eastAsia="zh-CN"/>
                    </w:rPr>
                    <w:t>；（</w:t>
                  </w:r>
                  <w:r>
                    <w:rPr>
                      <w:rFonts w:hint="default" w:ascii="Times New Roman" w:hAnsi="Times New Roman" w:cs="Times New Roman"/>
                      <w:color w:val="auto"/>
                      <w:spacing w:val="9"/>
                      <w:sz w:val="21"/>
                      <w:szCs w:val="21"/>
                      <w:highlight w:val="none"/>
                      <w:lang w:val="en-US" w:eastAsia="zh-CN"/>
                    </w:rPr>
                    <w:t>3</w:t>
                  </w:r>
                  <w:r>
                    <w:rPr>
                      <w:rFonts w:hint="default" w:ascii="Times New Roman" w:hAnsi="Times New Roman" w:cs="Times New Roman"/>
                      <w:color w:val="auto"/>
                      <w:spacing w:val="9"/>
                      <w:sz w:val="21"/>
                      <w:szCs w:val="21"/>
                      <w:highlight w:val="none"/>
                      <w:lang w:eastAsia="zh-CN"/>
                    </w:rPr>
                    <w:t>）</w:t>
                  </w:r>
                  <w:r>
                    <w:rPr>
                      <w:rFonts w:hint="default" w:ascii="Times New Roman" w:hAnsi="Times New Roman" w:cs="Times New Roman"/>
                      <w:color w:val="auto"/>
                      <w:spacing w:val="9"/>
                      <w:sz w:val="21"/>
                      <w:szCs w:val="21"/>
                      <w:highlight w:val="none"/>
                      <w:lang w:val="en-US" w:eastAsia="zh-CN"/>
                    </w:rPr>
                    <w:t>现有矿山</w:t>
                  </w:r>
                  <w:r>
                    <w:rPr>
                      <w:rFonts w:hint="default" w:ascii="Times New Roman" w:hAnsi="Times New Roman" w:cs="Times New Roman"/>
                      <w:color w:val="auto"/>
                      <w:spacing w:val="8"/>
                      <w:sz w:val="21"/>
                      <w:szCs w:val="21"/>
                      <w:highlight w:val="none"/>
                      <w:lang w:eastAsia="zh-CN"/>
                    </w:rPr>
                    <w:t>与相邻矿山以及村庄、重要设施之间的安全距离符合“严格新建非煤矿山准入标准”的有关规定</w:t>
                  </w:r>
                  <w:r>
                    <w:rPr>
                      <w:rFonts w:hint="default" w:ascii="Times New Roman" w:hAnsi="Times New Roman" w:cs="Times New Roman"/>
                      <w:color w:val="auto"/>
                      <w:spacing w:val="9"/>
                      <w:sz w:val="21"/>
                      <w:szCs w:val="21"/>
                      <w:highlight w:val="none"/>
                      <w:lang w:eastAsia="zh-CN"/>
                    </w:rPr>
                    <w:t>；（</w:t>
                  </w:r>
                  <w:r>
                    <w:rPr>
                      <w:rFonts w:hint="default" w:ascii="Times New Roman" w:hAnsi="Times New Roman" w:cs="Times New Roman"/>
                      <w:color w:val="auto"/>
                      <w:spacing w:val="9"/>
                      <w:sz w:val="21"/>
                      <w:szCs w:val="21"/>
                      <w:highlight w:val="none"/>
                      <w:lang w:val="en-US" w:eastAsia="zh-CN"/>
                    </w:rPr>
                    <w:t>4</w:t>
                  </w:r>
                  <w:r>
                    <w:rPr>
                      <w:rFonts w:hint="default" w:ascii="Times New Roman" w:hAnsi="Times New Roman" w:cs="Times New Roman"/>
                      <w:color w:val="auto"/>
                      <w:spacing w:val="9"/>
                      <w:sz w:val="21"/>
                      <w:szCs w:val="21"/>
                      <w:highlight w:val="none"/>
                      <w:lang w:eastAsia="zh-CN"/>
                    </w:rPr>
                    <w:t>）</w:t>
                  </w:r>
                  <w:r>
                    <w:rPr>
                      <w:rFonts w:hint="default" w:ascii="Times New Roman" w:hAnsi="Times New Roman" w:cs="Times New Roman"/>
                      <w:color w:val="auto"/>
                      <w:spacing w:val="9"/>
                      <w:sz w:val="21"/>
                      <w:szCs w:val="21"/>
                      <w:highlight w:val="none"/>
                      <w:lang w:val="en-US" w:eastAsia="zh-CN"/>
                    </w:rPr>
                    <w:t>现有</w:t>
                  </w:r>
                  <w:r>
                    <w:rPr>
                      <w:rFonts w:hint="default" w:ascii="Times New Roman" w:hAnsi="Times New Roman" w:eastAsia="宋体" w:cs="Times New Roman"/>
                      <w:color w:val="auto"/>
                      <w:spacing w:val="8"/>
                      <w:sz w:val="21"/>
                      <w:szCs w:val="21"/>
                      <w:highlight w:val="none"/>
                      <w:lang w:val="en-US" w:eastAsia="zh-CN"/>
                    </w:rPr>
                    <w:t>矿山已委托</w:t>
                  </w:r>
                  <w:r>
                    <w:rPr>
                      <w:rFonts w:hint="default" w:ascii="Times New Roman" w:hAnsi="Times New Roman" w:eastAsia="宋体" w:cs="Times New Roman"/>
                      <w:color w:val="auto"/>
                      <w:spacing w:val="8"/>
                      <w:sz w:val="21"/>
                      <w:szCs w:val="21"/>
                      <w:highlight w:val="none"/>
                      <w:lang w:eastAsia="zh-CN"/>
                    </w:rPr>
                    <w:t>具有相应资质的设计单位编制的满足国家法律法规和设计规范要求的</w:t>
                  </w:r>
                  <w:r>
                    <w:rPr>
                      <w:rFonts w:hint="default" w:ascii="Times New Roman" w:hAnsi="Times New Roman" w:eastAsia="宋体" w:cs="Times New Roman"/>
                      <w:color w:val="auto"/>
                      <w:spacing w:val="8"/>
                      <w:sz w:val="21"/>
                      <w:szCs w:val="21"/>
                      <w:highlight w:val="none"/>
                      <w:lang w:val="en-US" w:eastAsia="zh-CN"/>
                    </w:rPr>
                    <w:t>完成</w:t>
                  </w:r>
                  <w:r>
                    <w:rPr>
                      <w:rFonts w:hint="default" w:ascii="Times New Roman" w:hAnsi="Times New Roman" w:eastAsia="宋体" w:cs="Times New Roman"/>
                      <w:color w:val="auto"/>
                      <w:spacing w:val="8"/>
                      <w:sz w:val="21"/>
                      <w:szCs w:val="21"/>
                      <w:highlight w:val="none"/>
                      <w:lang w:eastAsia="zh-CN"/>
                    </w:rPr>
                    <w:t>安全设施设计；</w:t>
                  </w:r>
                  <w:r>
                    <w:rPr>
                      <w:rFonts w:hint="default" w:ascii="Times New Roman" w:hAnsi="Times New Roman" w:eastAsia="宋体" w:cs="Times New Roman"/>
                      <w:color w:val="auto"/>
                      <w:spacing w:val="8"/>
                      <w:sz w:val="21"/>
                      <w:szCs w:val="21"/>
                      <w:highlight w:val="none"/>
                      <w:lang w:val="en-US" w:eastAsia="zh-CN"/>
                    </w:rPr>
                    <w:t>现有矿山于2021年1月编制完成《</w:t>
                  </w:r>
                  <w:r>
                    <w:rPr>
                      <w:rFonts w:hint="default" w:ascii="Times New Roman" w:hAnsi="Times New Roman" w:eastAsia="宋体" w:cs="Times New Roman"/>
                      <w:color w:val="auto"/>
                      <w:spacing w:val="8"/>
                      <w:sz w:val="21"/>
                      <w:szCs w:val="21"/>
                      <w:highlight w:val="none"/>
                      <w:lang w:eastAsia="zh-CN"/>
                    </w:rPr>
                    <w:t>昆明达泽商贸有限公司寻甸县柯渡黄龙溏采砂场新建项目</w:t>
                  </w:r>
                  <w:r>
                    <w:rPr>
                      <w:rFonts w:hint="default" w:ascii="Times New Roman" w:hAnsi="Times New Roman" w:eastAsia="宋体" w:cs="Times New Roman"/>
                      <w:color w:val="auto"/>
                      <w:spacing w:val="8"/>
                      <w:sz w:val="21"/>
                      <w:szCs w:val="21"/>
                      <w:highlight w:val="none"/>
                      <w:lang w:val="en-US" w:eastAsia="zh-CN"/>
                    </w:rPr>
                    <w:t>环境影响评价报告书》，2021年2月5日取得昆明市生态环境局寻甸分局核发的环评批复（昆生环寻[2021]23号）；（5）-（7）现有矿山在取得环评批复后至2025年8月一直未进行基建及开采工作，建设单位于2025年8月完善林</w:t>
                  </w:r>
                  <w:r>
                    <w:rPr>
                      <w:rFonts w:hint="default" w:ascii="Times New Roman" w:hAnsi="Times New Roman" w:cs="Times New Roman"/>
                      <w:color w:val="auto"/>
                      <w:spacing w:val="8"/>
                      <w:sz w:val="21"/>
                      <w:szCs w:val="21"/>
                      <w:highlight w:val="none"/>
                      <w:lang w:val="en-US" w:eastAsia="zh-CN"/>
                    </w:rPr>
                    <w:t>草</w:t>
                  </w:r>
                  <w:r>
                    <w:rPr>
                      <w:rFonts w:hint="default" w:ascii="Times New Roman" w:hAnsi="Times New Roman" w:eastAsia="宋体" w:cs="Times New Roman"/>
                      <w:color w:val="auto"/>
                      <w:spacing w:val="8"/>
                      <w:sz w:val="21"/>
                      <w:szCs w:val="21"/>
                      <w:highlight w:val="none"/>
                      <w:lang w:val="en-US" w:eastAsia="zh-CN"/>
                    </w:rPr>
                    <w:t>地手续的办理后，在矿权范围内进行了局部的剥离工作，矿山现在已剥离表土形成2200m、2192m开采平台，</w:t>
                  </w:r>
                  <w:r>
                    <w:rPr>
                      <w:rFonts w:hint="default" w:ascii="Times New Roman" w:hAnsi="Times New Roman" w:cs="Times New Roman"/>
                      <w:color w:val="auto"/>
                      <w:spacing w:val="8"/>
                      <w:sz w:val="21"/>
                      <w:szCs w:val="21"/>
                      <w:highlight w:val="none"/>
                      <w:lang w:eastAsia="zh-CN"/>
                    </w:rPr>
                    <w:t>无重大安全隐患，没有非法、违法开采行为，未使用国家禁止或者淘汰的设备及工艺。（</w:t>
                  </w:r>
                  <w:r>
                    <w:rPr>
                      <w:rFonts w:hint="default" w:ascii="Times New Roman" w:hAnsi="Times New Roman" w:cs="Times New Roman"/>
                      <w:color w:val="auto"/>
                      <w:spacing w:val="8"/>
                      <w:sz w:val="21"/>
                      <w:szCs w:val="21"/>
                      <w:highlight w:val="none"/>
                      <w:lang w:val="en-US" w:eastAsia="zh-CN"/>
                    </w:rPr>
                    <w:t>8</w:t>
                  </w:r>
                  <w:r>
                    <w:rPr>
                      <w:rFonts w:hint="default" w:ascii="Times New Roman" w:hAnsi="Times New Roman" w:cs="Times New Roman"/>
                      <w:color w:val="auto"/>
                      <w:spacing w:val="8"/>
                      <w:sz w:val="21"/>
                      <w:szCs w:val="21"/>
                      <w:highlight w:val="none"/>
                      <w:lang w:eastAsia="zh-CN"/>
                    </w:rPr>
                    <w:t>）</w:t>
                  </w:r>
                  <w:r>
                    <w:rPr>
                      <w:rFonts w:hint="default" w:ascii="Times New Roman" w:hAnsi="Times New Roman" w:cs="Times New Roman"/>
                      <w:color w:val="auto"/>
                      <w:spacing w:val="6"/>
                      <w:sz w:val="21"/>
                      <w:szCs w:val="21"/>
                      <w:highlight w:val="none"/>
                      <w:lang w:eastAsia="zh-CN"/>
                    </w:rPr>
                    <w:t>现有矿山符合国家法律法规和矿山安全有关规定。</w:t>
                  </w:r>
                </w:p>
              </w:tc>
              <w:tc>
                <w:tcPr>
                  <w:tcW w:w="422" w:type="pct"/>
                  <w:vAlign w:val="center"/>
                </w:tcPr>
                <w:p w14:paraId="77B25033">
                  <w:pPr>
                    <w:pStyle w:val="49"/>
                    <w:jc w:val="center"/>
                    <w:rPr>
                      <w:rFonts w:hint="default" w:ascii="Times New Roman" w:hAnsi="Times New Roman" w:cs="Times New Roman"/>
                      <w:color w:val="auto"/>
                      <w:spacing w:val="3"/>
                      <w:sz w:val="21"/>
                      <w:szCs w:val="21"/>
                      <w:highlight w:val="none"/>
                      <w:lang w:eastAsia="zh-CN"/>
                    </w:rPr>
                  </w:pPr>
                  <w:r>
                    <w:rPr>
                      <w:rFonts w:hint="default" w:ascii="Times New Roman" w:hAnsi="Times New Roman" w:cs="Times New Roman"/>
                      <w:color w:val="auto"/>
                      <w:spacing w:val="3"/>
                      <w:sz w:val="21"/>
                      <w:szCs w:val="21"/>
                      <w:highlight w:val="none"/>
                      <w:lang w:eastAsia="zh-CN"/>
                    </w:rPr>
                    <w:t>符合</w:t>
                  </w:r>
                </w:p>
              </w:tc>
            </w:tr>
          </w:tbl>
          <w:p w14:paraId="529855AD">
            <w:pPr>
              <w:spacing w:before="156" w:beforeLines="50"/>
              <w:ind w:firstLine="480"/>
              <w:jc w:val="left"/>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根据上表分析，本项目符合《云南省人民政府关于促进非煤矿山转型升级的实施意见》（云政发〔2015〕38号）相关要求。</w:t>
            </w:r>
          </w:p>
          <w:p w14:paraId="391BB34D">
            <w:pPr>
              <w:ind w:firstLine="482"/>
              <w:jc w:val="left"/>
              <w:rPr>
                <w:rFonts w:hint="default" w:ascii="Times New Roman" w:hAnsi="Times New Roman" w:cs="Times New Roman"/>
                <w:b/>
                <w:color w:val="auto"/>
                <w:highlight w:val="none"/>
              </w:rPr>
            </w:pPr>
            <w:r>
              <w:rPr>
                <w:rFonts w:hint="default" w:ascii="Times New Roman" w:hAnsi="Times New Roman" w:cs="Times New Roman"/>
                <w:b/>
                <w:color w:val="auto"/>
                <w:highlight w:val="none"/>
              </w:rPr>
              <w:t>2、与《云南省全面加强非煤矿山安全生产工作若干措施》（云政办发〔2024〕44号）符合性分析</w:t>
            </w:r>
          </w:p>
          <w:p w14:paraId="76BA6890">
            <w:pPr>
              <w:ind w:firstLine="480"/>
              <w:jc w:val="left"/>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2024年7月18日，云南省人民政府办公厅印发《云南省全面加强非煤矿山安全生产工作若干措施》（云政办发〔2024〕44号），本项目与云政办发〔2024〕44号符合性分析见下表1-</w:t>
            </w:r>
            <w:r>
              <w:rPr>
                <w:rFonts w:hint="default" w:ascii="Times New Roman" w:hAnsi="Times New Roman" w:cs="Times New Roman"/>
                <w:bCs/>
                <w:color w:val="auto"/>
                <w:highlight w:val="none"/>
                <w:lang w:val="en-US" w:eastAsia="zh-CN"/>
              </w:rPr>
              <w:t>10</w:t>
            </w:r>
            <w:r>
              <w:rPr>
                <w:rFonts w:hint="default" w:ascii="Times New Roman" w:hAnsi="Times New Roman" w:cs="Times New Roman"/>
                <w:bCs/>
                <w:color w:val="auto"/>
                <w:highlight w:val="none"/>
              </w:rPr>
              <w:t>。</w:t>
            </w:r>
          </w:p>
          <w:p w14:paraId="684A431D">
            <w:pPr>
              <w:widowControl/>
              <w:topLinePunct/>
              <w:adjustRightInd w:val="0"/>
              <w:spacing w:line="240" w:lineRule="auto"/>
              <w:ind w:firstLine="0" w:firstLineChars="0"/>
              <w:jc w:val="center"/>
              <w:textAlignment w:val="baseline"/>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表1-</w:t>
            </w:r>
            <w:r>
              <w:rPr>
                <w:rFonts w:hint="default" w:ascii="Times New Roman" w:hAnsi="Times New Roman" w:cs="Times New Roman"/>
                <w:b/>
                <w:bCs/>
                <w:snapToGrid w:val="0"/>
                <w:color w:val="auto"/>
                <w:kern w:val="0"/>
                <w:sz w:val="21"/>
                <w:szCs w:val="21"/>
                <w:highlight w:val="none"/>
                <w:lang w:val="en-US" w:eastAsia="zh-CN"/>
              </w:rPr>
              <w:t>10</w:t>
            </w:r>
            <w:r>
              <w:rPr>
                <w:rFonts w:hint="default" w:ascii="Times New Roman" w:hAnsi="Times New Roman" w:cs="Times New Roman"/>
                <w:b/>
                <w:bCs/>
                <w:snapToGrid w:val="0"/>
                <w:color w:val="auto"/>
                <w:kern w:val="0"/>
                <w:sz w:val="21"/>
                <w:szCs w:val="21"/>
                <w:highlight w:val="none"/>
              </w:rPr>
              <w:t xml:space="preserve"> 本项目与《云南省全面加强非煤矿山安全生产工作若干措施》符合性分析一览表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4322"/>
              <w:gridCol w:w="2155"/>
              <w:gridCol w:w="754"/>
            </w:tblGrid>
            <w:tr w14:paraId="0C71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blHeader/>
                <w:jc w:val="center"/>
              </w:trPr>
              <w:tc>
                <w:tcPr>
                  <w:tcW w:w="354" w:type="pct"/>
                  <w:tcMar>
                    <w:left w:w="57" w:type="dxa"/>
                    <w:right w:w="57" w:type="dxa"/>
                  </w:tcMar>
                  <w:vAlign w:val="center"/>
                </w:tcPr>
                <w:p w14:paraId="03FD9178">
                  <w:pPr>
                    <w:widowControl/>
                    <w:spacing w:line="240" w:lineRule="auto"/>
                    <w:ind w:firstLine="0" w:firstLineChars="0"/>
                    <w:jc w:val="center"/>
                    <w:rPr>
                      <w:rFonts w:hint="default" w:ascii="Times New Roman" w:hAnsi="Times New Roman" w:cs="Times New Roman"/>
                      <w:b/>
                      <w:bCs/>
                      <w:color w:val="auto"/>
                      <w:sz w:val="21"/>
                      <w:szCs w:val="21"/>
                      <w:highlight w:val="none"/>
                      <w:lang w:bidi="ar"/>
                    </w:rPr>
                  </w:pPr>
                  <w:r>
                    <w:rPr>
                      <w:rFonts w:hint="default" w:ascii="Times New Roman" w:hAnsi="Times New Roman" w:cs="Times New Roman"/>
                      <w:b/>
                      <w:bCs/>
                      <w:color w:val="auto"/>
                      <w:sz w:val="21"/>
                      <w:szCs w:val="21"/>
                      <w:highlight w:val="none"/>
                      <w:lang w:bidi="ar"/>
                    </w:rPr>
                    <w:t>序号</w:t>
                  </w:r>
                </w:p>
              </w:tc>
              <w:tc>
                <w:tcPr>
                  <w:tcW w:w="2776" w:type="pct"/>
                  <w:tcMar>
                    <w:left w:w="57" w:type="dxa"/>
                    <w:right w:w="57" w:type="dxa"/>
                  </w:tcMar>
                  <w:vAlign w:val="center"/>
                </w:tcPr>
                <w:p w14:paraId="31C26B95">
                  <w:pPr>
                    <w:widowControl/>
                    <w:spacing w:line="240" w:lineRule="auto"/>
                    <w:ind w:firstLine="0" w:firstLineChars="0"/>
                    <w:jc w:val="center"/>
                    <w:rPr>
                      <w:rFonts w:hint="default" w:ascii="Times New Roman" w:hAnsi="Times New Roman" w:cs="Times New Roman"/>
                      <w:b/>
                      <w:bCs/>
                      <w:color w:val="auto"/>
                      <w:sz w:val="21"/>
                      <w:szCs w:val="21"/>
                      <w:highlight w:val="none"/>
                      <w:lang w:bidi="ar"/>
                    </w:rPr>
                  </w:pPr>
                  <w:r>
                    <w:rPr>
                      <w:rFonts w:hint="default" w:ascii="Times New Roman" w:hAnsi="Times New Roman" w:cs="Times New Roman"/>
                      <w:b/>
                      <w:bCs/>
                      <w:color w:val="auto"/>
                      <w:sz w:val="21"/>
                      <w:szCs w:val="21"/>
                      <w:highlight w:val="none"/>
                      <w:lang w:bidi="ar"/>
                    </w:rPr>
                    <w:t>文件内容</w:t>
                  </w:r>
                </w:p>
              </w:tc>
              <w:tc>
                <w:tcPr>
                  <w:tcW w:w="1384" w:type="pct"/>
                  <w:tcMar>
                    <w:left w:w="57" w:type="dxa"/>
                    <w:right w:w="57" w:type="dxa"/>
                  </w:tcMar>
                  <w:vAlign w:val="center"/>
                </w:tcPr>
                <w:p w14:paraId="0AA5F572">
                  <w:pPr>
                    <w:widowControl/>
                    <w:spacing w:line="240" w:lineRule="auto"/>
                    <w:ind w:firstLine="0" w:firstLineChars="0"/>
                    <w:jc w:val="center"/>
                    <w:rPr>
                      <w:rFonts w:hint="default" w:ascii="Times New Roman" w:hAnsi="Times New Roman" w:cs="Times New Roman"/>
                      <w:b/>
                      <w:bCs/>
                      <w:color w:val="auto"/>
                      <w:sz w:val="21"/>
                      <w:szCs w:val="21"/>
                      <w:highlight w:val="none"/>
                      <w:lang w:bidi="ar"/>
                    </w:rPr>
                  </w:pPr>
                  <w:r>
                    <w:rPr>
                      <w:rFonts w:hint="default" w:ascii="Times New Roman" w:hAnsi="Times New Roman" w:cs="Times New Roman"/>
                      <w:b/>
                      <w:bCs/>
                      <w:color w:val="auto"/>
                      <w:sz w:val="21"/>
                      <w:szCs w:val="21"/>
                      <w:highlight w:val="none"/>
                      <w:lang w:bidi="ar"/>
                    </w:rPr>
                    <w:t>本项目情况</w:t>
                  </w:r>
                </w:p>
              </w:tc>
              <w:tc>
                <w:tcPr>
                  <w:tcW w:w="484" w:type="pct"/>
                  <w:tcMar>
                    <w:left w:w="57" w:type="dxa"/>
                    <w:right w:w="57" w:type="dxa"/>
                  </w:tcMar>
                  <w:vAlign w:val="center"/>
                </w:tcPr>
                <w:p w14:paraId="1BC5C060">
                  <w:pPr>
                    <w:widowControl/>
                    <w:spacing w:line="240" w:lineRule="auto"/>
                    <w:ind w:firstLine="0" w:firstLineChars="0"/>
                    <w:jc w:val="center"/>
                    <w:rPr>
                      <w:rFonts w:hint="default" w:ascii="Times New Roman" w:hAnsi="Times New Roman" w:cs="Times New Roman"/>
                      <w:b/>
                      <w:bCs/>
                      <w:color w:val="auto"/>
                      <w:sz w:val="21"/>
                      <w:szCs w:val="21"/>
                      <w:highlight w:val="none"/>
                      <w:lang w:bidi="ar"/>
                    </w:rPr>
                  </w:pPr>
                  <w:r>
                    <w:rPr>
                      <w:rFonts w:hint="default" w:ascii="Times New Roman" w:hAnsi="Times New Roman" w:cs="Times New Roman"/>
                      <w:b/>
                      <w:bCs/>
                      <w:color w:val="auto"/>
                      <w:sz w:val="21"/>
                      <w:szCs w:val="21"/>
                      <w:highlight w:val="none"/>
                      <w:lang w:bidi="ar"/>
                    </w:rPr>
                    <w:t>符合性</w:t>
                  </w:r>
                </w:p>
              </w:tc>
            </w:tr>
            <w:tr w14:paraId="5AD4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blHeader/>
                <w:jc w:val="center"/>
              </w:trPr>
              <w:tc>
                <w:tcPr>
                  <w:tcW w:w="5000" w:type="pct"/>
                  <w:gridSpan w:val="4"/>
                  <w:tcMar>
                    <w:left w:w="57" w:type="dxa"/>
                    <w:right w:w="57" w:type="dxa"/>
                  </w:tcMar>
                  <w:vAlign w:val="center"/>
                </w:tcPr>
                <w:p w14:paraId="0A5ADCC7">
                  <w:pPr>
                    <w:pStyle w:val="49"/>
                    <w:rPr>
                      <w:rFonts w:hint="default" w:ascii="Times New Roman" w:hAnsi="Times New Roman" w:cs="Times New Roman"/>
                      <w:b/>
                      <w:bCs/>
                      <w:color w:val="auto"/>
                      <w:sz w:val="21"/>
                      <w:szCs w:val="21"/>
                      <w:highlight w:val="none"/>
                      <w:lang w:eastAsia="zh-CN" w:bidi="ar"/>
                    </w:rPr>
                  </w:pPr>
                  <w:r>
                    <w:rPr>
                      <w:rFonts w:hint="default" w:ascii="Times New Roman" w:hAnsi="Times New Roman" w:cs="Times New Roman"/>
                      <w:b/>
                      <w:bCs/>
                      <w:color w:val="auto"/>
                      <w:sz w:val="21"/>
                      <w:szCs w:val="21"/>
                      <w:highlight w:val="none"/>
                      <w:lang w:eastAsia="zh-CN"/>
                    </w:rPr>
                    <w:t>一、严格非煤矿山市场准入</w:t>
                  </w:r>
                </w:p>
              </w:tc>
            </w:tr>
            <w:tr w14:paraId="7DF5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4" w:type="pct"/>
                  <w:tcMar>
                    <w:left w:w="57" w:type="dxa"/>
                    <w:right w:w="57" w:type="dxa"/>
                  </w:tcMar>
                  <w:vAlign w:val="center"/>
                </w:tcPr>
                <w:p w14:paraId="25BE05FA">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1</w:t>
                  </w:r>
                </w:p>
              </w:tc>
              <w:tc>
                <w:tcPr>
                  <w:tcW w:w="2776" w:type="pct"/>
                  <w:tcMar>
                    <w:left w:w="57" w:type="dxa"/>
                    <w:right w:w="57" w:type="dxa"/>
                  </w:tcMar>
                  <w:vAlign w:val="center"/>
                </w:tcPr>
                <w:p w14:paraId="05F81BF8">
                  <w:pPr>
                    <w:pStyle w:val="49"/>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一）提高露天采石（砂）准入门槛。除硅石、石英砂等特殊需求矿产外，停止新建开采规模低于100万吨/年的露天采石（砂）场。将现有采石（砂）场最小开采规模提高到50万吨/年，达不到该标准要求的，给予3年过渡期实施升级改造，到2026年底仍达不到标准要求的，由属地县级政府积极引导退出。</w:t>
                  </w:r>
                </w:p>
              </w:tc>
              <w:tc>
                <w:tcPr>
                  <w:tcW w:w="1384" w:type="pct"/>
                  <w:tcMar>
                    <w:left w:w="57" w:type="dxa"/>
                    <w:right w:w="57" w:type="dxa"/>
                  </w:tcMar>
                  <w:vAlign w:val="center"/>
                </w:tcPr>
                <w:p w14:paraId="1A55ABE6">
                  <w:pPr>
                    <w:pStyle w:val="49"/>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本项目为现有矿山</w:t>
                  </w:r>
                  <w:r>
                    <w:rPr>
                      <w:rFonts w:hint="default" w:ascii="Times New Roman" w:hAnsi="Times New Roman" w:cs="Times New Roman"/>
                      <w:color w:val="auto"/>
                      <w:sz w:val="21"/>
                      <w:szCs w:val="21"/>
                      <w:highlight w:val="none"/>
                      <w:lang w:val="en-US" w:eastAsia="zh-CN"/>
                    </w:rPr>
                    <w:t>升级改造</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升级改造后矿权范围不变，</w:t>
                  </w:r>
                  <w:r>
                    <w:rPr>
                      <w:rFonts w:hint="default" w:ascii="Times New Roman" w:hAnsi="Times New Roman" w:cs="Times New Roman"/>
                      <w:color w:val="auto"/>
                      <w:sz w:val="21"/>
                      <w:szCs w:val="21"/>
                      <w:highlight w:val="none"/>
                      <w:lang w:eastAsia="zh-CN"/>
                    </w:rPr>
                    <w:t>开采规模为</w:t>
                  </w:r>
                  <w:r>
                    <w:rPr>
                      <w:rFonts w:hint="default" w:ascii="Times New Roman" w:hAnsi="Times New Roman" w:cs="Times New Roman"/>
                      <w:color w:val="auto"/>
                      <w:sz w:val="21"/>
                      <w:szCs w:val="21"/>
                      <w:highlight w:val="none"/>
                      <w:lang w:val="en-US" w:eastAsia="zh-CN"/>
                    </w:rPr>
                    <w:t>50</w:t>
                  </w:r>
                  <w:r>
                    <w:rPr>
                      <w:rFonts w:hint="default" w:ascii="Times New Roman" w:hAnsi="Times New Roman" w:cs="Times New Roman"/>
                      <w:color w:val="auto"/>
                      <w:sz w:val="21"/>
                      <w:szCs w:val="21"/>
                      <w:highlight w:val="none"/>
                      <w:lang w:eastAsia="zh-CN"/>
                    </w:rPr>
                    <w:t>万</w:t>
                  </w:r>
                  <w:r>
                    <w:rPr>
                      <w:rFonts w:hint="default" w:ascii="Times New Roman" w:hAnsi="Times New Roman" w:eastAsia="宋体" w:cs="Times New Roman"/>
                      <w:color w:val="auto"/>
                      <w:sz w:val="21"/>
                      <w:szCs w:val="21"/>
                      <w:highlight w:val="none"/>
                      <w:lang w:val="en-US" w:eastAsia="zh-CN"/>
                    </w:rPr>
                    <w:t>t/a</w:t>
                  </w:r>
                  <w:r>
                    <w:rPr>
                      <w:rFonts w:hint="default" w:ascii="Times New Roman" w:hAnsi="Times New Roman" w:cs="Times New Roman"/>
                      <w:color w:val="auto"/>
                      <w:sz w:val="21"/>
                      <w:szCs w:val="21"/>
                      <w:highlight w:val="none"/>
                      <w:lang w:eastAsia="zh-CN"/>
                    </w:rPr>
                    <w:t>，符合文件中将现有采石（砂）场最小开采规模提高到50万吨/年的要求。</w:t>
                  </w:r>
                </w:p>
              </w:tc>
              <w:tc>
                <w:tcPr>
                  <w:tcW w:w="484" w:type="pct"/>
                  <w:tcMar>
                    <w:left w:w="57" w:type="dxa"/>
                    <w:right w:w="57" w:type="dxa"/>
                  </w:tcMar>
                  <w:vAlign w:val="center"/>
                </w:tcPr>
                <w:p w14:paraId="63B04FDF">
                  <w:pPr>
                    <w:pStyle w:val="49"/>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符合</w:t>
                  </w:r>
                </w:p>
              </w:tc>
            </w:tr>
            <w:tr w14:paraId="7DF7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54" w:type="pct"/>
                  <w:tcMar>
                    <w:left w:w="57" w:type="dxa"/>
                    <w:right w:w="57" w:type="dxa"/>
                  </w:tcMar>
                  <w:vAlign w:val="center"/>
                </w:tcPr>
                <w:p w14:paraId="3F52D8A1">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2</w:t>
                  </w:r>
                </w:p>
              </w:tc>
              <w:tc>
                <w:tcPr>
                  <w:tcW w:w="2776" w:type="pct"/>
                  <w:tcMar>
                    <w:left w:w="57" w:type="dxa"/>
                    <w:right w:w="57" w:type="dxa"/>
                  </w:tcMar>
                  <w:vAlign w:val="center"/>
                </w:tcPr>
                <w:p w14:paraId="684D5DA5">
                  <w:pPr>
                    <w:pStyle w:val="49"/>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三）常态开展非煤矿山清理处置。市、县两级政府应当依法对不符合采矿许可证、安全生产许可证、环评审批等办理条件的非煤矿山进行全面清理处置，对不符合保留条件依法作出关闭决定的，应明确关闭后非煤矿山生态修复等法定义务履行责任主体及责任履行时限并向社会公告，由有权限机关办理相关证照注销（吊销）手续，未依法履行法定义务的，由县级政府依法依规追究法律责任；对继续保留的，各有关部门应指导非煤矿山企业限期完善相关手续，按照优化营商环境的有关要求加快办理。</w:t>
                  </w:r>
                </w:p>
              </w:tc>
              <w:tc>
                <w:tcPr>
                  <w:tcW w:w="1384" w:type="pct"/>
                  <w:tcMar>
                    <w:left w:w="57" w:type="dxa"/>
                    <w:right w:w="57" w:type="dxa"/>
                  </w:tcMar>
                  <w:vAlign w:val="center"/>
                </w:tcPr>
                <w:p w14:paraId="7B0E75E1">
                  <w:pPr>
                    <w:pStyle w:val="49"/>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本项目为现有矿山扩建，正在办理</w:t>
                  </w:r>
                  <w:r>
                    <w:rPr>
                      <w:rFonts w:hint="default" w:ascii="Times New Roman" w:hAnsi="Times New Roman" w:cs="Times New Roman"/>
                      <w:color w:val="auto"/>
                      <w:sz w:val="21"/>
                      <w:szCs w:val="21"/>
                      <w:highlight w:val="none"/>
                      <w:lang w:val="en-US" w:eastAsia="zh-CN"/>
                    </w:rPr>
                    <w:t>扩建项目相关</w:t>
                  </w:r>
                  <w:r>
                    <w:rPr>
                      <w:rFonts w:hint="default" w:ascii="Times New Roman" w:hAnsi="Times New Roman" w:cs="Times New Roman"/>
                      <w:color w:val="auto"/>
                      <w:sz w:val="21"/>
                      <w:szCs w:val="21"/>
                      <w:highlight w:val="none"/>
                      <w:lang w:eastAsia="zh-CN"/>
                    </w:rPr>
                    <w:t>审批手续。</w:t>
                  </w:r>
                </w:p>
              </w:tc>
              <w:tc>
                <w:tcPr>
                  <w:tcW w:w="484" w:type="pct"/>
                  <w:tcMar>
                    <w:left w:w="57" w:type="dxa"/>
                    <w:right w:w="57" w:type="dxa"/>
                  </w:tcMar>
                  <w:vAlign w:val="center"/>
                </w:tcPr>
                <w:p w14:paraId="74CD2B00">
                  <w:pPr>
                    <w:pStyle w:val="49"/>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符合</w:t>
                  </w:r>
                </w:p>
              </w:tc>
            </w:tr>
            <w:tr w14:paraId="3625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5000" w:type="pct"/>
                  <w:gridSpan w:val="4"/>
                  <w:tcMar>
                    <w:left w:w="57" w:type="dxa"/>
                    <w:right w:w="57" w:type="dxa"/>
                  </w:tcMar>
                  <w:vAlign w:val="center"/>
                </w:tcPr>
                <w:p w14:paraId="1FA91F62">
                  <w:pPr>
                    <w:pStyle w:val="49"/>
                    <w:rPr>
                      <w:rFonts w:hint="default" w:ascii="Times New Roman" w:hAnsi="Times New Roman" w:cs="Times New Roman"/>
                      <w:b/>
                      <w:bCs/>
                      <w:color w:val="auto"/>
                      <w:sz w:val="21"/>
                      <w:szCs w:val="21"/>
                      <w:highlight w:val="none"/>
                      <w:lang w:eastAsia="zh-CN"/>
                    </w:rPr>
                  </w:pPr>
                  <w:r>
                    <w:rPr>
                      <w:rFonts w:hint="default" w:ascii="Times New Roman" w:hAnsi="Times New Roman" w:cs="Times New Roman"/>
                      <w:b/>
                      <w:bCs/>
                      <w:color w:val="auto"/>
                      <w:sz w:val="21"/>
                      <w:szCs w:val="21"/>
                      <w:highlight w:val="none"/>
                      <w:lang w:eastAsia="zh-CN"/>
                    </w:rPr>
                    <w:t>二、强化非煤矿山源头管控</w:t>
                  </w:r>
                </w:p>
              </w:tc>
            </w:tr>
            <w:tr w14:paraId="6101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54" w:type="pct"/>
                  <w:tcMar>
                    <w:left w:w="57" w:type="dxa"/>
                    <w:right w:w="57" w:type="dxa"/>
                  </w:tcMar>
                  <w:vAlign w:val="center"/>
                </w:tcPr>
                <w:p w14:paraId="5D21E1C8">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4</w:t>
                  </w:r>
                </w:p>
              </w:tc>
              <w:tc>
                <w:tcPr>
                  <w:tcW w:w="2776" w:type="pct"/>
                  <w:tcMar>
                    <w:left w:w="57" w:type="dxa"/>
                    <w:right w:w="57" w:type="dxa"/>
                  </w:tcMar>
                  <w:vAlign w:val="center"/>
                </w:tcPr>
                <w:p w14:paraId="77DF9CFB">
                  <w:pPr>
                    <w:pStyle w:val="4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四）科学合理设置矿权。矿产资源勘查应达到规定程度。非煤矿山与周边重要设施的最小安全距离、相邻非煤矿山生产建设作业范围最小距离应满足有关安全规定；普通建筑用砂石露天非煤矿山不得以山脊划界；在平均坡度大于35度的地形坡面不得新设置露天采石（砂）场。除符合规定的情形外，新设采矿权范围不得与已设采矿权垂直投影范围重叠；可集中开发的同一矿体不得设立2个以上采矿权。严禁在生态保护红线区及特定生态保护区范围内新设矿权。新立露天非煤矿山的采矿许可证范围应当不涉及永久基本农田、用林用草禁止区。</w:t>
                  </w:r>
                </w:p>
              </w:tc>
              <w:tc>
                <w:tcPr>
                  <w:tcW w:w="1384" w:type="pct"/>
                  <w:tcMar>
                    <w:left w:w="57" w:type="dxa"/>
                    <w:right w:w="57" w:type="dxa"/>
                  </w:tcMar>
                  <w:vAlign w:val="center"/>
                </w:tcPr>
                <w:p w14:paraId="58963587">
                  <w:pPr>
                    <w:pStyle w:val="4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昆明达泽商贸有限公司于2021年3月29日取得寻甸回族彝族自治县自然资源局颁发的采矿许可证，证号；C5301292021037100151679；矿区范围由5个拐点坐标圈定，矿区面积为0.0399km</w:t>
                  </w:r>
                  <w:r>
                    <w:rPr>
                      <w:rFonts w:hint="default" w:ascii="Times New Roman" w:hAnsi="Times New Roman" w:eastAsia="宋体" w:cs="Times New Roman"/>
                      <w:color w:val="auto"/>
                      <w:sz w:val="21"/>
                      <w:szCs w:val="21"/>
                      <w:highlight w:val="none"/>
                      <w:vertAlign w:val="superscript"/>
                      <w:lang w:eastAsia="zh-CN"/>
                    </w:rPr>
                    <w:t>2</w:t>
                  </w:r>
                </w:p>
              </w:tc>
              <w:tc>
                <w:tcPr>
                  <w:tcW w:w="484" w:type="pct"/>
                  <w:tcMar>
                    <w:left w:w="57" w:type="dxa"/>
                    <w:right w:w="57" w:type="dxa"/>
                  </w:tcMar>
                  <w:vAlign w:val="center"/>
                </w:tcPr>
                <w:p w14:paraId="15906F10">
                  <w:pPr>
                    <w:pStyle w:val="49"/>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符合</w:t>
                  </w:r>
                </w:p>
              </w:tc>
            </w:tr>
            <w:tr w14:paraId="4E593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54" w:type="pct"/>
                  <w:tcMar>
                    <w:left w:w="57" w:type="dxa"/>
                    <w:right w:w="57" w:type="dxa"/>
                  </w:tcMar>
                  <w:vAlign w:val="center"/>
                </w:tcPr>
                <w:p w14:paraId="0D98D096">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5</w:t>
                  </w:r>
                </w:p>
              </w:tc>
              <w:tc>
                <w:tcPr>
                  <w:tcW w:w="2776" w:type="pct"/>
                  <w:tcMar>
                    <w:left w:w="57" w:type="dxa"/>
                    <w:right w:w="57" w:type="dxa"/>
                  </w:tcMar>
                  <w:vAlign w:val="center"/>
                </w:tcPr>
                <w:p w14:paraId="3A86BD25">
                  <w:pPr>
                    <w:pStyle w:val="4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五）科学确定生产建设规模。采矿许可证证载规模是拟建设规模，非煤矿山确需扩大生产建设规模的，由企业结合实际编制项目可行性研究报告，并按照我省企业投资项目核准和备案实施办法等有关规定，报请发展改革部门核准或属地有关部门备案，明确拟生产建设规模。非煤矿山设计单位要在项目可行性研究基础上，充分考虑资源高效利用、安全生产、生态环境保护等因素，在非煤矿山初步设计和安全设施设计中科学论证并确定实际生产建设规模。非煤矿山企业必须严格按照经审查批准的设计能力建设、生产。</w:t>
                  </w:r>
                </w:p>
              </w:tc>
              <w:tc>
                <w:tcPr>
                  <w:tcW w:w="1384" w:type="pct"/>
                  <w:tcMar>
                    <w:left w:w="57" w:type="dxa"/>
                    <w:right w:w="57" w:type="dxa"/>
                  </w:tcMar>
                  <w:vAlign w:val="center"/>
                </w:tcPr>
                <w:p w14:paraId="5E130630">
                  <w:pPr>
                    <w:pStyle w:val="4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企业已结合实际编制</w:t>
                  </w:r>
                  <w:r>
                    <w:rPr>
                      <w:rFonts w:hint="default" w:ascii="Times New Roman" w:hAnsi="Times New Roman" w:eastAsia="宋体" w:cs="Times New Roman"/>
                      <w:color w:val="auto"/>
                      <w:sz w:val="21"/>
                      <w:szCs w:val="21"/>
                      <w:highlight w:val="none"/>
                      <w:lang w:val="en-US" w:eastAsia="zh-CN"/>
                    </w:rPr>
                    <w:t>《云南省寻甸县柯渡黄龙溏普通建筑材料用砂岩矿50万t/a露天采矿工程初步设计》，</w:t>
                  </w:r>
                  <w:r>
                    <w:rPr>
                      <w:rFonts w:hint="default" w:ascii="Times New Roman" w:hAnsi="Times New Roman" w:eastAsia="宋体" w:cs="Times New Roman"/>
                      <w:color w:val="auto"/>
                      <w:sz w:val="21"/>
                      <w:szCs w:val="21"/>
                      <w:highlight w:val="none"/>
                      <w:lang w:eastAsia="zh-CN"/>
                    </w:rPr>
                    <w:t>已科学论证并确定实际生产建设规模，并按照企业投资项目核准和备案实施办法等有关规定，报请寻甸回族彝族自治县发展改革部门备案，明确生产规模为</w:t>
                  </w:r>
                  <w:r>
                    <w:rPr>
                      <w:rFonts w:hint="default" w:ascii="Times New Roman" w:hAnsi="Times New Roman" w:eastAsia="宋体" w:cs="Times New Roman"/>
                      <w:color w:val="auto"/>
                      <w:sz w:val="21"/>
                      <w:szCs w:val="21"/>
                      <w:highlight w:val="none"/>
                      <w:lang w:val="en-US" w:eastAsia="zh-CN"/>
                    </w:rPr>
                    <w:t>50</w:t>
                  </w:r>
                  <w:r>
                    <w:rPr>
                      <w:rFonts w:hint="default" w:ascii="Times New Roman" w:hAnsi="Times New Roman" w:eastAsia="宋体" w:cs="Times New Roman"/>
                      <w:color w:val="auto"/>
                      <w:sz w:val="21"/>
                      <w:szCs w:val="21"/>
                      <w:highlight w:val="none"/>
                      <w:lang w:eastAsia="zh-CN"/>
                    </w:rPr>
                    <w:t>万</w:t>
                  </w:r>
                  <w:r>
                    <w:rPr>
                      <w:rFonts w:hint="default" w:ascii="Times New Roman" w:hAnsi="Times New Roman" w:eastAsia="宋体" w:cs="Times New Roman"/>
                      <w:color w:val="auto"/>
                      <w:sz w:val="21"/>
                      <w:szCs w:val="21"/>
                      <w:highlight w:val="none"/>
                      <w:lang w:val="en-US" w:eastAsia="zh-CN"/>
                    </w:rPr>
                    <w:t>t/a</w:t>
                  </w:r>
                  <w:r>
                    <w:rPr>
                      <w:rFonts w:hint="default" w:ascii="Times New Roman" w:hAnsi="Times New Roman" w:eastAsia="宋体" w:cs="Times New Roman"/>
                      <w:color w:val="auto"/>
                      <w:sz w:val="21"/>
                      <w:szCs w:val="21"/>
                      <w:highlight w:val="none"/>
                      <w:lang w:eastAsia="zh-CN"/>
                    </w:rPr>
                    <w:t>。本项目建成后严格按照批准的设计能力建设生产。</w:t>
                  </w:r>
                </w:p>
              </w:tc>
              <w:tc>
                <w:tcPr>
                  <w:tcW w:w="484" w:type="pct"/>
                  <w:tcMar>
                    <w:left w:w="57" w:type="dxa"/>
                    <w:right w:w="57" w:type="dxa"/>
                  </w:tcMar>
                  <w:vAlign w:val="center"/>
                </w:tcPr>
                <w:p w14:paraId="1AE13FCC">
                  <w:pPr>
                    <w:pStyle w:val="49"/>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符合</w:t>
                  </w:r>
                </w:p>
              </w:tc>
            </w:tr>
            <w:tr w14:paraId="79C7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000" w:type="pct"/>
                  <w:gridSpan w:val="4"/>
                  <w:tcMar>
                    <w:left w:w="57" w:type="dxa"/>
                    <w:right w:w="57" w:type="dxa"/>
                  </w:tcMar>
                  <w:vAlign w:val="center"/>
                </w:tcPr>
                <w:p w14:paraId="50DAED1B">
                  <w:pPr>
                    <w:pStyle w:val="49"/>
                    <w:jc w:val="left"/>
                    <w:rPr>
                      <w:rFonts w:hint="default" w:ascii="Times New Roman" w:hAnsi="Times New Roman" w:cs="Times New Roman"/>
                      <w:b/>
                      <w:bCs/>
                      <w:color w:val="auto"/>
                      <w:sz w:val="21"/>
                      <w:szCs w:val="21"/>
                      <w:highlight w:val="none"/>
                      <w:lang w:eastAsia="zh-CN"/>
                    </w:rPr>
                  </w:pPr>
                  <w:r>
                    <w:rPr>
                      <w:rFonts w:hint="default" w:ascii="Times New Roman" w:hAnsi="Times New Roman" w:cs="Times New Roman"/>
                      <w:b/>
                      <w:bCs/>
                      <w:color w:val="auto"/>
                      <w:sz w:val="21"/>
                      <w:szCs w:val="21"/>
                      <w:highlight w:val="none"/>
                      <w:lang w:eastAsia="zh-CN"/>
                    </w:rPr>
                    <w:t>三、规范安全生产行政许可</w:t>
                  </w:r>
                </w:p>
              </w:tc>
            </w:tr>
            <w:tr w14:paraId="2EDD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54" w:type="pct"/>
                  <w:tcMar>
                    <w:left w:w="57" w:type="dxa"/>
                    <w:right w:w="57" w:type="dxa"/>
                  </w:tcMar>
                  <w:vAlign w:val="center"/>
                </w:tcPr>
                <w:p w14:paraId="6548D3C3">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6</w:t>
                  </w:r>
                </w:p>
              </w:tc>
              <w:tc>
                <w:tcPr>
                  <w:tcW w:w="2776" w:type="pct"/>
                  <w:tcMar>
                    <w:left w:w="57" w:type="dxa"/>
                    <w:right w:w="57" w:type="dxa"/>
                  </w:tcMar>
                  <w:vAlign w:val="center"/>
                </w:tcPr>
                <w:p w14:paraId="35F0DCBF">
                  <w:pPr>
                    <w:pStyle w:val="49"/>
                    <w:ind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六）严格实质内容审查。非煤矿山开发没有进行一次性总体设计的，原则上不得审批安全设施设计。1个采矿权范围内原则上只能设置1个生产系统。中小型地下非煤矿山不得有4个以上生产水平同时采矿。新建四等、五等小型尾矿库应当采用一次性建坝，严禁审批尾矿库“头顶库”增高扩容项目，严禁新建“头顶库”、总坝高超过200米的尾矿库，严禁在距离长江（金沙江）干流岸线3公里、重要支流岸线1公里范围内新（改、扩）建尾矿库（以提升安全、生态环境保护水平为目的的改建除外）。审查建设项目安全设施设计，审查专家应当符合有关规定；审批安全生产许可证的，应当组织不少于3名专家进行现场核查。</w:t>
                  </w:r>
                </w:p>
              </w:tc>
              <w:tc>
                <w:tcPr>
                  <w:tcW w:w="1384" w:type="pct"/>
                  <w:tcMar>
                    <w:left w:w="57" w:type="dxa"/>
                    <w:right w:w="57" w:type="dxa"/>
                  </w:tcMar>
                  <w:vAlign w:val="center"/>
                </w:tcPr>
                <w:p w14:paraId="74515D5B">
                  <w:pPr>
                    <w:pStyle w:val="49"/>
                    <w:jc w:val="left"/>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b w:val="0"/>
                      <w:bCs w:val="0"/>
                      <w:color w:val="auto"/>
                      <w:sz w:val="21"/>
                      <w:szCs w:val="21"/>
                      <w:highlight w:val="none"/>
                      <w:vertAlign w:val="baseline"/>
                      <w:lang w:val="en-US" w:eastAsia="zh-CN"/>
                    </w:rPr>
                    <w:t>项目建成后矿权范围内设置1个生产系统，项目不设置尾矿库。</w:t>
                  </w:r>
                </w:p>
              </w:tc>
              <w:tc>
                <w:tcPr>
                  <w:tcW w:w="484" w:type="pct"/>
                  <w:tcMar>
                    <w:left w:w="57" w:type="dxa"/>
                    <w:right w:w="57" w:type="dxa"/>
                  </w:tcMar>
                  <w:vAlign w:val="center"/>
                </w:tcPr>
                <w:p w14:paraId="70776152">
                  <w:pPr>
                    <w:pStyle w:val="49"/>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符合</w:t>
                  </w:r>
                </w:p>
              </w:tc>
            </w:tr>
            <w:tr w14:paraId="4113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000" w:type="pct"/>
                  <w:gridSpan w:val="4"/>
                  <w:tcMar>
                    <w:left w:w="57" w:type="dxa"/>
                    <w:right w:w="57" w:type="dxa"/>
                  </w:tcMar>
                  <w:vAlign w:val="center"/>
                </w:tcPr>
                <w:p w14:paraId="7F5D8062">
                  <w:pPr>
                    <w:pStyle w:val="49"/>
                    <w:rPr>
                      <w:rFonts w:hint="default" w:ascii="Times New Roman" w:hAnsi="Times New Roman" w:cs="Times New Roman"/>
                      <w:b/>
                      <w:bCs/>
                      <w:color w:val="auto"/>
                      <w:sz w:val="21"/>
                      <w:szCs w:val="21"/>
                      <w:highlight w:val="none"/>
                      <w:lang w:eastAsia="zh-CN"/>
                    </w:rPr>
                  </w:pPr>
                  <w:r>
                    <w:rPr>
                      <w:rFonts w:hint="default" w:ascii="Times New Roman" w:hAnsi="Times New Roman" w:cs="Times New Roman"/>
                      <w:b/>
                      <w:bCs/>
                      <w:color w:val="auto"/>
                      <w:sz w:val="21"/>
                      <w:szCs w:val="21"/>
                      <w:highlight w:val="none"/>
                      <w:lang w:eastAsia="zh-CN"/>
                    </w:rPr>
                    <w:t>四、深入推进非煤矿山转型升级</w:t>
                  </w:r>
                </w:p>
              </w:tc>
            </w:tr>
            <w:tr w14:paraId="0DF2C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354" w:type="pct"/>
                  <w:tcMar>
                    <w:left w:w="57" w:type="dxa"/>
                    <w:right w:w="57" w:type="dxa"/>
                  </w:tcMar>
                  <w:vAlign w:val="center"/>
                </w:tcPr>
                <w:p w14:paraId="1A1A8C9F">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7</w:t>
                  </w:r>
                </w:p>
              </w:tc>
              <w:tc>
                <w:tcPr>
                  <w:tcW w:w="2776" w:type="pct"/>
                  <w:tcMar>
                    <w:left w:w="57" w:type="dxa"/>
                    <w:right w:w="57" w:type="dxa"/>
                  </w:tcMar>
                  <w:vAlign w:val="center"/>
                </w:tcPr>
                <w:p w14:paraId="07916244">
                  <w:pPr>
                    <w:pStyle w:val="49"/>
                    <w:ind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七）严格实施“四个一批”。各县级政府要坚决扛牢属地责任，依据有关规定，对行政区域内所有非煤矿山进行全面清查摸底，在充分征求意见、强化政策宣传、科学合理规划优化矿山布局基础上，于2024年11月30日前分别列出达标保留一批、改造升级一批、整合重组一批、淘汰关闭一批“四个一批清单”，在当地主流媒体公示后由县（市、区）人民政府报州（市）人民政府批准后，坚定不移、依法依规、积极稳妥推进实施。对被列为达标保留的非煤矿山，各有关部门要指导企业限时完善相关行政审批手续；对被列为淘汰关闭的非煤矿山，要及时关闭到位，关闭标准达到《国务院安委会办公室关于做好关闭不具备安全生产条件非煤矿山工作的通知》（安委办〔2019〕9号）要求；对被列为改造升级的非煤矿山，原则上要在2025年12月31日前改造升级到位〔采石（砂）场按照本文件“提高露天采石（砂）准入门槛”执行〕，逾期未改造达标或拒不改造的，依法予以停产整顿，经停产整顿仍无法达标的，由属地县级政府依法予以关闭退出；对被列为整合重组的非煤矿山，要在2026年6月30日前整合到位，实现矿权、规划、主体、系统、管理“五统一”，严防假整合。到2024年底全省非煤矿山总数控制在2780座以内，2025年底控制在2490座以内，2026年底控制在2000座以内，并打造一批标准化、自动化、智能化标杆非煤矿山。</w:t>
                  </w:r>
                </w:p>
              </w:tc>
              <w:tc>
                <w:tcPr>
                  <w:tcW w:w="1384" w:type="pct"/>
                  <w:tcMar>
                    <w:left w:w="57" w:type="dxa"/>
                    <w:right w:w="57" w:type="dxa"/>
                  </w:tcMar>
                  <w:vAlign w:val="center"/>
                </w:tcPr>
                <w:p w14:paraId="6F738E83">
                  <w:pPr>
                    <w:pStyle w:val="49"/>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pacing w:val="8"/>
                      <w:sz w:val="21"/>
                      <w:szCs w:val="21"/>
                      <w:highlight w:val="none"/>
                      <w:lang w:val="en-US" w:eastAsia="zh-CN"/>
                    </w:rPr>
                    <w:t>根据《寻甸回族彝族自治县人民政府办公室关于印发寻甸回族彝族自治县非煤矿山转型升级实施方案的通知》（附件10）</w:t>
                  </w:r>
                  <w:r>
                    <w:rPr>
                      <w:rFonts w:hint="default" w:ascii="Times New Roman" w:hAnsi="Times New Roman" w:cs="Times New Roman"/>
                      <w:color w:val="auto"/>
                      <w:sz w:val="21"/>
                      <w:szCs w:val="21"/>
                      <w:highlight w:val="none"/>
                      <w:lang w:val="en-US" w:eastAsia="zh-CN"/>
                    </w:rPr>
                    <w:t>本项目位于改造升级名单内，</w:t>
                  </w:r>
                  <w:r>
                    <w:rPr>
                      <w:rFonts w:hint="default" w:ascii="Times New Roman" w:hAnsi="Times New Roman" w:cs="Times New Roman"/>
                      <w:color w:val="auto"/>
                      <w:sz w:val="21"/>
                      <w:szCs w:val="21"/>
                      <w:highlight w:val="none"/>
                      <w:lang w:eastAsia="zh-CN"/>
                    </w:rPr>
                    <w:t>本项目为现有矿山</w:t>
                  </w:r>
                  <w:r>
                    <w:rPr>
                      <w:rFonts w:hint="default" w:ascii="Times New Roman" w:hAnsi="Times New Roman" w:cs="Times New Roman"/>
                      <w:color w:val="auto"/>
                      <w:sz w:val="21"/>
                      <w:szCs w:val="21"/>
                      <w:highlight w:val="none"/>
                      <w:lang w:val="en-US" w:eastAsia="zh-CN"/>
                    </w:rPr>
                    <w:t>改造升级</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矿权范围不变，</w:t>
                  </w:r>
                  <w:r>
                    <w:rPr>
                      <w:rFonts w:hint="default" w:ascii="Times New Roman" w:hAnsi="Times New Roman" w:cs="Times New Roman"/>
                      <w:color w:val="auto"/>
                      <w:sz w:val="21"/>
                      <w:szCs w:val="21"/>
                      <w:highlight w:val="none"/>
                      <w:lang w:eastAsia="zh-CN"/>
                    </w:rPr>
                    <w:t>开采规模为</w:t>
                  </w:r>
                  <w:r>
                    <w:rPr>
                      <w:rFonts w:hint="default" w:ascii="Times New Roman" w:hAnsi="Times New Roman" w:cs="Times New Roman"/>
                      <w:color w:val="auto"/>
                      <w:sz w:val="21"/>
                      <w:szCs w:val="21"/>
                      <w:highlight w:val="none"/>
                      <w:lang w:val="en-US" w:eastAsia="zh-CN"/>
                    </w:rPr>
                    <w:t>50</w:t>
                  </w:r>
                  <w:r>
                    <w:rPr>
                      <w:rFonts w:hint="default" w:ascii="Times New Roman" w:hAnsi="Times New Roman" w:cs="Times New Roman"/>
                      <w:color w:val="auto"/>
                      <w:sz w:val="21"/>
                      <w:szCs w:val="21"/>
                      <w:highlight w:val="none"/>
                      <w:lang w:eastAsia="zh-CN"/>
                    </w:rPr>
                    <w:t>万</w:t>
                  </w:r>
                  <w:r>
                    <w:rPr>
                      <w:rFonts w:hint="default" w:ascii="Times New Roman" w:hAnsi="Times New Roman" w:cs="Times New Roman"/>
                      <w:color w:val="auto"/>
                      <w:sz w:val="21"/>
                      <w:szCs w:val="21"/>
                      <w:highlight w:val="none"/>
                      <w:lang w:val="en-US" w:eastAsia="zh-CN"/>
                    </w:rPr>
                    <w:t>t</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a</w:t>
                  </w:r>
                  <w:r>
                    <w:rPr>
                      <w:rFonts w:hint="default" w:ascii="Times New Roman" w:hAnsi="Times New Roman" w:cs="Times New Roman"/>
                      <w:color w:val="auto"/>
                      <w:sz w:val="21"/>
                      <w:szCs w:val="21"/>
                      <w:highlight w:val="none"/>
                      <w:lang w:eastAsia="zh-CN"/>
                    </w:rPr>
                    <w:t>，符合“四个一批”相关要求。</w:t>
                  </w:r>
                </w:p>
              </w:tc>
              <w:tc>
                <w:tcPr>
                  <w:tcW w:w="484" w:type="pct"/>
                  <w:tcMar>
                    <w:left w:w="57" w:type="dxa"/>
                    <w:right w:w="57" w:type="dxa"/>
                  </w:tcMar>
                  <w:vAlign w:val="center"/>
                </w:tcPr>
                <w:p w14:paraId="3F2F2031">
                  <w:pPr>
                    <w:pStyle w:val="49"/>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符合</w:t>
                  </w:r>
                </w:p>
              </w:tc>
            </w:tr>
            <w:tr w14:paraId="02B2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54" w:type="pct"/>
                  <w:tcMar>
                    <w:left w:w="57" w:type="dxa"/>
                    <w:right w:w="57" w:type="dxa"/>
                  </w:tcMar>
                  <w:vAlign w:val="center"/>
                </w:tcPr>
                <w:p w14:paraId="34E8EEB4">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8</w:t>
                  </w:r>
                </w:p>
              </w:tc>
              <w:tc>
                <w:tcPr>
                  <w:tcW w:w="2776" w:type="pct"/>
                  <w:tcMar>
                    <w:left w:w="57" w:type="dxa"/>
                    <w:right w:w="57" w:type="dxa"/>
                  </w:tcMar>
                  <w:vAlign w:val="center"/>
                </w:tcPr>
                <w:p w14:paraId="671A3AB1">
                  <w:pPr>
                    <w:pStyle w:val="49"/>
                    <w:ind w:firstLine="420" w:firstLineChars="20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八）分类处置不具备基本条件的非煤矿山。对越界开采、持勘查许可证采矿、采矿许可证过期仍继续开采且拒不整改的，由属地自然资源部门提请当地政府依法关闭；对采矿许可证在有效期内，未依法取得安全生产许可证擅自从事矿产资源开采、以采代建且拒不整改的，使用应当淘汰的危及安全生产的工艺、设备且拒不整改仍然生产建设的，或经停产整顿仍不具备安全生产条件的，由属地应急管理部门提请当地政府依法关闭；对严重污染环境且拒不整改或难以整改的非煤矿山，由属地生态环境部门提请当地政府依法关闭；对其他不符合有关法律法规规定且整改无望的，由属地有关主管部门提请当地政府依法关闭。</w:t>
                  </w:r>
                </w:p>
              </w:tc>
              <w:tc>
                <w:tcPr>
                  <w:tcW w:w="1384" w:type="pct"/>
                  <w:tcMar>
                    <w:left w:w="57" w:type="dxa"/>
                    <w:right w:w="57" w:type="dxa"/>
                  </w:tcMar>
                  <w:vAlign w:val="center"/>
                </w:tcPr>
                <w:p w14:paraId="744A8731">
                  <w:pPr>
                    <w:pStyle w:val="4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本项目为现有矿山扩建，于2021年3月29日取得采矿许可证，有效期限：自2021年3月29日至2027年3月29日。不涉及越界开采、持勘查许可证采矿、采矿许可证过期。</w:t>
                  </w:r>
                </w:p>
              </w:tc>
              <w:tc>
                <w:tcPr>
                  <w:tcW w:w="484" w:type="pct"/>
                  <w:tcMar>
                    <w:left w:w="57" w:type="dxa"/>
                    <w:right w:w="57" w:type="dxa"/>
                  </w:tcMar>
                  <w:vAlign w:val="center"/>
                </w:tcPr>
                <w:p w14:paraId="6A315C68">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符合</w:t>
                  </w:r>
                </w:p>
              </w:tc>
            </w:tr>
            <w:tr w14:paraId="705A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5000" w:type="pct"/>
                  <w:gridSpan w:val="4"/>
                  <w:tcMar>
                    <w:left w:w="57" w:type="dxa"/>
                    <w:right w:w="57" w:type="dxa"/>
                  </w:tcMar>
                  <w:vAlign w:val="center"/>
                </w:tcPr>
                <w:p w14:paraId="27407F27">
                  <w:pPr>
                    <w:pStyle w:val="49"/>
                    <w:rPr>
                      <w:rFonts w:hint="default" w:ascii="Times New Roman" w:hAnsi="Times New Roman" w:cs="Times New Roman"/>
                      <w:color w:val="auto"/>
                      <w:sz w:val="21"/>
                      <w:szCs w:val="21"/>
                      <w:highlight w:val="none"/>
                      <w:lang w:eastAsia="zh-CN"/>
                    </w:rPr>
                  </w:pPr>
                  <w:r>
                    <w:rPr>
                      <w:rFonts w:hint="default" w:ascii="Times New Roman" w:hAnsi="Times New Roman" w:cs="Times New Roman"/>
                      <w:b/>
                      <w:bCs/>
                      <w:color w:val="auto"/>
                      <w:sz w:val="21"/>
                      <w:szCs w:val="21"/>
                      <w:highlight w:val="none"/>
                      <w:lang w:eastAsia="zh-CN"/>
                    </w:rPr>
                    <w:t>五、落实企业全员安全生产责任制</w:t>
                  </w:r>
                </w:p>
              </w:tc>
            </w:tr>
            <w:tr w14:paraId="4E4B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354" w:type="pct"/>
                  <w:tcMar>
                    <w:left w:w="57" w:type="dxa"/>
                    <w:right w:w="57" w:type="dxa"/>
                  </w:tcMar>
                  <w:vAlign w:val="center"/>
                </w:tcPr>
                <w:p w14:paraId="661DE83F">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9</w:t>
                  </w:r>
                </w:p>
              </w:tc>
              <w:tc>
                <w:tcPr>
                  <w:tcW w:w="2776" w:type="pct"/>
                  <w:tcMar>
                    <w:left w:w="57" w:type="dxa"/>
                    <w:right w:w="57" w:type="dxa"/>
                  </w:tcMar>
                  <w:vAlign w:val="center"/>
                </w:tcPr>
                <w:p w14:paraId="2463A8E8">
                  <w:pPr>
                    <w:pStyle w:val="49"/>
                    <w:ind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九）压实企业主要负责人责任。非煤矿山及其上级企业主要负责人（含法定代表人、实际控制人、实际负责人，下同）必须依法到现场严格履行安全生产第一责任人责任。对安全管理责任不落实、安全生产不投入、冒险组织作业等造成事故或瞒报谎报事故的，按照“谁投资、谁受益、谁负责”严肃追究主要负责人法律责任。</w:t>
                  </w:r>
                </w:p>
              </w:tc>
              <w:tc>
                <w:tcPr>
                  <w:tcW w:w="1384" w:type="pct"/>
                  <w:tcMar>
                    <w:left w:w="57" w:type="dxa"/>
                    <w:right w:w="57" w:type="dxa"/>
                  </w:tcMar>
                  <w:vAlign w:val="center"/>
                </w:tcPr>
                <w:p w14:paraId="1E5394F7">
                  <w:pPr>
                    <w:pStyle w:val="49"/>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本项目运营后严格按照企业全员安全生产责任制要求进行管理。</w:t>
                  </w:r>
                </w:p>
              </w:tc>
              <w:tc>
                <w:tcPr>
                  <w:tcW w:w="484" w:type="pct"/>
                  <w:tcMar>
                    <w:left w:w="57" w:type="dxa"/>
                    <w:right w:w="57" w:type="dxa"/>
                  </w:tcMar>
                  <w:vAlign w:val="center"/>
                </w:tcPr>
                <w:p w14:paraId="0786828E">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符合</w:t>
                  </w:r>
                </w:p>
              </w:tc>
            </w:tr>
            <w:tr w14:paraId="088A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4" w:type="pct"/>
                  <w:tcMar>
                    <w:left w:w="57" w:type="dxa"/>
                    <w:right w:w="57" w:type="dxa"/>
                  </w:tcMar>
                  <w:vAlign w:val="center"/>
                </w:tcPr>
                <w:p w14:paraId="33E0F3C6">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10</w:t>
                  </w:r>
                </w:p>
              </w:tc>
              <w:tc>
                <w:tcPr>
                  <w:tcW w:w="2776" w:type="pct"/>
                  <w:tcMar>
                    <w:left w:w="57" w:type="dxa"/>
                    <w:right w:w="57" w:type="dxa"/>
                  </w:tcMar>
                  <w:vAlign w:val="center"/>
                </w:tcPr>
                <w:p w14:paraId="57F4BF81">
                  <w:pPr>
                    <w:pStyle w:val="49"/>
                    <w:ind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十）建强企业安全生产管理团队。非煤地下矿山应当配备矿长、总工程师和分管安全、生产、机电等工作的副矿长（“五职”矿长），所配备人员应当具有非煤矿山相关专业大专以上学历或中级以上专业技术职称，且不得在其他矿山兼职。非煤矿山、尾矿库应当配备相关专业中专以上学历或中级以上专业技术职称的专职技术人员。灾害风险严重的非煤矿山应当按要求配备灾害治理专职领导人员、专门机构、专业人员。</w:t>
                  </w:r>
                </w:p>
              </w:tc>
              <w:tc>
                <w:tcPr>
                  <w:tcW w:w="1384" w:type="pct"/>
                  <w:tcMar>
                    <w:left w:w="57" w:type="dxa"/>
                    <w:right w:w="57" w:type="dxa"/>
                  </w:tcMar>
                  <w:vAlign w:val="center"/>
                </w:tcPr>
                <w:p w14:paraId="6363AA21">
                  <w:pPr>
                    <w:pStyle w:val="49"/>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本项目运营后将配备企业安全生产管理团队。</w:t>
                  </w:r>
                </w:p>
              </w:tc>
              <w:tc>
                <w:tcPr>
                  <w:tcW w:w="484" w:type="pct"/>
                  <w:tcMar>
                    <w:left w:w="57" w:type="dxa"/>
                    <w:right w:w="57" w:type="dxa"/>
                  </w:tcMar>
                  <w:vAlign w:val="center"/>
                </w:tcPr>
                <w:p w14:paraId="01828DE8">
                  <w:pPr>
                    <w:pStyle w:val="49"/>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符合</w:t>
                  </w:r>
                </w:p>
              </w:tc>
            </w:tr>
            <w:tr w14:paraId="706D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7" w:hRule="atLeast"/>
                <w:jc w:val="center"/>
              </w:trPr>
              <w:tc>
                <w:tcPr>
                  <w:tcW w:w="354" w:type="pct"/>
                  <w:tcMar>
                    <w:left w:w="57" w:type="dxa"/>
                    <w:right w:w="57" w:type="dxa"/>
                  </w:tcMar>
                  <w:vAlign w:val="center"/>
                </w:tcPr>
                <w:p w14:paraId="4B7DD638">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11</w:t>
                  </w:r>
                </w:p>
              </w:tc>
              <w:tc>
                <w:tcPr>
                  <w:tcW w:w="2776" w:type="pct"/>
                  <w:tcMar>
                    <w:left w:w="57" w:type="dxa"/>
                    <w:right w:w="57" w:type="dxa"/>
                  </w:tcMar>
                  <w:vAlign w:val="center"/>
                </w:tcPr>
                <w:p w14:paraId="358FFC72">
                  <w:pPr>
                    <w:pStyle w:val="49"/>
                    <w:ind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十一）提升从业人员安全素质能力。应急管理部门定期开展非煤地下矿山、大中型露天矿山、尾矿库企业主要负责人集中培训。企业主要负责人、安全生产管理人员、特种作业人员100%持证上岗，无证上岗的，依法限期整改直至停产整顿。取消井下劳务派遣用工。坚决防范“三违”行为。大力整治假培训、假考试、假证书。</w:t>
                  </w:r>
                </w:p>
              </w:tc>
              <w:tc>
                <w:tcPr>
                  <w:tcW w:w="1384" w:type="pct"/>
                  <w:tcMar>
                    <w:left w:w="57" w:type="dxa"/>
                    <w:right w:w="57" w:type="dxa"/>
                  </w:tcMar>
                  <w:vAlign w:val="center"/>
                </w:tcPr>
                <w:p w14:paraId="6FD47854">
                  <w:pPr>
                    <w:pStyle w:val="49"/>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本项目运营后企业主要负责人、安全生产管理人员、特种作业人员全部持证上岗。</w:t>
                  </w:r>
                </w:p>
              </w:tc>
              <w:tc>
                <w:tcPr>
                  <w:tcW w:w="484" w:type="pct"/>
                  <w:tcMar>
                    <w:left w:w="57" w:type="dxa"/>
                    <w:right w:w="57" w:type="dxa"/>
                  </w:tcMar>
                  <w:vAlign w:val="center"/>
                </w:tcPr>
                <w:p w14:paraId="45192354">
                  <w:pPr>
                    <w:pStyle w:val="49"/>
                    <w:jc w:val="center"/>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符合</w:t>
                  </w:r>
                </w:p>
              </w:tc>
            </w:tr>
          </w:tbl>
          <w:p w14:paraId="279413D6">
            <w:pPr>
              <w:spacing w:before="156" w:beforeLines="50"/>
              <w:ind w:firstLine="480"/>
              <w:jc w:val="left"/>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根据上表分析，本项目与《云南省全面加强非煤矿山安全生产工作若干措施》（云政办发〔2024〕44号）要求相符。</w:t>
            </w:r>
          </w:p>
          <w:p w14:paraId="76C9B069">
            <w:pPr>
              <w:autoSpaceDE w:val="0"/>
              <w:autoSpaceDN w:val="0"/>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3、与云南省生态环境厅关于《加强砂石开采行业环境监管工作的通知》（云环通〔2016〕172号）符合性分析</w:t>
            </w:r>
          </w:p>
          <w:p w14:paraId="3281AAC6">
            <w:pPr>
              <w:autoSpaceDE w:val="0"/>
              <w:autoSpaceDN w:val="0"/>
              <w:adjustRightInd w:val="0"/>
              <w:spacing w:line="360" w:lineRule="auto"/>
              <w:ind w:firstLine="48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本项目与云南省生态环境厅《关于加强砂石开采行业环境监管工作的通知》（云环通〔2016〕172号）符合性分析详见表1-</w:t>
            </w:r>
            <w:r>
              <w:rPr>
                <w:rFonts w:hint="eastAsia" w:ascii="Times New Roman" w:hAnsi="Times New Roman" w:cs="Times New Roman"/>
                <w:color w:val="auto"/>
                <w:kern w:val="0"/>
                <w:szCs w:val="21"/>
                <w:highlight w:val="none"/>
                <w:lang w:val="en-US" w:eastAsia="zh-CN"/>
              </w:rPr>
              <w:t>11</w:t>
            </w:r>
            <w:r>
              <w:rPr>
                <w:rFonts w:hint="default" w:ascii="Times New Roman" w:hAnsi="Times New Roman" w:cs="Times New Roman"/>
                <w:color w:val="auto"/>
                <w:kern w:val="0"/>
                <w:szCs w:val="21"/>
                <w:highlight w:val="none"/>
              </w:rPr>
              <w:t>。</w:t>
            </w:r>
          </w:p>
          <w:p w14:paraId="338146DF">
            <w:pPr>
              <w:autoSpaceDE w:val="0"/>
              <w:autoSpaceDN w:val="0"/>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表1-</w:t>
            </w:r>
            <w:r>
              <w:rPr>
                <w:rFonts w:hint="eastAsia" w:ascii="Times New Roman" w:hAnsi="Times New Roman" w:cs="Times New Roman"/>
                <w:b/>
                <w:bCs/>
                <w:color w:val="auto"/>
                <w:kern w:val="0"/>
                <w:sz w:val="21"/>
                <w:szCs w:val="21"/>
                <w:highlight w:val="none"/>
                <w:lang w:val="en-US" w:eastAsia="zh-CN"/>
              </w:rPr>
              <w:t>11</w:t>
            </w:r>
            <w:r>
              <w:rPr>
                <w:rFonts w:hint="default" w:ascii="Times New Roman" w:hAnsi="Times New Roman" w:cs="Times New Roman"/>
                <w:b/>
                <w:bCs/>
                <w:color w:val="auto"/>
                <w:kern w:val="0"/>
                <w:sz w:val="21"/>
                <w:szCs w:val="21"/>
                <w:highlight w:val="none"/>
              </w:rPr>
              <w:t xml:space="preserve"> 本项目与《关于加强砂石开采行业环境监管工作的通知》的符合性分析一览表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500"/>
              <w:gridCol w:w="4513"/>
              <w:gridCol w:w="767"/>
            </w:tblGrid>
            <w:tr w14:paraId="3456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69" w:hRule="atLeast"/>
                <w:jc w:val="center"/>
              </w:trPr>
              <w:tc>
                <w:tcPr>
                  <w:tcW w:w="1606" w:type="pct"/>
                  <w:vAlign w:val="center"/>
                </w:tcPr>
                <w:p w14:paraId="0188A3CB">
                  <w:pPr>
                    <w:autoSpaceDE w:val="0"/>
                    <w:autoSpaceDN w:val="0"/>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eastAsia="宋体" w:cs="Times New Roman"/>
                      <w:b/>
                      <w:bCs/>
                      <w:color w:val="auto"/>
                      <w:sz w:val="21"/>
                      <w:szCs w:val="21"/>
                      <w:highlight w:val="none"/>
                    </w:rPr>
                    <w:t>云环通</w:t>
                  </w:r>
                  <w:r>
                    <w:rPr>
                      <w:rFonts w:hint="default" w:ascii="Times New Roman" w:hAnsi="Times New Roman" w:eastAsia="宋体" w:cs="Times New Roman"/>
                      <w:b/>
                      <w:bCs/>
                      <w:color w:val="auto"/>
                      <w:sz w:val="21"/>
                      <w:szCs w:val="21"/>
                      <w:highlight w:val="none"/>
                      <w:lang w:val="en-US"/>
                    </w:rPr>
                    <w:t>〔</w:t>
                  </w:r>
                  <w:r>
                    <w:rPr>
                      <w:rFonts w:hint="default" w:ascii="Times New Roman" w:hAnsi="Times New Roman" w:eastAsia="宋体" w:cs="Times New Roman"/>
                      <w:b/>
                      <w:bCs/>
                      <w:color w:val="auto"/>
                      <w:sz w:val="21"/>
                      <w:szCs w:val="21"/>
                      <w:highlight w:val="none"/>
                    </w:rPr>
                    <w:t>2016</w:t>
                  </w:r>
                  <w:r>
                    <w:rPr>
                      <w:rFonts w:hint="default" w:ascii="Times New Roman" w:hAnsi="Times New Roman" w:eastAsia="宋体" w:cs="Times New Roman"/>
                      <w:b/>
                      <w:bCs/>
                      <w:color w:val="auto"/>
                      <w:sz w:val="21"/>
                      <w:szCs w:val="21"/>
                      <w:highlight w:val="none"/>
                      <w:lang w:val="en-US" w:eastAsia="zh-CN"/>
                    </w:rPr>
                    <w:t>〕</w:t>
                  </w:r>
                  <w:r>
                    <w:rPr>
                      <w:rFonts w:hint="default" w:ascii="Times New Roman" w:hAnsi="Times New Roman" w:eastAsia="宋体" w:cs="Times New Roman"/>
                      <w:b/>
                      <w:bCs/>
                      <w:color w:val="auto"/>
                      <w:sz w:val="21"/>
                      <w:szCs w:val="21"/>
                      <w:highlight w:val="none"/>
                    </w:rPr>
                    <w:t>172号</w:t>
                  </w:r>
                </w:p>
              </w:tc>
              <w:tc>
                <w:tcPr>
                  <w:tcW w:w="2900" w:type="pct"/>
                  <w:vAlign w:val="center"/>
                </w:tcPr>
                <w:p w14:paraId="720060DC">
                  <w:pPr>
                    <w:autoSpaceDE w:val="0"/>
                    <w:autoSpaceDN w:val="0"/>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本矿山情况</w:t>
                  </w:r>
                </w:p>
              </w:tc>
              <w:tc>
                <w:tcPr>
                  <w:tcW w:w="492" w:type="pct"/>
                  <w:vAlign w:val="center"/>
                </w:tcPr>
                <w:p w14:paraId="1390C805">
                  <w:pPr>
                    <w:autoSpaceDE w:val="0"/>
                    <w:autoSpaceDN w:val="0"/>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符合性</w:t>
                  </w:r>
                </w:p>
              </w:tc>
            </w:tr>
            <w:tr w14:paraId="0DCAE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7" w:hRule="atLeast"/>
                <w:jc w:val="center"/>
              </w:trPr>
              <w:tc>
                <w:tcPr>
                  <w:tcW w:w="1606" w:type="pct"/>
                  <w:vAlign w:val="center"/>
                </w:tcPr>
                <w:p w14:paraId="66959B97">
                  <w:pPr>
                    <w:autoSpaceDE w:val="0"/>
                    <w:autoSpaceDN w:val="0"/>
                    <w:adjustRightInd w:val="0"/>
                    <w:spacing w:line="240" w:lineRule="auto"/>
                    <w:ind w:left="0" w:leftChars="0" w:firstLine="0" w:firstLineChars="0"/>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位于自然保护区、风景名胜区、饮用水水源保护区、世界文化和自然遗产地等环境敏感区域的；</w:t>
                  </w:r>
                </w:p>
              </w:tc>
              <w:tc>
                <w:tcPr>
                  <w:tcW w:w="2900" w:type="pct"/>
                  <w:vAlign w:val="center"/>
                </w:tcPr>
                <w:p w14:paraId="147ECBCC">
                  <w:pPr>
                    <w:autoSpaceDE w:val="0"/>
                    <w:autoSpaceDN w:val="0"/>
                    <w:adjustRightInd w:val="0"/>
                    <w:spacing w:line="240" w:lineRule="auto"/>
                    <w:ind w:left="0" w:leftChars="0" w:firstLine="0" w:firstLineChars="0"/>
                    <w:rPr>
                      <w:rFonts w:hint="default" w:ascii="Times New Roman" w:hAnsi="Times New Roman" w:cs="Times New Roman"/>
                      <w:color w:val="auto"/>
                      <w:kern w:val="0"/>
                      <w:sz w:val="21"/>
                      <w:szCs w:val="21"/>
                      <w:highlight w:val="none"/>
                      <w:lang w:val="en-US"/>
                    </w:rPr>
                  </w:pPr>
                  <w:r>
                    <w:rPr>
                      <w:rFonts w:hint="default" w:ascii="Times New Roman" w:hAnsi="Times New Roman" w:eastAsia="宋体" w:cs="Times New Roman"/>
                      <w:color w:val="auto"/>
                      <w:kern w:val="0"/>
                      <w:sz w:val="21"/>
                      <w:szCs w:val="21"/>
                      <w:highlight w:val="none"/>
                      <w:lang w:val="en-US" w:eastAsia="zh-CN"/>
                    </w:rPr>
                    <w:t>本项目位于寻甸县柯渡镇乐朗村委会，根据《寻甸回族彝族自治县自然资源局关于云南省寻甸县柯渡黄龙溏普通建筑材料用砂岩矿采矿权新立</w:t>
                  </w:r>
                  <w:r>
                    <w:rPr>
                      <w:rFonts w:hint="eastAsia" w:cs="Times New Roman"/>
                      <w:color w:val="auto"/>
                      <w:kern w:val="0"/>
                      <w:sz w:val="21"/>
                      <w:szCs w:val="21"/>
                      <w:highlight w:val="none"/>
                      <w:lang w:val="en-US" w:eastAsia="zh-CN"/>
                    </w:rPr>
                    <w:t>联勘联审</w:t>
                  </w:r>
                  <w:r>
                    <w:rPr>
                      <w:rFonts w:hint="default" w:ascii="Times New Roman" w:hAnsi="Times New Roman" w:eastAsia="宋体" w:cs="Times New Roman"/>
                      <w:color w:val="auto"/>
                      <w:kern w:val="0"/>
                      <w:sz w:val="21"/>
                      <w:szCs w:val="21"/>
                      <w:highlight w:val="none"/>
                      <w:lang w:val="en-US" w:eastAsia="zh-CN"/>
                    </w:rPr>
                    <w:t>及相关规划等有关情况审查意见》（附件9）及三区三线查询结果（附件7），本项目未与寻甸县生态保护红线管控范围重叠，不在城镇开发边界范围内，未涉及永久基本农田，项目用地范围不涉及</w:t>
                  </w:r>
                  <w:r>
                    <w:rPr>
                      <w:rFonts w:hint="default" w:ascii="Times New Roman" w:hAnsi="Times New Roman" w:cs="Times New Roman"/>
                      <w:color w:val="auto"/>
                      <w:kern w:val="0"/>
                      <w:sz w:val="21"/>
                      <w:szCs w:val="21"/>
                      <w:highlight w:val="none"/>
                    </w:rPr>
                    <w:t>自然保护区、风景名胜区、饮用水水源保护区、世界文化和自然遗产地等环境敏感区域</w:t>
                  </w:r>
                </w:p>
              </w:tc>
              <w:tc>
                <w:tcPr>
                  <w:tcW w:w="492" w:type="pct"/>
                  <w:vAlign w:val="center"/>
                </w:tcPr>
                <w:p w14:paraId="5F5CFFB7">
                  <w:pPr>
                    <w:autoSpaceDE w:val="0"/>
                    <w:autoSpaceDN w:val="0"/>
                    <w:adjustRightIn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47D4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7" w:hRule="atLeast"/>
                <w:jc w:val="center"/>
              </w:trPr>
              <w:tc>
                <w:tcPr>
                  <w:tcW w:w="1606" w:type="pct"/>
                  <w:vAlign w:val="center"/>
                </w:tcPr>
                <w:p w14:paraId="3C4901C1">
                  <w:pPr>
                    <w:autoSpaceDE w:val="0"/>
                    <w:autoSpaceDN w:val="0"/>
                    <w:adjustRightInd w:val="0"/>
                    <w:spacing w:line="240" w:lineRule="auto"/>
                    <w:ind w:left="0" w:leftChars="0" w:firstLine="0" w:firstLineChars="0"/>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位于重要城镇、城市面山的；</w:t>
                  </w:r>
                </w:p>
              </w:tc>
              <w:tc>
                <w:tcPr>
                  <w:tcW w:w="2900" w:type="pct"/>
                  <w:vAlign w:val="center"/>
                </w:tcPr>
                <w:p w14:paraId="57D52559">
                  <w:pPr>
                    <w:autoSpaceDE w:val="0"/>
                    <w:autoSpaceDN w:val="0"/>
                    <w:adjustRightInd w:val="0"/>
                    <w:spacing w:line="240" w:lineRule="auto"/>
                    <w:ind w:left="0" w:leftChars="0" w:firstLine="0" w:firstLineChars="0"/>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本项目不位于重要城镇、城市面山；</w:t>
                  </w:r>
                </w:p>
              </w:tc>
              <w:tc>
                <w:tcPr>
                  <w:tcW w:w="492" w:type="pct"/>
                  <w:vAlign w:val="center"/>
                </w:tcPr>
                <w:p w14:paraId="2706B82D">
                  <w:pPr>
                    <w:autoSpaceDE w:val="0"/>
                    <w:autoSpaceDN w:val="0"/>
                    <w:adjustRightIn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6765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26" w:hRule="atLeast"/>
                <w:jc w:val="center"/>
              </w:trPr>
              <w:tc>
                <w:tcPr>
                  <w:tcW w:w="1606" w:type="pct"/>
                  <w:vAlign w:val="center"/>
                </w:tcPr>
                <w:p w14:paraId="394B90DB">
                  <w:pPr>
                    <w:autoSpaceDE w:val="0"/>
                    <w:autoSpaceDN w:val="0"/>
                    <w:adjustRightInd w:val="0"/>
                    <w:spacing w:line="240" w:lineRule="auto"/>
                    <w:ind w:left="0" w:leftChars="0" w:firstLine="0" w:firstLineChars="0"/>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露天采石（砂）场矿界与村庄距离小于500米的；</w:t>
                  </w:r>
                </w:p>
              </w:tc>
              <w:tc>
                <w:tcPr>
                  <w:tcW w:w="2900" w:type="pct"/>
                  <w:vAlign w:val="center"/>
                </w:tcPr>
                <w:p w14:paraId="2300EFB6">
                  <w:pPr>
                    <w:autoSpaceDE w:val="0"/>
                    <w:autoSpaceDN w:val="0"/>
                    <w:adjustRightInd w:val="0"/>
                    <w:spacing w:line="240" w:lineRule="auto"/>
                    <w:ind w:left="0" w:leftChars="0" w:firstLine="0" w:firstLineChars="0"/>
                    <w:rPr>
                      <w:rFonts w:hint="default" w:ascii="Times New Roman" w:hAnsi="Times New Roman" w:cs="Times New Roman"/>
                      <w:color w:val="auto"/>
                      <w:kern w:val="0"/>
                      <w:sz w:val="21"/>
                      <w:szCs w:val="21"/>
                      <w:highlight w:val="none"/>
                    </w:rPr>
                  </w:pPr>
                  <w:r>
                    <w:rPr>
                      <w:rFonts w:hint="eastAsia" w:ascii="Times New Roman" w:hAnsi="Times New Roman" w:cs="Times New Roman"/>
                      <w:caps w:val="0"/>
                      <w:smallCaps w:val="0"/>
                      <w:color w:val="auto"/>
                      <w:sz w:val="21"/>
                      <w:szCs w:val="21"/>
                      <w:highlight w:val="none"/>
                      <w:lang w:val="en-US" w:eastAsia="zh-CN"/>
                    </w:rPr>
                    <w:t>项目</w:t>
                  </w:r>
                  <w:r>
                    <w:rPr>
                      <w:rFonts w:hint="default" w:ascii="Times New Roman" w:hAnsi="Times New Roman" w:cs="Times New Roman"/>
                      <w:caps w:val="0"/>
                      <w:smallCaps w:val="0"/>
                      <w:color w:val="auto"/>
                      <w:sz w:val="21"/>
                      <w:szCs w:val="21"/>
                      <w:highlight w:val="none"/>
                    </w:rPr>
                    <w:t>露天采石(砂)场矿界与</w:t>
                  </w:r>
                  <w:r>
                    <w:rPr>
                      <w:rFonts w:hint="eastAsia" w:ascii="Times New Roman" w:hAnsi="Times New Roman" w:cs="Times New Roman"/>
                      <w:caps w:val="0"/>
                      <w:smallCaps w:val="0"/>
                      <w:color w:val="auto"/>
                      <w:sz w:val="21"/>
                      <w:szCs w:val="21"/>
                      <w:highlight w:val="none"/>
                      <w:lang w:val="en-US" w:eastAsia="zh-CN"/>
                    </w:rPr>
                    <w:t>北侧</w:t>
                  </w:r>
                  <w:r>
                    <w:rPr>
                      <w:rFonts w:hint="default" w:ascii="Times New Roman" w:hAnsi="Times New Roman" w:cs="Times New Roman"/>
                      <w:caps w:val="0"/>
                      <w:smallCaps w:val="0"/>
                      <w:color w:val="auto"/>
                      <w:sz w:val="21"/>
                      <w:szCs w:val="21"/>
                      <w:highlight w:val="none"/>
                    </w:rPr>
                    <w:t>村庄</w:t>
                  </w:r>
                  <w:r>
                    <w:rPr>
                      <w:rFonts w:hint="eastAsia" w:ascii="Times New Roman" w:hAnsi="Times New Roman" w:cs="Times New Roman"/>
                      <w:caps w:val="0"/>
                      <w:smallCaps w:val="0"/>
                      <w:color w:val="auto"/>
                      <w:sz w:val="21"/>
                      <w:szCs w:val="21"/>
                      <w:highlight w:val="none"/>
                      <w:lang w:val="en-US" w:eastAsia="zh-CN"/>
                    </w:rPr>
                    <w:t>稗子田村</w:t>
                  </w:r>
                  <w:r>
                    <w:rPr>
                      <w:rFonts w:hint="default" w:ascii="Times New Roman" w:hAnsi="Times New Roman" w:cs="Times New Roman"/>
                      <w:caps w:val="0"/>
                      <w:smallCaps w:val="0"/>
                      <w:color w:val="auto"/>
                      <w:sz w:val="21"/>
                      <w:szCs w:val="21"/>
                      <w:highlight w:val="none"/>
                      <w:lang w:val="en-US" w:eastAsia="zh-CN"/>
                    </w:rPr>
                    <w:t>最近</w:t>
                  </w:r>
                  <w:r>
                    <w:rPr>
                      <w:rFonts w:hint="default" w:ascii="Times New Roman" w:hAnsi="Times New Roman" w:cs="Times New Roman"/>
                      <w:caps w:val="0"/>
                      <w:smallCaps w:val="0"/>
                      <w:color w:val="auto"/>
                      <w:sz w:val="21"/>
                      <w:szCs w:val="21"/>
                      <w:highlight w:val="none"/>
                    </w:rPr>
                    <w:t>距离</w:t>
                  </w:r>
                  <w:r>
                    <w:rPr>
                      <w:rFonts w:hint="default" w:ascii="Times New Roman" w:hAnsi="Times New Roman" w:cs="Times New Roman"/>
                      <w:caps w:val="0"/>
                      <w:smallCaps w:val="0"/>
                      <w:color w:val="auto"/>
                      <w:sz w:val="21"/>
                      <w:szCs w:val="21"/>
                      <w:highlight w:val="none"/>
                      <w:lang w:val="en-US" w:eastAsia="zh-CN"/>
                    </w:rPr>
                    <w:t>为670</w:t>
                  </w:r>
                  <w:r>
                    <w:rPr>
                      <w:rFonts w:hint="default" w:ascii="Times New Roman" w:hAnsi="Times New Roman" w:cs="Times New Roman"/>
                      <w:caps w:val="0"/>
                      <w:smallCaps w:val="0"/>
                      <w:color w:val="auto"/>
                      <w:sz w:val="21"/>
                      <w:szCs w:val="21"/>
                      <w:highlight w:val="none"/>
                    </w:rPr>
                    <w:t>米；</w:t>
                  </w:r>
                </w:p>
              </w:tc>
              <w:tc>
                <w:tcPr>
                  <w:tcW w:w="492" w:type="pct"/>
                  <w:vAlign w:val="center"/>
                </w:tcPr>
                <w:p w14:paraId="75F8DDE6">
                  <w:pPr>
                    <w:autoSpaceDE w:val="0"/>
                    <w:autoSpaceDN w:val="0"/>
                    <w:adjustRightIn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49D3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6" w:hRule="atLeast"/>
                <w:jc w:val="center"/>
              </w:trPr>
              <w:tc>
                <w:tcPr>
                  <w:tcW w:w="1606" w:type="pct"/>
                  <w:vAlign w:val="center"/>
                </w:tcPr>
                <w:p w14:paraId="442AF509">
                  <w:pPr>
                    <w:autoSpaceDE w:val="0"/>
                    <w:autoSpaceDN w:val="0"/>
                    <w:adjustRightInd w:val="0"/>
                    <w:spacing w:line="240" w:lineRule="auto"/>
                    <w:ind w:left="0" w:leftChars="0" w:firstLine="0" w:firstLineChars="0"/>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位于铁路、高速公路、国道、省道等重要交通干线和旅游线路两侧可视范围内的；</w:t>
                  </w:r>
                </w:p>
              </w:tc>
              <w:tc>
                <w:tcPr>
                  <w:tcW w:w="2900" w:type="pct"/>
                  <w:vAlign w:val="center"/>
                </w:tcPr>
                <w:p w14:paraId="3F073947">
                  <w:pPr>
                    <w:autoSpaceDE w:val="0"/>
                    <w:autoSpaceDN w:val="0"/>
                    <w:adjustRightInd w:val="0"/>
                    <w:spacing w:line="240" w:lineRule="auto"/>
                    <w:ind w:left="0" w:leftChars="0" w:firstLine="0" w:firstLineChars="0"/>
                    <w:rPr>
                      <w:rFonts w:hint="default" w:ascii="Times New Roman" w:hAnsi="Times New Roman" w:cs="Times New Roman"/>
                      <w:color w:val="auto"/>
                      <w:kern w:val="0"/>
                      <w:sz w:val="21"/>
                      <w:szCs w:val="21"/>
                      <w:highlight w:val="none"/>
                      <w:lang w:val="en-US"/>
                    </w:rPr>
                  </w:pPr>
                  <w:r>
                    <w:rPr>
                      <w:rFonts w:hint="default" w:ascii="Times New Roman" w:hAnsi="Times New Roman" w:cs="Times New Roman"/>
                      <w:caps w:val="0"/>
                      <w:smallCaps w:val="0"/>
                      <w:color w:val="auto"/>
                      <w:sz w:val="21"/>
                      <w:szCs w:val="21"/>
                      <w:highlight w:val="none"/>
                      <w:lang w:val="en-US" w:eastAsia="zh-CN"/>
                    </w:rPr>
                    <w:t>项目西侧直线距离约585.5m处为S101省道，存在海拔差且有山体和林木的遮挡，故项目</w:t>
                  </w:r>
                  <w:r>
                    <w:rPr>
                      <w:rFonts w:hint="default" w:ascii="Times New Roman" w:hAnsi="Times New Roman" w:cs="Times New Roman"/>
                      <w:caps w:val="0"/>
                      <w:smallCaps w:val="0"/>
                      <w:color w:val="auto"/>
                      <w:sz w:val="21"/>
                      <w:szCs w:val="21"/>
                      <w:highlight w:val="none"/>
                    </w:rPr>
                    <w:t>不在铁路、高速公路、国道、省道等重要交通干线和旅游线路两侧可视范围内。</w:t>
                  </w:r>
                </w:p>
              </w:tc>
              <w:tc>
                <w:tcPr>
                  <w:tcW w:w="492" w:type="pct"/>
                  <w:vAlign w:val="center"/>
                </w:tcPr>
                <w:p w14:paraId="132D3EEC">
                  <w:pPr>
                    <w:autoSpaceDE w:val="0"/>
                    <w:autoSpaceDN w:val="0"/>
                    <w:adjustRightIn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3D01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2" w:hRule="atLeast"/>
                <w:jc w:val="center"/>
              </w:trPr>
              <w:tc>
                <w:tcPr>
                  <w:tcW w:w="1606" w:type="pct"/>
                  <w:vAlign w:val="center"/>
                </w:tcPr>
                <w:p w14:paraId="58ACBE23">
                  <w:pPr>
                    <w:autoSpaceDE w:val="0"/>
                    <w:autoSpaceDN w:val="0"/>
                    <w:adjustRightInd w:val="0"/>
                    <w:spacing w:line="240" w:lineRule="auto"/>
                    <w:ind w:left="0" w:leftChars="0" w:firstLine="0" w:firstLineChars="0"/>
                    <w:rPr>
                      <w:rFonts w:hint="default" w:ascii="Times New Roman" w:hAnsi="Times New Roman" w:eastAsia="宋体" w:cs="Times New Roman"/>
                      <w:caps w:val="0"/>
                      <w:smallCaps w:val="0"/>
                      <w:color w:val="auto"/>
                      <w:sz w:val="21"/>
                      <w:szCs w:val="21"/>
                      <w:highlight w:val="none"/>
                    </w:rPr>
                  </w:pPr>
                  <w:r>
                    <w:rPr>
                      <w:rFonts w:hint="default" w:ascii="Times New Roman" w:hAnsi="Times New Roman" w:eastAsia="宋体" w:cs="Times New Roman"/>
                      <w:caps w:val="0"/>
                      <w:smallCaps w:val="0"/>
                      <w:color w:val="auto"/>
                      <w:sz w:val="21"/>
                      <w:szCs w:val="21"/>
                      <w:highlight w:val="none"/>
                    </w:rPr>
                    <w:t>新建、改建、扩建建筑用石料和建筑用砂项目，开采规模不得小于30万吨/年和10万吨/年，露天开采服务年限不得少于6年。</w:t>
                  </w:r>
                </w:p>
              </w:tc>
              <w:tc>
                <w:tcPr>
                  <w:tcW w:w="2900" w:type="pct"/>
                  <w:vAlign w:val="center"/>
                </w:tcPr>
                <w:p w14:paraId="218B5A81">
                  <w:pPr>
                    <w:autoSpaceDE w:val="0"/>
                    <w:autoSpaceDN w:val="0"/>
                    <w:adjustRightInd w:val="0"/>
                    <w:spacing w:line="240" w:lineRule="auto"/>
                    <w:ind w:left="0" w:leftChars="0" w:firstLine="0" w:firstLineChars="0"/>
                    <w:rPr>
                      <w:rFonts w:hint="default" w:ascii="Times New Roman" w:hAnsi="Times New Roman" w:eastAsia="宋体" w:cs="Times New Roman"/>
                      <w:caps w:val="0"/>
                      <w:smallCaps w:val="0"/>
                      <w:color w:val="auto"/>
                      <w:sz w:val="21"/>
                      <w:szCs w:val="21"/>
                      <w:highlight w:val="none"/>
                      <w:lang w:val="en-US"/>
                    </w:rPr>
                  </w:pPr>
                  <w:r>
                    <w:rPr>
                      <w:rFonts w:hint="default" w:ascii="Times New Roman" w:hAnsi="Times New Roman" w:eastAsia="宋体" w:cs="Times New Roman"/>
                      <w:caps w:val="0"/>
                      <w:smallCaps w:val="0"/>
                      <w:color w:val="auto"/>
                      <w:sz w:val="21"/>
                      <w:szCs w:val="21"/>
                      <w:highlight w:val="none"/>
                      <w:lang w:val="en-US"/>
                    </w:rPr>
                    <w:t>根据《云南省人民政府关于促进非煤矿山转型升级的实施意见》</w:t>
                  </w:r>
                  <w:r>
                    <w:rPr>
                      <w:rFonts w:hint="default" w:ascii="Times New Roman" w:hAnsi="Times New Roman" w:eastAsia="宋体" w:cs="Times New Roman"/>
                      <w:caps w:val="0"/>
                      <w:smallCaps w:val="0"/>
                      <w:color w:val="auto"/>
                      <w:sz w:val="21"/>
                      <w:szCs w:val="21"/>
                      <w:highlight w:val="none"/>
                      <w:lang w:val="en-US" w:eastAsia="zh-CN"/>
                    </w:rPr>
                    <w:t>（</w:t>
                  </w:r>
                  <w:r>
                    <w:rPr>
                      <w:rFonts w:hint="default" w:ascii="Times New Roman" w:hAnsi="Times New Roman" w:eastAsia="宋体" w:cs="Times New Roman"/>
                      <w:caps w:val="0"/>
                      <w:smallCaps w:val="0"/>
                      <w:color w:val="auto"/>
                      <w:sz w:val="21"/>
                      <w:szCs w:val="21"/>
                      <w:highlight w:val="none"/>
                      <w:lang w:val="en-US"/>
                    </w:rPr>
                    <w:t>云政发〔2015</w:t>
                  </w:r>
                  <w:r>
                    <w:rPr>
                      <w:rFonts w:hint="default" w:ascii="Times New Roman" w:hAnsi="Times New Roman" w:eastAsia="宋体" w:cs="Times New Roman"/>
                      <w:caps w:val="0"/>
                      <w:smallCaps w:val="0"/>
                      <w:color w:val="auto"/>
                      <w:sz w:val="21"/>
                      <w:szCs w:val="21"/>
                      <w:highlight w:val="none"/>
                      <w:lang w:val="en-US" w:eastAsia="zh-CN"/>
                    </w:rPr>
                    <w:t>〕</w:t>
                  </w:r>
                  <w:r>
                    <w:rPr>
                      <w:rFonts w:hint="default" w:ascii="Times New Roman" w:hAnsi="Times New Roman" w:eastAsia="宋体" w:cs="Times New Roman"/>
                      <w:caps w:val="0"/>
                      <w:smallCaps w:val="0"/>
                      <w:color w:val="auto"/>
                      <w:sz w:val="21"/>
                      <w:szCs w:val="21"/>
                      <w:highlight w:val="none"/>
                      <w:lang w:val="en-US"/>
                    </w:rPr>
                    <w:t>38号</w:t>
                  </w:r>
                  <w:r>
                    <w:rPr>
                      <w:rFonts w:hint="default" w:ascii="Times New Roman" w:hAnsi="Times New Roman" w:eastAsia="宋体" w:cs="Times New Roman"/>
                      <w:caps w:val="0"/>
                      <w:smallCaps w:val="0"/>
                      <w:color w:val="auto"/>
                      <w:sz w:val="21"/>
                      <w:szCs w:val="21"/>
                      <w:highlight w:val="none"/>
                      <w:lang w:val="en-US" w:eastAsia="zh-CN"/>
                    </w:rPr>
                    <w:t>）</w:t>
                  </w:r>
                  <w:r>
                    <w:rPr>
                      <w:rFonts w:hint="default" w:ascii="Times New Roman" w:hAnsi="Times New Roman" w:eastAsia="宋体" w:cs="Times New Roman"/>
                      <w:caps w:val="0"/>
                      <w:smallCaps w:val="0"/>
                      <w:color w:val="auto"/>
                      <w:sz w:val="21"/>
                      <w:szCs w:val="21"/>
                      <w:highlight w:val="none"/>
                      <w:lang w:val="en-US"/>
                    </w:rPr>
                    <w:t>，云南省</w:t>
                  </w:r>
                  <w:r>
                    <w:rPr>
                      <w:rFonts w:hint="default" w:ascii="Times New Roman" w:hAnsi="Times New Roman" w:eastAsia="宋体" w:cs="Times New Roman"/>
                      <w:caps w:val="0"/>
                      <w:smallCaps w:val="0"/>
                      <w:color w:val="auto"/>
                      <w:sz w:val="21"/>
                      <w:szCs w:val="21"/>
                      <w:highlight w:val="none"/>
                      <w:lang w:val="en-US" w:eastAsia="zh-CN"/>
                    </w:rPr>
                    <w:t>建筑用石料（饰面用除外）新建、改建、扩建、整合重组矿山最小开采规模</w:t>
                  </w:r>
                  <w:r>
                    <w:rPr>
                      <w:rFonts w:hint="default" w:ascii="Times New Roman" w:hAnsi="Times New Roman" w:eastAsia="宋体" w:cs="Times New Roman"/>
                      <w:caps w:val="0"/>
                      <w:smallCaps w:val="0"/>
                      <w:color w:val="auto"/>
                      <w:sz w:val="21"/>
                      <w:szCs w:val="21"/>
                      <w:highlight w:val="none"/>
                      <w:lang w:val="en-US"/>
                    </w:rPr>
                    <w:t>应大于等于</w:t>
                  </w:r>
                  <w:r>
                    <w:rPr>
                      <w:rFonts w:hint="default" w:ascii="Times New Roman" w:hAnsi="Times New Roman" w:eastAsia="宋体" w:cs="Times New Roman"/>
                      <w:caps w:val="0"/>
                      <w:smallCaps w:val="0"/>
                      <w:color w:val="auto"/>
                      <w:sz w:val="21"/>
                      <w:szCs w:val="21"/>
                      <w:highlight w:val="none"/>
                      <w:lang w:val="en-US" w:eastAsia="zh-CN"/>
                    </w:rPr>
                    <w:t>30</w:t>
                  </w:r>
                  <w:r>
                    <w:rPr>
                      <w:rFonts w:hint="default" w:ascii="Times New Roman" w:hAnsi="Times New Roman" w:eastAsia="宋体" w:cs="Times New Roman"/>
                      <w:caps w:val="0"/>
                      <w:smallCaps w:val="0"/>
                      <w:color w:val="auto"/>
                      <w:sz w:val="21"/>
                      <w:szCs w:val="21"/>
                      <w:highlight w:val="none"/>
                      <w:lang w:val="en-US"/>
                    </w:rPr>
                    <w:t>万t/a</w:t>
                  </w:r>
                  <w:r>
                    <w:rPr>
                      <w:rFonts w:hint="default" w:ascii="Times New Roman" w:hAnsi="Times New Roman" w:cs="Times New Roman"/>
                      <w:caps w:val="0"/>
                      <w:smallCaps w:val="0"/>
                      <w:color w:val="auto"/>
                      <w:sz w:val="21"/>
                      <w:szCs w:val="21"/>
                      <w:highlight w:val="none"/>
                      <w:lang w:val="en-US" w:eastAsia="zh-CN"/>
                    </w:rPr>
                    <w:t>，</w:t>
                  </w:r>
                  <w:r>
                    <w:rPr>
                      <w:rFonts w:hint="default" w:ascii="Times New Roman" w:hAnsi="Times New Roman" w:eastAsia="宋体" w:cs="Times New Roman"/>
                      <w:caps w:val="0"/>
                      <w:smallCaps w:val="0"/>
                      <w:color w:val="auto"/>
                      <w:sz w:val="21"/>
                      <w:szCs w:val="21"/>
                      <w:highlight w:val="none"/>
                      <w:lang w:val="en-US"/>
                    </w:rPr>
                    <w:t>露天开采矿山最低服务年限</w:t>
                  </w:r>
                  <w:r>
                    <w:rPr>
                      <w:rFonts w:hint="default" w:ascii="Times New Roman" w:hAnsi="Times New Roman" w:eastAsia="宋体" w:cs="Times New Roman"/>
                      <w:caps w:val="0"/>
                      <w:smallCaps w:val="0"/>
                      <w:color w:val="auto"/>
                      <w:sz w:val="21"/>
                      <w:szCs w:val="21"/>
                      <w:highlight w:val="none"/>
                      <w:lang w:val="en-US" w:eastAsia="zh-CN"/>
                    </w:rPr>
                    <w:t>6</w:t>
                  </w:r>
                  <w:r>
                    <w:rPr>
                      <w:rFonts w:hint="default" w:ascii="Times New Roman" w:hAnsi="Times New Roman" w:eastAsia="宋体" w:cs="Times New Roman"/>
                      <w:caps w:val="0"/>
                      <w:smallCaps w:val="0"/>
                      <w:color w:val="auto"/>
                      <w:sz w:val="21"/>
                      <w:szCs w:val="21"/>
                      <w:highlight w:val="none"/>
                      <w:lang w:val="en-US"/>
                    </w:rPr>
                    <w:t>a。</w:t>
                  </w:r>
                  <w:r>
                    <w:rPr>
                      <w:rFonts w:hint="default" w:ascii="Times New Roman" w:hAnsi="Times New Roman" w:eastAsia="宋体" w:cs="Times New Roman"/>
                      <w:color w:val="auto"/>
                      <w:spacing w:val="8"/>
                      <w:sz w:val="21"/>
                      <w:szCs w:val="21"/>
                      <w:highlight w:val="none"/>
                      <w:lang w:val="en-US" w:eastAsia="zh-CN"/>
                    </w:rPr>
                    <w:t>昆明达泽商贸有限公司于2021年3月29日取得寻甸回族彝族自治县自然资源局颁发的采矿许可证，证号；C5301292021037100151679，</w:t>
                  </w:r>
                  <w:r>
                    <w:rPr>
                      <w:rFonts w:hint="default" w:ascii="Times New Roman" w:hAnsi="Times New Roman" w:cs="Times New Roman"/>
                      <w:color w:val="auto"/>
                      <w:spacing w:val="8"/>
                      <w:sz w:val="21"/>
                      <w:szCs w:val="21"/>
                      <w:highlight w:val="none"/>
                      <w:lang w:val="en-US" w:eastAsia="zh-CN"/>
                    </w:rPr>
                    <w:t>开采规模为10万</w:t>
                  </w:r>
                  <w:r>
                    <w:rPr>
                      <w:rFonts w:hint="default" w:ascii="Times New Roman" w:hAnsi="Times New Roman" w:eastAsia="宋体" w:cs="Times New Roman"/>
                      <w:color w:val="auto"/>
                      <w:spacing w:val="8"/>
                      <w:sz w:val="21"/>
                      <w:szCs w:val="21"/>
                      <w:highlight w:val="none"/>
                      <w:lang w:eastAsia="zh-CN"/>
                    </w:rPr>
                    <w:t>t/a，</w:t>
                  </w:r>
                  <w:r>
                    <w:rPr>
                      <w:rFonts w:hint="default" w:ascii="Times New Roman" w:hAnsi="Times New Roman" w:eastAsia="宋体" w:cs="Times New Roman"/>
                      <w:color w:val="auto"/>
                      <w:spacing w:val="8"/>
                      <w:sz w:val="21"/>
                      <w:szCs w:val="21"/>
                      <w:highlight w:val="none"/>
                      <w:lang w:val="en-US" w:eastAsia="zh-CN"/>
                    </w:rPr>
                    <w:t>服务年限为7年，本项目为</w:t>
                  </w:r>
                  <w:r>
                    <w:rPr>
                      <w:rFonts w:hint="default" w:ascii="Times New Roman" w:hAnsi="Times New Roman" w:cs="Times New Roman"/>
                      <w:color w:val="auto"/>
                      <w:spacing w:val="8"/>
                      <w:sz w:val="21"/>
                      <w:szCs w:val="21"/>
                      <w:highlight w:val="none"/>
                      <w:lang w:val="en-US" w:eastAsia="zh-CN"/>
                    </w:rPr>
                    <w:t>对现有矿山进行升级改造，矿权范围不变，生产规模扩大为50万t/a</w:t>
                  </w:r>
                  <w:r>
                    <w:rPr>
                      <w:rFonts w:hint="default" w:ascii="Times New Roman" w:hAnsi="Times New Roman" w:eastAsia="宋体" w:cs="Times New Roman"/>
                      <w:color w:val="auto"/>
                      <w:spacing w:val="8"/>
                      <w:sz w:val="21"/>
                      <w:szCs w:val="21"/>
                      <w:highlight w:val="none"/>
                      <w:lang w:val="en-US" w:eastAsia="zh-CN"/>
                    </w:rPr>
                    <w:t>。</w:t>
                  </w:r>
                </w:p>
              </w:tc>
              <w:tc>
                <w:tcPr>
                  <w:tcW w:w="492" w:type="pct"/>
                  <w:vAlign w:val="center"/>
                </w:tcPr>
                <w:p w14:paraId="0BE3CB79">
                  <w:pPr>
                    <w:pStyle w:val="91"/>
                    <w:bidi w:val="0"/>
                    <w:ind w:firstLine="0" w:firstLineChars="0"/>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z w:val="21"/>
                      <w:szCs w:val="21"/>
                      <w:highlight w:val="none"/>
                    </w:rPr>
                    <w:t>符合</w:t>
                  </w:r>
                </w:p>
              </w:tc>
            </w:tr>
            <w:tr w14:paraId="47DD4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2" w:hRule="atLeast"/>
                <w:jc w:val="center"/>
              </w:trPr>
              <w:tc>
                <w:tcPr>
                  <w:tcW w:w="1606" w:type="pct"/>
                  <w:vAlign w:val="center"/>
                </w:tcPr>
                <w:p w14:paraId="671EEA0B">
                  <w:pPr>
                    <w:pStyle w:val="91"/>
                    <w:spacing w:line="240" w:lineRule="auto"/>
                    <w:ind w:firstLine="0" w:firstLineChars="0"/>
                    <w:rPr>
                      <w:rFonts w:hint="default" w:ascii="Times New Roman" w:hAnsi="Times New Roman" w:eastAsia="宋体" w:cs="Times New Roman"/>
                      <w:caps w:val="0"/>
                      <w:smallCaps w:val="0"/>
                      <w:color w:val="auto"/>
                      <w:kern w:val="2"/>
                      <w:sz w:val="21"/>
                      <w:szCs w:val="21"/>
                      <w:highlight w:val="none"/>
                      <w:lang w:val="en-US" w:eastAsia="zh-CN" w:bidi="ar-SA"/>
                    </w:rPr>
                  </w:pPr>
                  <w:r>
                    <w:rPr>
                      <w:rFonts w:hint="default" w:ascii="Times New Roman" w:hAnsi="Times New Roman" w:eastAsia="宋体" w:cs="Times New Roman"/>
                      <w:caps w:val="0"/>
                      <w:smallCaps w:val="0"/>
                      <w:color w:val="auto"/>
                      <w:kern w:val="2"/>
                      <w:sz w:val="21"/>
                      <w:szCs w:val="21"/>
                      <w:highlight w:val="none"/>
                      <w:lang w:val="en-US" w:eastAsia="zh-CN" w:bidi="ar-SA"/>
                    </w:rPr>
                    <w:t>规范设置排土场、单独堆存剥离废弃土石方用于生态修复，按照边“开采边恢复”的原则制定矿山生态恢复方案，及时开展生态修复。</w:t>
                  </w:r>
                </w:p>
              </w:tc>
              <w:tc>
                <w:tcPr>
                  <w:tcW w:w="2900" w:type="pct"/>
                  <w:vAlign w:val="center"/>
                </w:tcPr>
                <w:p w14:paraId="0EFB9A8F">
                  <w:pPr>
                    <w:pStyle w:val="91"/>
                    <w:spacing w:line="240" w:lineRule="auto"/>
                    <w:ind w:firstLine="0" w:firstLineChars="0"/>
                    <w:rPr>
                      <w:rFonts w:hint="default" w:ascii="Times New Roman" w:hAnsi="Times New Roman" w:eastAsia="宋体" w:cs="Times New Roman"/>
                      <w:caps w:val="0"/>
                      <w:smallCaps w:val="0"/>
                      <w:color w:val="auto"/>
                      <w:kern w:val="2"/>
                      <w:sz w:val="21"/>
                      <w:szCs w:val="21"/>
                      <w:highlight w:val="none"/>
                      <w:lang w:val="en-US" w:eastAsia="zh-CN" w:bidi="ar-SA"/>
                    </w:rPr>
                  </w:pPr>
                  <w:r>
                    <w:rPr>
                      <w:rFonts w:hint="default" w:ascii="Times New Roman" w:hAnsi="Times New Roman" w:eastAsia="宋体" w:cs="Times New Roman"/>
                      <w:caps w:val="0"/>
                      <w:smallCaps w:val="0"/>
                      <w:color w:val="auto"/>
                      <w:kern w:val="2"/>
                      <w:sz w:val="21"/>
                      <w:szCs w:val="21"/>
                      <w:highlight w:val="none"/>
                      <w:lang w:val="en-US" w:eastAsia="zh-CN" w:bidi="ar-SA"/>
                    </w:rPr>
                    <w:t>项目现已完成2200m、2192m开采平台的表土剥离，剥离的表土</w:t>
                  </w:r>
                  <w:r>
                    <w:rPr>
                      <w:rFonts w:hint="eastAsia" w:cs="Times New Roman"/>
                      <w:caps w:val="0"/>
                      <w:smallCaps w:val="0"/>
                      <w:color w:val="auto"/>
                      <w:kern w:val="2"/>
                      <w:sz w:val="21"/>
                      <w:szCs w:val="21"/>
                      <w:highlight w:val="none"/>
                      <w:lang w:val="en-US" w:eastAsia="zh-CN" w:bidi="ar-SA"/>
                    </w:rPr>
                    <w:t>堆放于矿界西侧的临时表土堆场</w:t>
                  </w:r>
                  <w:r>
                    <w:rPr>
                      <w:rFonts w:hint="default" w:ascii="Times New Roman" w:hAnsi="Times New Roman" w:eastAsia="宋体" w:cs="Times New Roman"/>
                      <w:caps w:val="0"/>
                      <w:smallCaps w:val="0"/>
                      <w:color w:val="auto"/>
                      <w:kern w:val="2"/>
                      <w:sz w:val="21"/>
                      <w:szCs w:val="21"/>
                      <w:highlight w:val="none"/>
                      <w:lang w:val="en-US" w:eastAsia="zh-CN" w:bidi="ar-SA"/>
                    </w:rPr>
                    <w:t>，用于</w:t>
                  </w:r>
                  <w:r>
                    <w:rPr>
                      <w:rFonts w:hint="default" w:ascii="Times New Roman" w:hAnsi="Times New Roman" w:cs="Times New Roman"/>
                      <w:caps w:val="0"/>
                      <w:smallCaps w:val="0"/>
                      <w:color w:val="auto"/>
                      <w:kern w:val="2"/>
                      <w:sz w:val="21"/>
                      <w:szCs w:val="21"/>
                      <w:highlight w:val="none"/>
                      <w:lang w:val="en-US" w:eastAsia="zh-CN" w:bidi="ar-SA"/>
                    </w:rPr>
                    <w:t>道路、工业场地区及办公生活区修建时平整，后续剥离表土用于</w:t>
                  </w:r>
                  <w:r>
                    <w:rPr>
                      <w:rFonts w:hint="default" w:ascii="Times New Roman" w:hAnsi="Times New Roman" w:eastAsia="宋体" w:cs="Times New Roman"/>
                      <w:caps w:val="0"/>
                      <w:smallCaps w:val="0"/>
                      <w:color w:val="auto"/>
                      <w:kern w:val="2"/>
                      <w:sz w:val="21"/>
                      <w:szCs w:val="21"/>
                      <w:highlight w:val="none"/>
                      <w:lang w:val="en-US" w:eastAsia="zh-CN" w:bidi="ar-SA"/>
                    </w:rPr>
                    <w:t>采空区</w:t>
                  </w:r>
                  <w:r>
                    <w:rPr>
                      <w:rFonts w:hint="default" w:ascii="Times New Roman" w:hAnsi="Times New Roman" w:cs="Times New Roman"/>
                      <w:caps w:val="0"/>
                      <w:smallCaps w:val="0"/>
                      <w:color w:val="auto"/>
                      <w:kern w:val="2"/>
                      <w:sz w:val="21"/>
                      <w:szCs w:val="21"/>
                      <w:highlight w:val="none"/>
                      <w:lang w:val="en-US" w:eastAsia="zh-CN" w:bidi="ar-SA"/>
                    </w:rPr>
                    <w:t>覆土</w:t>
                  </w:r>
                  <w:r>
                    <w:rPr>
                      <w:rFonts w:hint="default" w:ascii="Times New Roman" w:hAnsi="Times New Roman" w:eastAsia="宋体" w:cs="Times New Roman"/>
                      <w:caps w:val="0"/>
                      <w:smallCaps w:val="0"/>
                      <w:color w:val="auto"/>
                      <w:kern w:val="2"/>
                      <w:sz w:val="21"/>
                      <w:szCs w:val="21"/>
                      <w:highlight w:val="none"/>
                      <w:lang w:val="en-US" w:eastAsia="zh-CN" w:bidi="ar-SA"/>
                    </w:rPr>
                    <w:t>复垦，进行矿区植被恢复。本项目正在编制矿山生态恢复方案，建设单位后期按照方案开展生态修复。</w:t>
                  </w:r>
                </w:p>
              </w:tc>
              <w:tc>
                <w:tcPr>
                  <w:tcW w:w="492" w:type="pct"/>
                  <w:vAlign w:val="center"/>
                </w:tcPr>
                <w:p w14:paraId="7A46D9F6">
                  <w:pPr>
                    <w:bidi w:val="0"/>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bl>
          <w:p w14:paraId="03D89346">
            <w:pPr>
              <w:spacing w:before="156" w:beforeLines="50"/>
              <w:ind w:firstLine="480"/>
              <w:jc w:val="left"/>
              <w:rPr>
                <w:rFonts w:hint="default" w:ascii="Times New Roman" w:hAnsi="Times New Roman" w:cs="Times New Roman"/>
                <w:bCs/>
                <w:color w:val="auto"/>
                <w:highlight w:val="none"/>
              </w:rPr>
            </w:pPr>
            <w:r>
              <w:rPr>
                <w:rFonts w:hint="default" w:ascii="Times New Roman" w:hAnsi="Times New Roman" w:cs="Times New Roman"/>
                <w:color w:val="auto"/>
                <w:kern w:val="0"/>
                <w:szCs w:val="21"/>
                <w:highlight w:val="none"/>
              </w:rPr>
              <w:t>根据上表分析，本项目与《云南省环境保护厅关于加强砂石开采行业环境监管工作的通知》（云环通〔2016〕172号）相符。</w:t>
            </w:r>
          </w:p>
          <w:p w14:paraId="7F4D6B6E">
            <w:pPr>
              <w:adjustRightInd w:val="0"/>
              <w:ind w:firstLine="482"/>
              <w:jc w:val="left"/>
              <w:rPr>
                <w:rFonts w:hint="default" w:ascii="Times New Roman" w:hAnsi="Times New Roman" w:eastAsia="宋体" w:cs="Times New Roman"/>
                <w:b/>
                <w:bCs/>
                <w:color w:val="auto"/>
                <w:kern w:val="0"/>
                <w:highlight w:val="none"/>
              </w:rPr>
            </w:pPr>
            <w:r>
              <w:rPr>
                <w:rFonts w:hint="eastAsia" w:ascii="Times New Roman" w:hAnsi="Times New Roman" w:cs="Times New Roman"/>
                <w:b/>
                <w:bCs/>
                <w:color w:val="auto"/>
                <w:kern w:val="0"/>
                <w:highlight w:val="none"/>
                <w:lang w:val="en-US" w:eastAsia="zh-CN"/>
              </w:rPr>
              <w:t>4</w:t>
            </w:r>
            <w:r>
              <w:rPr>
                <w:rFonts w:hint="default" w:ascii="Times New Roman" w:hAnsi="Times New Roman" w:cs="Times New Roman"/>
                <w:b/>
                <w:bCs/>
                <w:color w:val="auto"/>
                <w:kern w:val="0"/>
                <w:highlight w:val="none"/>
              </w:rPr>
              <w:t>、与《砂石行业绿色矿</w:t>
            </w:r>
            <w:r>
              <w:rPr>
                <w:rFonts w:hint="default" w:ascii="Times New Roman" w:hAnsi="Times New Roman" w:eastAsia="宋体" w:cs="Times New Roman"/>
                <w:b/>
                <w:bCs/>
                <w:color w:val="auto"/>
                <w:kern w:val="0"/>
                <w:highlight w:val="none"/>
              </w:rPr>
              <w:t>山建设规范》</w:t>
            </w:r>
            <w:r>
              <w:rPr>
                <w:rFonts w:hint="default" w:ascii="Times New Roman" w:hAnsi="Times New Roman" w:eastAsia="宋体" w:cs="Times New Roman"/>
                <w:b/>
                <w:bCs/>
                <w:color w:val="auto"/>
                <w:kern w:val="0"/>
                <w:highlight w:val="none"/>
                <w:lang w:eastAsia="zh-CN"/>
              </w:rPr>
              <w:t>（DZ/T0316-2018）</w:t>
            </w:r>
            <w:r>
              <w:rPr>
                <w:rFonts w:hint="default" w:ascii="Times New Roman" w:hAnsi="Times New Roman" w:eastAsia="宋体" w:cs="Times New Roman"/>
                <w:b/>
                <w:bCs/>
                <w:color w:val="auto"/>
                <w:kern w:val="0"/>
                <w:highlight w:val="none"/>
              </w:rPr>
              <w:t>符合性分析</w:t>
            </w:r>
          </w:p>
          <w:p w14:paraId="581F56F7">
            <w:pPr>
              <w:adjustRightInd w:val="0"/>
              <w:ind w:firstLine="480"/>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根据《砂石行业绿色矿山建设规范》（DZ/T0316-2018），于2018年10月1日起实施，建设单位应严格按照《砂石行业绿色矿山建设规范》（DZ/T0316-2018）的要求，做好绿色矿山的创建工作。本项目与《砂石行业绿色矿山建设规范》（DZ/T0316-2018）基本要求符合性判定具体见表1-</w:t>
            </w:r>
            <w:r>
              <w:rPr>
                <w:rFonts w:hint="eastAsia" w:ascii="Times New Roman" w:hAnsi="Times New Roman" w:cs="Times New Roman"/>
                <w:bCs/>
                <w:color w:val="auto"/>
                <w:highlight w:val="none"/>
                <w:lang w:val="en-US" w:eastAsia="zh-CN"/>
              </w:rPr>
              <w:t>12</w:t>
            </w:r>
            <w:r>
              <w:rPr>
                <w:rFonts w:hint="default" w:ascii="Times New Roman" w:hAnsi="Times New Roman" w:cs="Times New Roman"/>
                <w:bCs/>
                <w:color w:val="auto"/>
                <w:highlight w:val="none"/>
              </w:rPr>
              <w:t>。</w:t>
            </w:r>
          </w:p>
          <w:p w14:paraId="4558333F">
            <w:pPr>
              <w:autoSpaceDE w:val="0"/>
              <w:autoSpaceDN w:val="0"/>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表1-</w:t>
            </w:r>
            <w:r>
              <w:rPr>
                <w:rFonts w:hint="eastAsia" w:ascii="Times New Roman" w:hAnsi="Times New Roman" w:cs="Times New Roman"/>
                <w:b/>
                <w:bCs/>
                <w:color w:val="auto"/>
                <w:kern w:val="0"/>
                <w:sz w:val="21"/>
                <w:szCs w:val="21"/>
                <w:highlight w:val="none"/>
                <w:lang w:val="en-US" w:eastAsia="zh-CN"/>
              </w:rPr>
              <w:t>12</w:t>
            </w:r>
            <w:r>
              <w:rPr>
                <w:rFonts w:hint="default" w:ascii="Times New Roman" w:hAnsi="Times New Roman" w:cs="Times New Roman"/>
                <w:b/>
                <w:bCs/>
                <w:color w:val="auto"/>
                <w:kern w:val="0"/>
                <w:sz w:val="21"/>
                <w:szCs w:val="21"/>
                <w:highlight w:val="none"/>
              </w:rPr>
              <w:t xml:space="preserve"> 本项目与《砂石行业绿色矿山建设规范》符合性分析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38"/>
              <w:gridCol w:w="3013"/>
              <w:gridCol w:w="3669"/>
              <w:gridCol w:w="563"/>
            </w:tblGrid>
            <w:tr w14:paraId="71A3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5" w:hRule="atLeast"/>
                <w:jc w:val="center"/>
              </w:trPr>
              <w:tc>
                <w:tcPr>
                  <w:tcW w:w="345" w:type="pct"/>
                  <w:vAlign w:val="center"/>
                </w:tcPr>
                <w:p w14:paraId="63B2D8D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类别</w:t>
                  </w:r>
                </w:p>
              </w:tc>
              <w:tc>
                <w:tcPr>
                  <w:tcW w:w="1935" w:type="pct"/>
                  <w:vAlign w:val="center"/>
                </w:tcPr>
                <w:p w14:paraId="5F35B1F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砂石行业绿色矿山建设规范要求</w:t>
                  </w:r>
                </w:p>
              </w:tc>
              <w:tc>
                <w:tcPr>
                  <w:tcW w:w="2357" w:type="pct"/>
                  <w:vAlign w:val="center"/>
                </w:tcPr>
                <w:p w14:paraId="29F8D58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本矿山情况</w:t>
                  </w:r>
                </w:p>
              </w:tc>
              <w:tc>
                <w:tcPr>
                  <w:tcW w:w="361" w:type="pct"/>
                  <w:vAlign w:val="center"/>
                </w:tcPr>
                <w:p w14:paraId="4A24677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符合性</w:t>
                  </w:r>
                </w:p>
              </w:tc>
            </w:tr>
            <w:tr w14:paraId="13505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8" w:hRule="atLeast"/>
                <w:jc w:val="center"/>
              </w:trPr>
              <w:tc>
                <w:tcPr>
                  <w:tcW w:w="345" w:type="pct"/>
                  <w:vMerge w:val="restart"/>
                  <w:vAlign w:val="center"/>
                </w:tcPr>
                <w:p w14:paraId="204B8A5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矿区环境</w:t>
                  </w:r>
                </w:p>
              </w:tc>
              <w:tc>
                <w:tcPr>
                  <w:tcW w:w="1935" w:type="pct"/>
                  <w:vAlign w:val="center"/>
                </w:tcPr>
                <w:p w14:paraId="0D05F22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矿区功能分区布局合理，矿区应绿化、美化，整体整洁美观。</w:t>
                  </w:r>
                </w:p>
              </w:tc>
              <w:tc>
                <w:tcPr>
                  <w:tcW w:w="2357" w:type="pct"/>
                  <w:vAlign w:val="center"/>
                </w:tcPr>
                <w:p w14:paraId="3827D33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根据矿区地形特征，本项目矿区露天开采区、工业场地</w:t>
                  </w:r>
                  <w:r>
                    <w:rPr>
                      <w:rFonts w:hint="default" w:ascii="Times New Roman" w:hAnsi="Times New Roman" w:cs="Times New Roman"/>
                      <w:color w:val="auto"/>
                      <w:sz w:val="21"/>
                      <w:szCs w:val="21"/>
                      <w:highlight w:val="none"/>
                      <w:lang w:val="en-US" w:eastAsia="zh-CN"/>
                    </w:rPr>
                    <w:t>区</w:t>
                  </w:r>
                  <w:r>
                    <w:rPr>
                      <w:rFonts w:hint="default" w:ascii="Times New Roman" w:hAnsi="Times New Roman" w:cs="Times New Roman"/>
                      <w:color w:val="auto"/>
                      <w:sz w:val="21"/>
                      <w:szCs w:val="21"/>
                      <w:highlight w:val="none"/>
                    </w:rPr>
                    <w:t>、办公</w:t>
                  </w:r>
                  <w:r>
                    <w:rPr>
                      <w:rFonts w:hint="default" w:ascii="Times New Roman" w:hAnsi="Times New Roman" w:cs="Times New Roman"/>
                      <w:color w:val="auto"/>
                      <w:sz w:val="21"/>
                      <w:szCs w:val="21"/>
                      <w:highlight w:val="none"/>
                      <w:lang w:eastAsia="zh-CN"/>
                    </w:rPr>
                    <w:t>生活区</w:t>
                  </w:r>
                  <w:r>
                    <w:rPr>
                      <w:rFonts w:hint="default" w:ascii="Times New Roman" w:hAnsi="Times New Roman" w:cs="Times New Roman"/>
                      <w:color w:val="auto"/>
                      <w:sz w:val="21"/>
                      <w:szCs w:val="21"/>
                      <w:highlight w:val="none"/>
                    </w:rPr>
                    <w:t>相互独立分布，工业场地及</w:t>
                  </w:r>
                  <w:r>
                    <w:rPr>
                      <w:rFonts w:hint="default" w:ascii="Times New Roman" w:hAnsi="Times New Roman" w:cs="Times New Roman"/>
                      <w:color w:val="auto"/>
                      <w:sz w:val="21"/>
                      <w:szCs w:val="21"/>
                      <w:highlight w:val="none"/>
                      <w:lang w:eastAsia="zh-CN"/>
                    </w:rPr>
                    <w:t>办公生活区</w:t>
                  </w:r>
                  <w:r>
                    <w:rPr>
                      <w:rFonts w:hint="default" w:ascii="Times New Roman" w:hAnsi="Times New Roman" w:cs="Times New Roman"/>
                      <w:color w:val="auto"/>
                      <w:sz w:val="21"/>
                      <w:szCs w:val="21"/>
                      <w:highlight w:val="none"/>
                    </w:rPr>
                    <w:t>布置于</w:t>
                  </w:r>
                  <w:r>
                    <w:rPr>
                      <w:rFonts w:hint="default" w:ascii="Times New Roman" w:hAnsi="Times New Roman" w:cs="Times New Roman"/>
                      <w:color w:val="auto"/>
                      <w:sz w:val="21"/>
                      <w:szCs w:val="21"/>
                      <w:highlight w:val="none"/>
                      <w:lang w:val="en-US" w:eastAsia="zh-CN"/>
                    </w:rPr>
                    <w:t>矿区西侧</w:t>
                  </w:r>
                  <w:r>
                    <w:rPr>
                      <w:rFonts w:hint="default" w:ascii="Times New Roman" w:hAnsi="Times New Roman" w:cs="Times New Roman"/>
                      <w:color w:val="auto"/>
                      <w:sz w:val="21"/>
                      <w:szCs w:val="21"/>
                      <w:highlight w:val="none"/>
                    </w:rPr>
                    <w:t>，各功能分区之间通过道路连接，从开采至破碎至产品均按流水生产线布置，布局合理；矿区边开采边进行植被恢复，整体整洁美观。</w:t>
                  </w:r>
                </w:p>
              </w:tc>
              <w:tc>
                <w:tcPr>
                  <w:tcW w:w="361" w:type="pct"/>
                  <w:vAlign w:val="center"/>
                </w:tcPr>
                <w:p w14:paraId="6ADF4B1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26B7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42" w:hRule="atLeast"/>
                <w:jc w:val="center"/>
              </w:trPr>
              <w:tc>
                <w:tcPr>
                  <w:tcW w:w="345" w:type="pct"/>
                  <w:vMerge w:val="continue"/>
                  <w:vAlign w:val="center"/>
                </w:tcPr>
                <w:p w14:paraId="0D2DBD3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2EC1410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砂石原料开采、生产、运输、贮存等管理规范有序。</w:t>
                  </w:r>
                </w:p>
              </w:tc>
              <w:tc>
                <w:tcPr>
                  <w:tcW w:w="2357" w:type="pct"/>
                  <w:vAlign w:val="center"/>
                </w:tcPr>
                <w:p w14:paraId="46E84CA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本项目矿山开采、运输、贮存严格按照管理要求进行管理，管理规范有序。</w:t>
                  </w:r>
                </w:p>
              </w:tc>
              <w:tc>
                <w:tcPr>
                  <w:tcW w:w="361" w:type="pct"/>
                  <w:vAlign w:val="center"/>
                </w:tcPr>
                <w:p w14:paraId="58D2B6A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43DB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65" w:hRule="atLeast"/>
                <w:jc w:val="center"/>
              </w:trPr>
              <w:tc>
                <w:tcPr>
                  <w:tcW w:w="345" w:type="pct"/>
                  <w:vMerge w:val="restart"/>
                  <w:vAlign w:val="center"/>
                </w:tcPr>
                <w:p w14:paraId="5985A87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矿容矿貌</w:t>
                  </w:r>
                </w:p>
              </w:tc>
              <w:tc>
                <w:tcPr>
                  <w:tcW w:w="1935" w:type="pct"/>
                  <w:vAlign w:val="center"/>
                </w:tcPr>
                <w:p w14:paraId="779DDC5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矿区按生产区、办公区、</w:t>
                  </w:r>
                  <w:r>
                    <w:rPr>
                      <w:rFonts w:hint="default" w:ascii="Times New Roman" w:hAnsi="Times New Roman" w:cs="Times New Roman"/>
                      <w:color w:val="auto"/>
                      <w:kern w:val="0"/>
                      <w:sz w:val="21"/>
                      <w:szCs w:val="21"/>
                      <w:highlight w:val="none"/>
                      <w:lang w:eastAsia="zh-CN"/>
                    </w:rPr>
                    <w:t>办公生活区</w:t>
                  </w:r>
                  <w:r>
                    <w:rPr>
                      <w:rFonts w:hint="default" w:ascii="Times New Roman" w:hAnsi="Times New Roman" w:cs="Times New Roman"/>
                      <w:color w:val="auto"/>
                      <w:kern w:val="0"/>
                      <w:sz w:val="21"/>
                      <w:szCs w:val="21"/>
                      <w:highlight w:val="none"/>
                    </w:rPr>
                    <w:t>和生态区等功能分区，各功能应符合GB50187的规定，生产、生活、办公等功能区应有相应的管理机构和管理制度，运行有序、管理规范。</w:t>
                  </w:r>
                </w:p>
              </w:tc>
              <w:tc>
                <w:tcPr>
                  <w:tcW w:w="2357" w:type="pct"/>
                  <w:vAlign w:val="center"/>
                </w:tcPr>
                <w:p w14:paraId="7E1AC50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本项目按照生产区、办公区、</w:t>
                  </w:r>
                  <w:r>
                    <w:rPr>
                      <w:rFonts w:hint="default" w:ascii="Times New Roman" w:hAnsi="Times New Roman" w:cs="Times New Roman"/>
                      <w:color w:val="auto"/>
                      <w:sz w:val="21"/>
                      <w:szCs w:val="21"/>
                      <w:highlight w:val="none"/>
                      <w:lang w:eastAsia="zh-CN"/>
                    </w:rPr>
                    <w:t>办公生活区</w:t>
                  </w:r>
                  <w:r>
                    <w:rPr>
                      <w:rFonts w:hint="default" w:ascii="Times New Roman" w:hAnsi="Times New Roman" w:cs="Times New Roman"/>
                      <w:color w:val="auto"/>
                      <w:sz w:val="21"/>
                      <w:szCs w:val="21"/>
                      <w:highlight w:val="none"/>
                    </w:rPr>
                    <w:t>和生态功能区进行分区，各功能符合GB50187的规定；矿区针对各功能区均制定管理制度，运行有序，整体管理比较规范。</w:t>
                  </w:r>
                </w:p>
              </w:tc>
              <w:tc>
                <w:tcPr>
                  <w:tcW w:w="361" w:type="pct"/>
                  <w:vAlign w:val="center"/>
                </w:tcPr>
                <w:p w14:paraId="64058C0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7A0AB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4" w:hRule="atLeast"/>
                <w:jc w:val="center"/>
              </w:trPr>
              <w:tc>
                <w:tcPr>
                  <w:tcW w:w="345" w:type="pct"/>
                  <w:vMerge w:val="continue"/>
                  <w:vAlign w:val="center"/>
                </w:tcPr>
                <w:p w14:paraId="474DAC8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09E0025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矿区道路、供水、供电、卫生、环保等配套设施齐全；在生产区应设置路线示意牌、简介牌，岗位技术操作规程等标牌，标牌符合GB/T13306的规定，在需警示安全的区域应设置安全标志，安全标牌应符合GB14161的规定。</w:t>
                  </w:r>
                </w:p>
              </w:tc>
              <w:tc>
                <w:tcPr>
                  <w:tcW w:w="2357" w:type="pct"/>
                  <w:vAlign w:val="center"/>
                </w:tcPr>
                <w:p w14:paraId="71C7B5C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w:t>
                  </w:r>
                  <w:r>
                    <w:rPr>
                      <w:rFonts w:hint="default" w:ascii="Times New Roman" w:hAnsi="Times New Roman" w:eastAsia="宋体" w:cs="Times New Roman"/>
                      <w:color w:val="auto"/>
                      <w:sz w:val="21"/>
                      <w:szCs w:val="21"/>
                      <w:highlight w:val="none"/>
                      <w:lang w:val="en-US" w:eastAsia="zh-CN"/>
                    </w:rPr>
                    <w:t>进场道路</w:t>
                  </w:r>
                  <w:r>
                    <w:rPr>
                      <w:rFonts w:hint="default" w:ascii="Times New Roman" w:hAnsi="Times New Roman" w:cs="Times New Roman"/>
                      <w:color w:val="auto"/>
                      <w:sz w:val="21"/>
                      <w:szCs w:val="21"/>
                      <w:highlight w:val="none"/>
                      <w:lang w:val="en-US" w:eastAsia="zh-CN"/>
                    </w:rPr>
                    <w:t>主要</w:t>
                  </w:r>
                  <w:r>
                    <w:rPr>
                      <w:rFonts w:hint="default" w:ascii="Times New Roman" w:hAnsi="Times New Roman" w:eastAsia="宋体" w:cs="Times New Roman"/>
                      <w:color w:val="auto"/>
                      <w:sz w:val="21"/>
                      <w:szCs w:val="21"/>
                      <w:highlight w:val="none"/>
                      <w:lang w:val="en-US" w:eastAsia="zh-CN"/>
                    </w:rPr>
                    <w:t>依托项目区</w:t>
                  </w:r>
                  <w:r>
                    <w:rPr>
                      <w:rFonts w:hint="default" w:ascii="Times New Roman" w:hAnsi="Times New Roman" w:cs="Times New Roman"/>
                      <w:color w:val="auto"/>
                      <w:sz w:val="21"/>
                      <w:szCs w:val="21"/>
                      <w:highlight w:val="none"/>
                      <w:lang w:val="en-US" w:eastAsia="zh-CN"/>
                    </w:rPr>
                    <w:t>西</w:t>
                  </w:r>
                  <w:r>
                    <w:rPr>
                      <w:rFonts w:hint="default" w:ascii="Times New Roman" w:hAnsi="Times New Roman" w:eastAsia="宋体" w:cs="Times New Roman"/>
                      <w:color w:val="auto"/>
                      <w:sz w:val="21"/>
                      <w:szCs w:val="21"/>
                      <w:highlight w:val="none"/>
                      <w:lang w:val="en-US" w:eastAsia="zh-CN"/>
                    </w:rPr>
                    <w:t>北侧裨子田村已修建的森林防火通道，可直接通往项目区工业场地</w:t>
                  </w:r>
                  <w:r>
                    <w:rPr>
                      <w:rFonts w:hint="default" w:ascii="Times New Roman" w:hAnsi="Times New Roman" w:cs="Times New Roman"/>
                      <w:color w:val="auto"/>
                      <w:sz w:val="21"/>
                      <w:szCs w:val="21"/>
                      <w:highlight w:val="none"/>
                      <w:lang w:val="en-US" w:eastAsia="zh-CN"/>
                    </w:rPr>
                    <w:t>区</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办公生活区</w:t>
                  </w:r>
                  <w:r>
                    <w:rPr>
                      <w:rFonts w:hint="default" w:ascii="Times New Roman" w:hAnsi="Times New Roman" w:eastAsia="宋体" w:cs="Times New Roman"/>
                      <w:color w:val="auto"/>
                      <w:sz w:val="21"/>
                      <w:szCs w:val="21"/>
                      <w:highlight w:val="none"/>
                      <w:lang w:val="en-US" w:eastAsia="zh-CN"/>
                    </w:rPr>
                    <w:t>等，</w:t>
                  </w:r>
                  <w:r>
                    <w:rPr>
                      <w:rFonts w:hint="default" w:ascii="Times New Roman" w:hAnsi="Times New Roman" w:cs="Times New Roman"/>
                      <w:color w:val="auto"/>
                      <w:sz w:val="21"/>
                      <w:szCs w:val="21"/>
                      <w:highlight w:val="none"/>
                      <w:lang w:val="en-US" w:eastAsia="zh-CN"/>
                    </w:rPr>
                    <w:t>现已完成项目工业场地区至采矿区130m进场道路；</w:t>
                  </w:r>
                  <w:r>
                    <w:rPr>
                      <w:rFonts w:hint="default" w:ascii="Times New Roman" w:hAnsi="Times New Roman" w:eastAsia="宋体" w:cs="Times New Roman"/>
                      <w:color w:val="auto"/>
                      <w:sz w:val="21"/>
                      <w:szCs w:val="21"/>
                      <w:highlight w:val="none"/>
                      <w:lang w:val="en-US" w:eastAsia="zh-CN"/>
                    </w:rPr>
                    <w:t>内部道路</w:t>
                  </w:r>
                  <w:r>
                    <w:rPr>
                      <w:rFonts w:hint="default" w:ascii="Times New Roman" w:hAnsi="Times New Roman" w:cs="Times New Roman"/>
                      <w:color w:val="auto"/>
                      <w:sz w:val="21"/>
                      <w:szCs w:val="21"/>
                      <w:highlight w:val="none"/>
                      <w:lang w:val="en-US" w:eastAsia="zh-CN"/>
                    </w:rPr>
                    <w:t>新建375m，</w:t>
                  </w:r>
                  <w:r>
                    <w:rPr>
                      <w:rFonts w:hint="default" w:ascii="Times New Roman" w:hAnsi="Times New Roman" w:eastAsia="宋体" w:cs="Times New Roman"/>
                      <w:color w:val="auto"/>
                      <w:sz w:val="21"/>
                      <w:szCs w:val="21"/>
                      <w:highlight w:val="none"/>
                      <w:lang w:val="en-US" w:eastAsia="zh-CN"/>
                    </w:rPr>
                    <w:t>现已完成一条</w:t>
                  </w:r>
                  <w:r>
                    <w:rPr>
                      <w:rFonts w:hint="default" w:ascii="Times New Roman" w:hAnsi="Times New Roman" w:cs="Times New Roman"/>
                      <w:color w:val="auto"/>
                      <w:sz w:val="21"/>
                      <w:szCs w:val="21"/>
                      <w:highlight w:val="none"/>
                      <w:lang w:val="en-US" w:eastAsia="zh-CN"/>
                    </w:rPr>
                    <w:t>长约120m</w:t>
                  </w:r>
                  <w:r>
                    <w:rPr>
                      <w:rFonts w:hint="default" w:ascii="Times New Roman" w:hAnsi="Times New Roman" w:eastAsia="宋体" w:cs="Times New Roman"/>
                      <w:color w:val="auto"/>
                      <w:sz w:val="21"/>
                      <w:szCs w:val="21"/>
                      <w:highlight w:val="none"/>
                      <w:lang w:val="en-US" w:eastAsia="zh-CN"/>
                    </w:rPr>
                    <w:t>从矿区西侧修建至</w:t>
                  </w:r>
                  <w:r>
                    <w:rPr>
                      <w:rFonts w:hint="default" w:ascii="Times New Roman" w:hAnsi="Times New Roman" w:cs="Times New Roman"/>
                      <w:color w:val="auto"/>
                      <w:sz w:val="21"/>
                      <w:szCs w:val="21"/>
                      <w:highlight w:val="none"/>
                      <w:lang w:val="en-US" w:eastAsia="zh-CN"/>
                    </w:rPr>
                    <w:t>已</w:t>
                  </w:r>
                  <w:r>
                    <w:rPr>
                      <w:rFonts w:hint="default" w:ascii="Times New Roman" w:hAnsi="Times New Roman" w:eastAsia="宋体" w:cs="Times New Roman"/>
                      <w:color w:val="auto"/>
                      <w:sz w:val="21"/>
                      <w:szCs w:val="21"/>
                      <w:highlight w:val="none"/>
                      <w:lang w:val="en-US" w:eastAsia="zh-CN"/>
                    </w:rPr>
                    <w:t>剥离</w:t>
                  </w:r>
                  <w:r>
                    <w:rPr>
                      <w:rFonts w:hint="default" w:ascii="Times New Roman" w:hAnsi="Times New Roman" w:cs="Times New Roman"/>
                      <w:color w:val="auto"/>
                      <w:sz w:val="21"/>
                      <w:szCs w:val="21"/>
                      <w:highlight w:val="none"/>
                      <w:lang w:val="en-US" w:eastAsia="zh-CN"/>
                    </w:rPr>
                    <w:t>表土的</w:t>
                  </w:r>
                  <w:r>
                    <w:rPr>
                      <w:rFonts w:hint="default" w:ascii="Times New Roman" w:hAnsi="Times New Roman" w:eastAsia="宋体" w:cs="Times New Roman"/>
                      <w:caps w:val="0"/>
                      <w:smallCaps w:val="0"/>
                      <w:color w:val="auto"/>
                      <w:kern w:val="2"/>
                      <w:sz w:val="21"/>
                      <w:szCs w:val="21"/>
                      <w:highlight w:val="none"/>
                      <w:lang w:val="en-US" w:eastAsia="zh-CN" w:bidi="ar-SA"/>
                    </w:rPr>
                    <w:t>2200m、2192m开采平台</w:t>
                  </w:r>
                  <w:r>
                    <w:rPr>
                      <w:rFonts w:hint="default" w:ascii="Times New Roman" w:hAnsi="Times New Roman" w:cs="Times New Roman"/>
                      <w:color w:val="auto"/>
                      <w:sz w:val="21"/>
                      <w:szCs w:val="21"/>
                      <w:highlight w:val="none"/>
                      <w:lang w:val="en-US" w:eastAsia="zh-CN"/>
                    </w:rPr>
                    <w:t>的内部道路，其余内部道路还未建设</w:t>
                  </w:r>
                  <w:r>
                    <w:rPr>
                      <w:rFonts w:hint="default" w:ascii="Times New Roman" w:hAnsi="Times New Roman" w:eastAsia="宋体" w:cs="Times New Roman"/>
                      <w:color w:val="auto"/>
                      <w:sz w:val="21"/>
                      <w:szCs w:val="21"/>
                      <w:highlight w:val="none"/>
                      <w:lang w:val="en-US" w:eastAsia="zh-CN"/>
                    </w:rPr>
                    <w:t>。矿区用水来自柯渡镇自来水，采用罐车运至矿区</w:t>
                  </w:r>
                  <w:r>
                    <w:rPr>
                      <w:rFonts w:hint="default" w:ascii="Times New Roman" w:hAnsi="Times New Roman"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个蓄水罐后供矿山生产生活及消防用水，项目用电使用乐朗村市政供电，厂区由一台800KVA变压器变压后供给工业用电和生活用电。</w:t>
                  </w:r>
                  <w:r>
                    <w:rPr>
                      <w:rFonts w:hint="default" w:ascii="Times New Roman" w:hAnsi="Times New Roman" w:eastAsia="宋体" w:cs="Times New Roman"/>
                      <w:color w:val="auto"/>
                      <w:sz w:val="21"/>
                      <w:szCs w:val="21"/>
                      <w:highlight w:val="none"/>
                    </w:rPr>
                    <w:t>项目建设过程配套完善环保设施，并在生产区设置路线示意牌、岗位技术操作规程等标牌，标牌均按照GB/T13306的规定制作；在需警示区域安全标志且安全标牌均按照GB14161规定制作。</w:t>
                  </w:r>
                </w:p>
              </w:tc>
              <w:tc>
                <w:tcPr>
                  <w:tcW w:w="361" w:type="pct"/>
                  <w:vAlign w:val="center"/>
                </w:tcPr>
                <w:p w14:paraId="15946C4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27E2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47" w:hRule="atLeast"/>
                <w:jc w:val="center"/>
              </w:trPr>
              <w:tc>
                <w:tcPr>
                  <w:tcW w:w="345" w:type="pct"/>
                  <w:vMerge w:val="continue"/>
                  <w:vAlign w:val="center"/>
                </w:tcPr>
                <w:p w14:paraId="0938454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4EC5603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矿山生产过程中应采取喷雾、喷洒水或生物纳膜、加装除尘设施等措施处置粉尘，工业场所粉尘浓度应符合GBZ2.1-2007的规定。应对输送系统、生产线、料库等采取有效措施抑尘；做好车辆保洁，车辆驶离矿区必须冲洗，严禁运料遗撒和带泥上路，保持矿区及周边环境卫生。</w:t>
                  </w:r>
                </w:p>
              </w:tc>
              <w:tc>
                <w:tcPr>
                  <w:tcW w:w="2357" w:type="pct"/>
                  <w:vAlign w:val="center"/>
                </w:tcPr>
                <w:p w14:paraId="0509387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本项目生产过程中采取雾炮机喷雾、喷洒水等措施进行粉尘处理，项目在运行期间制定规范的环境管理制度，保持矿区及周边环境卫生。项目一级破碎、二级破碎、筛分、制砂的</w:t>
                  </w:r>
                  <w:r>
                    <w:rPr>
                      <w:rFonts w:hint="default" w:ascii="Times New Roman" w:hAnsi="Times New Roman" w:eastAsia="宋体" w:cs="Times New Roman"/>
                      <w:color w:val="auto"/>
                      <w:kern w:val="0"/>
                      <w:sz w:val="21"/>
                      <w:szCs w:val="21"/>
                      <w:highlight w:val="none"/>
                      <w:lang w:val="en-US" w:eastAsia="zh-CN"/>
                    </w:rPr>
                    <w:t>产尘点</w:t>
                  </w:r>
                  <w:r>
                    <w:rPr>
                      <w:rFonts w:hint="default" w:ascii="Times New Roman" w:hAnsi="Times New Roman" w:eastAsia="宋体" w:cs="Times New Roman"/>
                      <w:color w:val="auto"/>
                      <w:kern w:val="0"/>
                      <w:sz w:val="21"/>
                      <w:szCs w:val="21"/>
                      <w:highlight w:val="none"/>
                    </w:rPr>
                    <w:t>分别设置</w:t>
                  </w:r>
                  <w:r>
                    <w:rPr>
                      <w:rFonts w:hint="default" w:ascii="Times New Roman" w:hAnsi="Times New Roman" w:eastAsia="宋体" w:cs="Times New Roman"/>
                      <w:color w:val="auto"/>
                      <w:kern w:val="0"/>
                      <w:sz w:val="21"/>
                      <w:szCs w:val="21"/>
                      <w:highlight w:val="none"/>
                      <w:lang w:val="en-US" w:eastAsia="zh-CN"/>
                    </w:rPr>
                    <w:t>集气罩收尘装置，收集的粉尘经</w:t>
                  </w:r>
                  <w:r>
                    <w:rPr>
                      <w:rFonts w:hint="default" w:ascii="Times New Roman" w:hAnsi="Times New Roman" w:eastAsia="宋体" w:cs="Times New Roman"/>
                      <w:color w:val="auto"/>
                      <w:kern w:val="0"/>
                      <w:sz w:val="21"/>
                      <w:szCs w:val="21"/>
                      <w:highlight w:val="none"/>
                    </w:rPr>
                    <w:t>1台布袋除尘器处理</w:t>
                  </w:r>
                  <w:r>
                    <w:rPr>
                      <w:rFonts w:hint="default" w:ascii="Times New Roman" w:hAnsi="Times New Roman" w:eastAsia="宋体" w:cs="Times New Roman"/>
                      <w:color w:val="auto"/>
                      <w:kern w:val="0"/>
                      <w:sz w:val="21"/>
                      <w:szCs w:val="21"/>
                      <w:highlight w:val="none"/>
                      <w:lang w:val="en-US" w:eastAsia="zh-CN"/>
                    </w:rPr>
                    <w:t>后</w:t>
                  </w:r>
                  <w:r>
                    <w:rPr>
                      <w:rFonts w:hint="default" w:ascii="Times New Roman" w:hAnsi="Times New Roman" w:eastAsia="宋体" w:cs="Times New Roman"/>
                      <w:color w:val="auto"/>
                      <w:kern w:val="0"/>
                      <w:sz w:val="21"/>
                      <w:szCs w:val="21"/>
                      <w:highlight w:val="none"/>
                    </w:rPr>
                    <w:t>最终经1根高</w:t>
                  </w:r>
                  <w:r>
                    <w:rPr>
                      <w:rFonts w:hint="default" w:ascii="Times New Roman" w:hAnsi="Times New Roman" w:eastAsia="宋体" w:cs="Times New Roman"/>
                      <w:color w:val="auto"/>
                      <w:sz w:val="21"/>
                      <w:szCs w:val="21"/>
                      <w:highlight w:val="none"/>
                    </w:rPr>
                    <w:t>度为15m高的排气筒排放</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皮带运输系统廊道采用彩钢瓦进行封闭</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项目区出入口设置车辆冲洗装置对运输</w:t>
                  </w:r>
                  <w:r>
                    <w:rPr>
                      <w:rFonts w:hint="default" w:ascii="Times New Roman" w:hAnsi="Times New Roman" w:eastAsia="宋体" w:cs="Times New Roman"/>
                      <w:color w:val="auto"/>
                      <w:sz w:val="21"/>
                      <w:szCs w:val="21"/>
                      <w:highlight w:val="none"/>
                    </w:rPr>
                    <w:t>车辆驶进行冲洗，保持矿区及周边环境卫生。</w:t>
                  </w:r>
                </w:p>
              </w:tc>
              <w:tc>
                <w:tcPr>
                  <w:tcW w:w="361" w:type="pct"/>
                  <w:vAlign w:val="center"/>
                </w:tcPr>
                <w:p w14:paraId="4DC8B55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1CFE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1" w:hRule="atLeast"/>
                <w:jc w:val="center"/>
              </w:trPr>
              <w:tc>
                <w:tcPr>
                  <w:tcW w:w="345" w:type="pct"/>
                  <w:vMerge w:val="continue"/>
                  <w:vAlign w:val="center"/>
                </w:tcPr>
                <w:p w14:paraId="294E81B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43D2269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应采用合理有效的技术措施对高噪音设备进行降噪处理，工作场所噪声值应符合GBZ2.2-2007的要求，工业企业厂界噪声值排放限值应符合GB12348的要求。</w:t>
                  </w:r>
                </w:p>
              </w:tc>
              <w:tc>
                <w:tcPr>
                  <w:tcW w:w="2357" w:type="pct"/>
                  <w:vAlign w:val="center"/>
                </w:tcPr>
                <w:p w14:paraId="701F26A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本项目设备采取</w:t>
                  </w:r>
                  <w:r>
                    <w:rPr>
                      <w:rFonts w:hint="default" w:ascii="Times New Roman" w:hAnsi="Times New Roman" w:cs="Times New Roman"/>
                      <w:color w:val="auto"/>
                      <w:sz w:val="21"/>
                      <w:szCs w:val="21"/>
                      <w:highlight w:val="none"/>
                      <w:lang w:val="en-US" w:eastAsia="zh-CN"/>
                    </w:rPr>
                    <w:t>厂房</w:t>
                  </w:r>
                  <w:r>
                    <w:rPr>
                      <w:rFonts w:hint="default" w:ascii="Times New Roman" w:hAnsi="Times New Roman" w:cs="Times New Roman"/>
                      <w:color w:val="auto"/>
                      <w:sz w:val="21"/>
                      <w:szCs w:val="21"/>
                      <w:highlight w:val="none"/>
                    </w:rPr>
                    <w:t>隔声、减震等措施降低设备噪声</w:t>
                  </w:r>
                  <w:r>
                    <w:rPr>
                      <w:rFonts w:hint="default" w:ascii="Times New Roman" w:hAnsi="Times New Roman" w:cs="Times New Roman"/>
                      <w:color w:val="auto"/>
                      <w:kern w:val="0"/>
                      <w:sz w:val="21"/>
                      <w:szCs w:val="21"/>
                      <w:highlight w:val="none"/>
                    </w:rPr>
                    <w:t>，</w:t>
                  </w:r>
                  <w:r>
                    <w:rPr>
                      <w:rFonts w:hint="default" w:ascii="Times New Roman" w:hAnsi="Times New Roman" w:cs="Times New Roman"/>
                      <w:color w:val="auto"/>
                      <w:kern w:val="0"/>
                      <w:sz w:val="21"/>
                      <w:szCs w:val="21"/>
                      <w:highlight w:val="none"/>
                      <w:lang w:val="en-US" w:eastAsia="zh-CN"/>
                    </w:rPr>
                    <w:t>日常</w:t>
                  </w:r>
                  <w:r>
                    <w:rPr>
                      <w:rFonts w:hint="default" w:ascii="Times New Roman" w:hAnsi="Times New Roman" w:cs="Times New Roman"/>
                      <w:color w:val="auto"/>
                      <w:kern w:val="0"/>
                      <w:sz w:val="21"/>
                      <w:szCs w:val="21"/>
                      <w:highlight w:val="none"/>
                    </w:rPr>
                    <w:t>加强保养及维护工作，项目厂界噪声符合GB12348要求。</w:t>
                  </w:r>
                </w:p>
              </w:tc>
              <w:tc>
                <w:tcPr>
                  <w:tcW w:w="361" w:type="pct"/>
                  <w:vAlign w:val="center"/>
                </w:tcPr>
                <w:p w14:paraId="761BA10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77C43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34" w:hRule="atLeast"/>
                <w:jc w:val="center"/>
              </w:trPr>
              <w:tc>
                <w:tcPr>
                  <w:tcW w:w="345" w:type="pct"/>
                  <w:vAlign w:val="center"/>
                </w:tcPr>
                <w:p w14:paraId="60F47B1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矿区绿化</w:t>
                  </w:r>
                </w:p>
              </w:tc>
              <w:tc>
                <w:tcPr>
                  <w:tcW w:w="1935" w:type="pct"/>
                  <w:vAlign w:val="center"/>
                </w:tcPr>
                <w:p w14:paraId="1E23345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矿区绿化应与周边自然环境和景观相协调，绿化植物搭配合理，矿区绿化覆盖率应达到100%。</w:t>
                  </w:r>
                </w:p>
              </w:tc>
              <w:tc>
                <w:tcPr>
                  <w:tcW w:w="2357" w:type="pct"/>
                  <w:vAlign w:val="center"/>
                </w:tcPr>
                <w:p w14:paraId="479CBC2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aps w:val="0"/>
                      <w:smallCaps w:val="0"/>
                      <w:color w:val="auto"/>
                      <w:sz w:val="21"/>
                      <w:szCs w:val="21"/>
                      <w:highlight w:val="none"/>
                      <w:lang w:val="en-US" w:eastAsia="zh-CN"/>
                    </w:rPr>
                    <w:t>矿山开采严格执行“边开采边复垦”开采方式，对开采过程中产生的采空区进行植被恢复，</w:t>
                  </w:r>
                  <w:r>
                    <w:rPr>
                      <w:rFonts w:hint="default" w:ascii="Times New Roman" w:hAnsi="Times New Roman" w:cs="Times New Roman"/>
                      <w:color w:val="auto"/>
                      <w:kern w:val="0"/>
                      <w:sz w:val="21"/>
                      <w:szCs w:val="21"/>
                      <w:highlight w:val="none"/>
                    </w:rPr>
                    <w:t>闭矿后矿山将进行全面复垦，种植与当地相协调的植被，使绿化合理。</w:t>
                  </w:r>
                </w:p>
              </w:tc>
              <w:tc>
                <w:tcPr>
                  <w:tcW w:w="361" w:type="pct"/>
                  <w:vAlign w:val="center"/>
                </w:tcPr>
                <w:p w14:paraId="62EB4BB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6BD8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16" w:hRule="atLeast"/>
                <w:jc w:val="center"/>
              </w:trPr>
              <w:tc>
                <w:tcPr>
                  <w:tcW w:w="345" w:type="pct"/>
                  <w:vMerge w:val="restart"/>
                  <w:vAlign w:val="center"/>
                </w:tcPr>
                <w:p w14:paraId="3E96671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资源开发方式</w:t>
                  </w:r>
                </w:p>
              </w:tc>
              <w:tc>
                <w:tcPr>
                  <w:tcW w:w="1935" w:type="pct"/>
                  <w:vAlign w:val="center"/>
                </w:tcPr>
                <w:p w14:paraId="2AFCA40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资源开发应与环境保护、资源保护和城乡建设相协调，最大限度减少对自然资源的扰动和破坏，选择资源节约型、环境友好型开发方式。</w:t>
                  </w:r>
                </w:p>
              </w:tc>
              <w:tc>
                <w:tcPr>
                  <w:tcW w:w="2357" w:type="pct"/>
                  <w:vAlign w:val="center"/>
                </w:tcPr>
                <w:p w14:paraId="392EA5B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本项目矿山闭矿后严格按照复垦方案对矿区进行复垦。项目矿山开采过程中严格做好各项环境保护措施。</w:t>
                  </w:r>
                </w:p>
              </w:tc>
              <w:tc>
                <w:tcPr>
                  <w:tcW w:w="361" w:type="pct"/>
                  <w:vAlign w:val="center"/>
                </w:tcPr>
                <w:p w14:paraId="4D986E9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575B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80" w:hRule="atLeast"/>
                <w:jc w:val="center"/>
              </w:trPr>
              <w:tc>
                <w:tcPr>
                  <w:tcW w:w="345" w:type="pct"/>
                  <w:vMerge w:val="continue"/>
                  <w:vAlign w:val="center"/>
                </w:tcPr>
                <w:p w14:paraId="6A5AC99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37F395E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采用先进的工艺技术与装备，做到绿色开采、绿色生产、绿色贮存、绿色运输。</w:t>
                  </w:r>
                </w:p>
              </w:tc>
              <w:tc>
                <w:tcPr>
                  <w:tcW w:w="2357" w:type="pct"/>
                  <w:vAlign w:val="center"/>
                </w:tcPr>
                <w:p w14:paraId="16CB34D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本项目采用露天开采，采用挖掘机采装，自卸汽车运输的台阶式采矿工艺，生产工艺、运输工艺按相关要求进行，做到绿色开采、绿色生产、绿色贮存、绿色运输。</w:t>
                  </w:r>
                </w:p>
              </w:tc>
              <w:tc>
                <w:tcPr>
                  <w:tcW w:w="361" w:type="pct"/>
                  <w:vAlign w:val="center"/>
                </w:tcPr>
                <w:p w14:paraId="0CB6AEC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713E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59" w:hRule="atLeast"/>
                <w:jc w:val="center"/>
              </w:trPr>
              <w:tc>
                <w:tcPr>
                  <w:tcW w:w="345" w:type="pct"/>
                  <w:vMerge w:val="continue"/>
                  <w:vAlign w:val="center"/>
                </w:tcPr>
                <w:p w14:paraId="65505DC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572978B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应贯彻“边开采、边恢复”的原则，及时治理恢复矿山地质环境，复垦矿山占用土地和损毁土地。治理率和复垦率应达到矿山地质环境保护与土地复垦方案的要求。</w:t>
                  </w:r>
                </w:p>
              </w:tc>
              <w:tc>
                <w:tcPr>
                  <w:tcW w:w="2357" w:type="pct"/>
                  <w:vAlign w:val="center"/>
                </w:tcPr>
                <w:p w14:paraId="6D083EB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w:t>
                  </w:r>
                  <w:r>
                    <w:rPr>
                      <w:rFonts w:hint="default" w:ascii="Times New Roman" w:hAnsi="Times New Roman" w:eastAsia="宋体" w:cs="Times New Roman"/>
                      <w:caps w:val="0"/>
                      <w:smallCaps w:val="0"/>
                      <w:color w:val="auto"/>
                      <w:sz w:val="21"/>
                      <w:szCs w:val="21"/>
                      <w:highlight w:val="none"/>
                      <w:lang w:val="en-US" w:eastAsia="zh-CN"/>
                    </w:rPr>
                    <w:t>矿山开采严格按照由上而下分台阶开采，严格执行“边开采边复垦”开采方式，</w:t>
                  </w:r>
                  <w:r>
                    <w:rPr>
                      <w:rFonts w:hint="default" w:ascii="Times New Roman" w:hAnsi="Times New Roman" w:cs="Times New Roman"/>
                      <w:color w:val="auto"/>
                      <w:kern w:val="0"/>
                      <w:sz w:val="21"/>
                      <w:szCs w:val="21"/>
                      <w:highlight w:val="none"/>
                    </w:rPr>
                    <w:t>严格按照复垦方案进行复垦，治理率和复垦率应达到矿山地质环境保护与土地复垦方案的要求。</w:t>
                  </w:r>
                </w:p>
              </w:tc>
              <w:tc>
                <w:tcPr>
                  <w:tcW w:w="361" w:type="pct"/>
                  <w:vAlign w:val="center"/>
                </w:tcPr>
                <w:p w14:paraId="705B14E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54C6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70" w:hRule="atLeast"/>
                <w:jc w:val="center"/>
              </w:trPr>
              <w:tc>
                <w:tcPr>
                  <w:tcW w:w="345" w:type="pct"/>
                  <w:vMerge w:val="restart"/>
                  <w:vAlign w:val="center"/>
                </w:tcPr>
                <w:p w14:paraId="09AC536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绿色开采</w:t>
                  </w:r>
                </w:p>
              </w:tc>
              <w:tc>
                <w:tcPr>
                  <w:tcW w:w="1935" w:type="pct"/>
                  <w:vAlign w:val="center"/>
                </w:tcPr>
                <w:p w14:paraId="3307BDA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应按照地方矿产资源开发利用专项规划，做好矿山中长期开采规划和短期开采计划的编制，采场工作面推进均衡有序。</w:t>
                  </w:r>
                </w:p>
              </w:tc>
              <w:tc>
                <w:tcPr>
                  <w:tcW w:w="2357" w:type="pct"/>
                  <w:vAlign w:val="center"/>
                </w:tcPr>
                <w:p w14:paraId="4B0299F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本项目已</w:t>
                  </w:r>
                  <w:r>
                    <w:rPr>
                      <w:rFonts w:hint="default" w:ascii="Times New Roman" w:hAnsi="Times New Roman" w:eastAsia="宋体" w:cs="Times New Roman"/>
                      <w:color w:val="auto"/>
                      <w:kern w:val="0"/>
                      <w:sz w:val="21"/>
                      <w:szCs w:val="21"/>
                      <w:highlight w:val="none"/>
                      <w:lang w:val="en-US" w:eastAsia="zh-CN"/>
                    </w:rPr>
                    <w:t>根据矿山工程初步设计、安全设施设计等</w:t>
                  </w:r>
                  <w:r>
                    <w:rPr>
                      <w:rFonts w:hint="default" w:ascii="Times New Roman" w:hAnsi="Times New Roman" w:eastAsia="宋体" w:cs="Times New Roman"/>
                      <w:color w:val="auto"/>
                      <w:kern w:val="0"/>
                      <w:sz w:val="21"/>
                      <w:szCs w:val="21"/>
                      <w:highlight w:val="none"/>
                    </w:rPr>
                    <w:t>做好矿山中长期开采规划和短期开采计划的编制，采场工作面推进均衡有序。</w:t>
                  </w:r>
                </w:p>
              </w:tc>
              <w:tc>
                <w:tcPr>
                  <w:tcW w:w="361" w:type="pct"/>
                  <w:vAlign w:val="center"/>
                </w:tcPr>
                <w:p w14:paraId="3DD94F5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48E7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88" w:hRule="atLeast"/>
                <w:jc w:val="center"/>
              </w:trPr>
              <w:tc>
                <w:tcPr>
                  <w:tcW w:w="345" w:type="pct"/>
                  <w:vMerge w:val="continue"/>
                  <w:vAlign w:val="center"/>
                </w:tcPr>
                <w:p w14:paraId="4ECCE2E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2529492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采场准备应遵循采剥并举、剥离先行的原则，最大限度保留原生自然环境，减少对矿区植被破坏引起的视觉污染和环境扰动。</w:t>
                  </w:r>
                </w:p>
              </w:tc>
              <w:tc>
                <w:tcPr>
                  <w:tcW w:w="2357" w:type="pct"/>
                  <w:vAlign w:val="center"/>
                </w:tcPr>
                <w:p w14:paraId="3BE82E7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rPr>
                    <w:t>本项目</w:t>
                  </w:r>
                  <w:r>
                    <w:rPr>
                      <w:rFonts w:hint="default" w:ascii="Times New Roman" w:hAnsi="Times New Roman" w:eastAsia="宋体" w:cs="Times New Roman"/>
                      <w:caps w:val="0"/>
                      <w:smallCaps w:val="0"/>
                      <w:color w:val="auto"/>
                      <w:sz w:val="21"/>
                      <w:szCs w:val="21"/>
                      <w:highlight w:val="none"/>
                      <w:lang w:val="en-US" w:eastAsia="zh-CN"/>
                    </w:rPr>
                    <w:t>矿山开采严格按照由上而下分台阶开采，严格执行“边开采边复垦”开采方式，</w:t>
                  </w:r>
                  <w:r>
                    <w:rPr>
                      <w:rFonts w:hint="default" w:ascii="Times New Roman" w:hAnsi="Times New Roman" w:cs="Times New Roman"/>
                      <w:color w:val="auto"/>
                      <w:kern w:val="0"/>
                      <w:sz w:val="21"/>
                      <w:szCs w:val="21"/>
                      <w:highlight w:val="none"/>
                    </w:rPr>
                    <w:t>严格按照复垦方案进行复垦</w:t>
                  </w:r>
                  <w:r>
                    <w:rPr>
                      <w:rFonts w:hint="default" w:ascii="Times New Roman" w:hAnsi="Times New Roman" w:cs="Times New Roman"/>
                      <w:color w:val="auto"/>
                      <w:kern w:val="0"/>
                      <w:sz w:val="21"/>
                      <w:szCs w:val="21"/>
                      <w:highlight w:val="none"/>
                      <w:lang w:eastAsia="zh-CN"/>
                    </w:rPr>
                    <w:t>。</w:t>
                  </w:r>
                </w:p>
              </w:tc>
              <w:tc>
                <w:tcPr>
                  <w:tcW w:w="361" w:type="pct"/>
                  <w:vAlign w:val="center"/>
                </w:tcPr>
                <w:p w14:paraId="554B682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52FB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29" w:hRule="atLeast"/>
                <w:jc w:val="center"/>
              </w:trPr>
              <w:tc>
                <w:tcPr>
                  <w:tcW w:w="345" w:type="pct"/>
                  <w:vMerge w:val="continue"/>
                  <w:vAlign w:val="center"/>
                </w:tcPr>
                <w:p w14:paraId="635A278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14AB1D4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排土场应通过勘测选择地质条件稳定的场所，做好防护措施，保证堆放安全，避免压占可采矿量，并方便未来矿区进行环境恢复治理和土地复垦时取用。</w:t>
                  </w:r>
                </w:p>
              </w:tc>
              <w:tc>
                <w:tcPr>
                  <w:tcW w:w="2357" w:type="pct"/>
                  <w:vAlign w:val="center"/>
                </w:tcPr>
                <w:p w14:paraId="038E8E8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aps w:val="0"/>
                      <w:smallCaps w:val="0"/>
                      <w:color w:val="auto"/>
                      <w:kern w:val="2"/>
                      <w:sz w:val="21"/>
                      <w:szCs w:val="21"/>
                      <w:highlight w:val="none"/>
                      <w:lang w:val="en-US" w:eastAsia="zh-CN" w:bidi="ar-SA"/>
                    </w:rPr>
                    <w:t>项目2200m、2192m开采平台剥离的表土</w:t>
                  </w:r>
                  <w:r>
                    <w:rPr>
                      <w:rFonts w:hint="eastAsia" w:cs="Times New Roman"/>
                      <w:caps w:val="0"/>
                      <w:smallCaps w:val="0"/>
                      <w:color w:val="auto"/>
                      <w:kern w:val="2"/>
                      <w:sz w:val="21"/>
                      <w:szCs w:val="21"/>
                      <w:highlight w:val="none"/>
                      <w:lang w:val="en-US" w:eastAsia="zh-CN" w:bidi="ar-SA"/>
                    </w:rPr>
                    <w:t>堆放于矿界西侧的临时表土堆场</w:t>
                  </w:r>
                  <w:r>
                    <w:rPr>
                      <w:rFonts w:hint="default" w:ascii="Times New Roman" w:hAnsi="Times New Roman" w:eastAsia="宋体" w:cs="Times New Roman"/>
                      <w:caps w:val="0"/>
                      <w:smallCaps w:val="0"/>
                      <w:color w:val="auto"/>
                      <w:kern w:val="2"/>
                      <w:sz w:val="21"/>
                      <w:szCs w:val="21"/>
                      <w:highlight w:val="none"/>
                      <w:lang w:val="en-US" w:eastAsia="zh-CN" w:bidi="ar-SA"/>
                    </w:rPr>
                    <w:t>，用于</w:t>
                  </w:r>
                  <w:r>
                    <w:rPr>
                      <w:rFonts w:hint="default" w:ascii="Times New Roman" w:hAnsi="Times New Roman" w:cs="Times New Roman"/>
                      <w:caps w:val="0"/>
                      <w:smallCaps w:val="0"/>
                      <w:color w:val="auto"/>
                      <w:kern w:val="2"/>
                      <w:sz w:val="21"/>
                      <w:szCs w:val="21"/>
                      <w:highlight w:val="none"/>
                      <w:lang w:val="en-US" w:eastAsia="zh-CN" w:bidi="ar-SA"/>
                    </w:rPr>
                    <w:t>工业场地区及办公生活区修建时平整及道路，后续剥离表土用于</w:t>
                  </w:r>
                  <w:r>
                    <w:rPr>
                      <w:rFonts w:hint="default" w:ascii="Times New Roman" w:hAnsi="Times New Roman" w:eastAsia="宋体" w:cs="Times New Roman"/>
                      <w:caps w:val="0"/>
                      <w:smallCaps w:val="0"/>
                      <w:color w:val="auto"/>
                      <w:kern w:val="2"/>
                      <w:sz w:val="21"/>
                      <w:szCs w:val="21"/>
                      <w:highlight w:val="none"/>
                      <w:lang w:val="en-US" w:eastAsia="zh-CN" w:bidi="ar-SA"/>
                    </w:rPr>
                    <w:t>采空区</w:t>
                  </w:r>
                  <w:r>
                    <w:rPr>
                      <w:rFonts w:hint="default" w:ascii="Times New Roman" w:hAnsi="Times New Roman" w:cs="Times New Roman"/>
                      <w:caps w:val="0"/>
                      <w:smallCaps w:val="0"/>
                      <w:color w:val="auto"/>
                      <w:kern w:val="2"/>
                      <w:sz w:val="21"/>
                      <w:szCs w:val="21"/>
                      <w:highlight w:val="none"/>
                      <w:lang w:val="en-US" w:eastAsia="zh-CN" w:bidi="ar-SA"/>
                    </w:rPr>
                    <w:t>覆土</w:t>
                  </w:r>
                  <w:r>
                    <w:rPr>
                      <w:rFonts w:hint="default" w:ascii="Times New Roman" w:hAnsi="Times New Roman" w:eastAsia="宋体" w:cs="Times New Roman"/>
                      <w:caps w:val="0"/>
                      <w:smallCaps w:val="0"/>
                      <w:color w:val="auto"/>
                      <w:kern w:val="2"/>
                      <w:sz w:val="21"/>
                      <w:szCs w:val="21"/>
                      <w:highlight w:val="none"/>
                      <w:lang w:val="en-US" w:eastAsia="zh-CN" w:bidi="ar-SA"/>
                    </w:rPr>
                    <w:t>复垦，进行矿区植被恢复</w:t>
                  </w:r>
                  <w:r>
                    <w:rPr>
                      <w:rFonts w:hint="default" w:ascii="Times New Roman" w:hAnsi="Times New Roman" w:cs="Times New Roman"/>
                      <w:color w:val="auto"/>
                      <w:kern w:val="0"/>
                      <w:sz w:val="21"/>
                      <w:szCs w:val="21"/>
                      <w:highlight w:val="none"/>
                    </w:rPr>
                    <w:t>，</w:t>
                  </w:r>
                  <w:r>
                    <w:rPr>
                      <w:rFonts w:hint="default" w:ascii="Times New Roman" w:hAnsi="Times New Roman" w:cs="Times New Roman"/>
                      <w:color w:val="auto"/>
                      <w:kern w:val="0"/>
                      <w:sz w:val="21"/>
                      <w:szCs w:val="21"/>
                      <w:highlight w:val="none"/>
                      <w:lang w:val="en-US" w:eastAsia="zh-CN"/>
                    </w:rPr>
                    <w:t>后期</w:t>
                  </w:r>
                  <w:r>
                    <w:rPr>
                      <w:rFonts w:hint="default" w:ascii="Times New Roman" w:hAnsi="Times New Roman" w:cs="Times New Roman"/>
                      <w:color w:val="auto"/>
                      <w:kern w:val="0"/>
                      <w:sz w:val="21"/>
                      <w:szCs w:val="21"/>
                      <w:highlight w:val="none"/>
                    </w:rPr>
                    <w:t>不涉及临时表土堆存</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故本项目不设置排土场</w:t>
                  </w:r>
                  <w:r>
                    <w:rPr>
                      <w:rFonts w:hint="default" w:ascii="Times New Roman" w:hAnsi="Times New Roman" w:cs="Times New Roman"/>
                      <w:color w:val="auto"/>
                      <w:kern w:val="0"/>
                      <w:sz w:val="21"/>
                      <w:szCs w:val="21"/>
                      <w:highlight w:val="none"/>
                    </w:rPr>
                    <w:t>。</w:t>
                  </w:r>
                </w:p>
              </w:tc>
              <w:tc>
                <w:tcPr>
                  <w:tcW w:w="361" w:type="pct"/>
                  <w:vAlign w:val="center"/>
                </w:tcPr>
                <w:p w14:paraId="0EFE75D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078F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5" w:hRule="atLeast"/>
                <w:jc w:val="center"/>
              </w:trPr>
              <w:tc>
                <w:tcPr>
                  <w:tcW w:w="345" w:type="pct"/>
                  <w:vMerge w:val="continue"/>
                  <w:vAlign w:val="center"/>
                </w:tcPr>
                <w:p w14:paraId="0DD2B7B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67DF527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应执行矿山开采施工设计和资源开发利用方案，露天开采应实行自上而下台阶式开采，阶段坡面角、平台宽度及终了坡面角等主要参数应符合施工设计要求。开采台阶高度不宜大于15m。</w:t>
                  </w:r>
                </w:p>
              </w:tc>
              <w:tc>
                <w:tcPr>
                  <w:tcW w:w="2357" w:type="pct"/>
                  <w:vAlign w:val="center"/>
                </w:tcPr>
                <w:p w14:paraId="7D6B1DF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w:t>
                  </w:r>
                  <w:r>
                    <w:rPr>
                      <w:rFonts w:hint="default" w:ascii="Times New Roman" w:hAnsi="Times New Roman" w:eastAsia="宋体" w:cs="Times New Roman"/>
                      <w:caps w:val="0"/>
                      <w:smallCaps w:val="0"/>
                      <w:color w:val="auto"/>
                      <w:sz w:val="21"/>
                      <w:szCs w:val="21"/>
                      <w:highlight w:val="none"/>
                      <w:lang w:val="en-US" w:eastAsia="zh-CN"/>
                    </w:rPr>
                    <w:t>矿山开采严格按照由上而下分台阶开采，</w:t>
                  </w:r>
                  <w:r>
                    <w:rPr>
                      <w:rFonts w:hint="default" w:ascii="Times New Roman" w:hAnsi="Times New Roman" w:cs="Times New Roman"/>
                      <w:color w:val="auto"/>
                      <w:sz w:val="21"/>
                      <w:szCs w:val="21"/>
                      <w:highlight w:val="none"/>
                    </w:rPr>
                    <w:t>台阶高度</w:t>
                  </w:r>
                  <w:r>
                    <w:rPr>
                      <w:rFonts w:hint="default"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rPr>
                    <w:t>m</w:t>
                  </w:r>
                  <w:r>
                    <w:rPr>
                      <w:rFonts w:hint="default" w:ascii="Times New Roman" w:hAnsi="Times New Roman" w:cs="Times New Roman"/>
                      <w:color w:val="auto"/>
                      <w:kern w:val="0"/>
                      <w:sz w:val="21"/>
                      <w:szCs w:val="21"/>
                      <w:highlight w:val="none"/>
                    </w:rPr>
                    <w:t>。</w:t>
                  </w:r>
                </w:p>
              </w:tc>
              <w:tc>
                <w:tcPr>
                  <w:tcW w:w="361" w:type="pct"/>
                  <w:vAlign w:val="center"/>
                </w:tcPr>
                <w:p w14:paraId="1169167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3F74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28" w:hRule="atLeast"/>
                <w:jc w:val="center"/>
              </w:trPr>
              <w:tc>
                <w:tcPr>
                  <w:tcW w:w="345" w:type="pct"/>
                  <w:vMerge w:val="continue"/>
                  <w:vAlign w:val="center"/>
                </w:tcPr>
                <w:p w14:paraId="373B722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7E96377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爆破前应编制爆破方案，确定合理的爆破参数，减少大块率及爆破过粉碎，采用新工艺、新设备、新技术、新材料，实现安全、高效、经济、环保等目的，推广应用先进的现场混装爆破技术。</w:t>
                  </w:r>
                </w:p>
              </w:tc>
              <w:tc>
                <w:tcPr>
                  <w:tcW w:w="2357" w:type="pct"/>
                  <w:vAlign w:val="center"/>
                </w:tcPr>
                <w:p w14:paraId="63DB14D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本项目矿山爆破委托县内专业民爆公司进行爆破，采用微孔爆破，爆破工艺先进。</w:t>
                  </w:r>
                </w:p>
              </w:tc>
              <w:tc>
                <w:tcPr>
                  <w:tcW w:w="361" w:type="pct"/>
                  <w:vAlign w:val="center"/>
                </w:tcPr>
                <w:p w14:paraId="66BB6DE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429D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58" w:hRule="atLeast"/>
                <w:jc w:val="center"/>
              </w:trPr>
              <w:tc>
                <w:tcPr>
                  <w:tcW w:w="345" w:type="pct"/>
                  <w:vMerge w:val="continue"/>
                  <w:vAlign w:val="center"/>
                </w:tcPr>
                <w:p w14:paraId="7EF10EE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00D53A3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矿石原料破碎前一般应进行除泥（土）工序。矿石粗破系统应靠近采区布置，有条件的，也可以在采区内进行粗破，破碎后矿石宜采用连续输送机输送至砂石生产场区。</w:t>
                  </w:r>
                </w:p>
              </w:tc>
              <w:tc>
                <w:tcPr>
                  <w:tcW w:w="2357" w:type="pct"/>
                  <w:vAlign w:val="center"/>
                </w:tcPr>
                <w:p w14:paraId="0F270D5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本项目矿石质量较好，泥土杂质较少，破碎系统离采区较近</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连接矿界西侧</w:t>
                  </w:r>
                  <w:r>
                    <w:rPr>
                      <w:rFonts w:hint="default" w:ascii="Times New Roman" w:hAnsi="Times New Roman" w:cs="Times New Roman"/>
                      <w:color w:val="auto"/>
                      <w:sz w:val="21"/>
                      <w:szCs w:val="21"/>
                      <w:highlight w:val="none"/>
                    </w:rPr>
                    <w:t>。</w:t>
                  </w:r>
                </w:p>
              </w:tc>
              <w:tc>
                <w:tcPr>
                  <w:tcW w:w="361" w:type="pct"/>
                  <w:vAlign w:val="center"/>
                </w:tcPr>
                <w:p w14:paraId="6837E01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3A6B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58" w:hRule="atLeast"/>
                <w:jc w:val="center"/>
              </w:trPr>
              <w:tc>
                <w:tcPr>
                  <w:tcW w:w="345" w:type="pct"/>
                  <w:vMerge w:val="restart"/>
                  <w:vAlign w:val="center"/>
                </w:tcPr>
                <w:p w14:paraId="27254BD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绿色生产</w:t>
                  </w:r>
                </w:p>
              </w:tc>
              <w:tc>
                <w:tcPr>
                  <w:tcW w:w="1935" w:type="pct"/>
                  <w:vAlign w:val="center"/>
                </w:tcPr>
                <w:p w14:paraId="5CDB2F1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应根据地方国土资源管理部门核发的采矿证规定的生产规模，以及目标市场容量确定生产线规模。正常生产时，人均工效不低于100t/d或2.5万t/a。</w:t>
                  </w:r>
                </w:p>
              </w:tc>
              <w:tc>
                <w:tcPr>
                  <w:tcW w:w="2357" w:type="pct"/>
                  <w:vAlign w:val="center"/>
                </w:tcPr>
                <w:p w14:paraId="5FA9E00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本项目生产规模</w:t>
                  </w:r>
                  <w:r>
                    <w:rPr>
                      <w:rFonts w:hint="default" w:ascii="Times New Roman" w:hAnsi="Times New Roman" w:cs="Times New Roman"/>
                      <w:color w:val="auto"/>
                      <w:sz w:val="21"/>
                      <w:szCs w:val="21"/>
                      <w:highlight w:val="none"/>
                      <w:lang w:val="en-US" w:eastAsia="zh-CN"/>
                    </w:rPr>
                    <w:t>为50万t/a，</w:t>
                  </w:r>
                  <w:r>
                    <w:rPr>
                      <w:rFonts w:hint="default" w:ascii="Times New Roman" w:hAnsi="Times New Roman" w:cs="Times New Roman"/>
                      <w:color w:val="auto"/>
                      <w:kern w:val="0"/>
                      <w:sz w:val="21"/>
                      <w:szCs w:val="21"/>
                      <w:highlight w:val="none"/>
                    </w:rPr>
                    <w:t>正常生产时，人均工效不低于100t/d或2.5万t/a</w:t>
                  </w:r>
                  <w:r>
                    <w:rPr>
                      <w:rFonts w:hint="default" w:ascii="Times New Roman" w:hAnsi="Times New Roman" w:cs="Times New Roman"/>
                      <w:color w:val="auto"/>
                      <w:sz w:val="21"/>
                      <w:szCs w:val="21"/>
                      <w:highlight w:val="none"/>
                    </w:rPr>
                    <w:t>。</w:t>
                  </w:r>
                </w:p>
              </w:tc>
              <w:tc>
                <w:tcPr>
                  <w:tcW w:w="361" w:type="pct"/>
                  <w:vAlign w:val="center"/>
                </w:tcPr>
                <w:p w14:paraId="1304CE4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4E61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7" w:hRule="atLeast"/>
                <w:jc w:val="center"/>
              </w:trPr>
              <w:tc>
                <w:tcPr>
                  <w:tcW w:w="345" w:type="pct"/>
                  <w:vMerge w:val="continue"/>
                  <w:vAlign w:val="center"/>
                </w:tcPr>
                <w:p w14:paraId="40367F7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05C57B5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生产线设计应符合GB51186的要求，设计中要体现节能、环保、安全、高效的理念，应根据地形条件合理布设生产设备。</w:t>
                  </w:r>
                </w:p>
              </w:tc>
              <w:tc>
                <w:tcPr>
                  <w:tcW w:w="2357" w:type="pct"/>
                  <w:vAlign w:val="center"/>
                </w:tcPr>
                <w:p w14:paraId="04194A1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本项目按地形条件</w:t>
                  </w:r>
                  <w:r>
                    <w:rPr>
                      <w:rFonts w:hint="default" w:ascii="Times New Roman" w:hAnsi="Times New Roman" w:cs="Times New Roman"/>
                      <w:color w:val="auto"/>
                      <w:sz w:val="21"/>
                      <w:szCs w:val="21"/>
                      <w:highlight w:val="none"/>
                      <w:lang w:val="en-US" w:eastAsia="zh-CN"/>
                    </w:rPr>
                    <w:t>及现场情况</w:t>
                  </w:r>
                  <w:r>
                    <w:rPr>
                      <w:rFonts w:hint="default" w:ascii="Times New Roman" w:hAnsi="Times New Roman" w:cs="Times New Roman"/>
                      <w:color w:val="auto"/>
                      <w:sz w:val="21"/>
                      <w:szCs w:val="21"/>
                      <w:highlight w:val="none"/>
                    </w:rPr>
                    <w:t>合理布设生产设备，由高而下分布，减少运输，从而实现节能、环保、安全、高效理念。</w:t>
                  </w:r>
                </w:p>
              </w:tc>
              <w:tc>
                <w:tcPr>
                  <w:tcW w:w="361" w:type="pct"/>
                  <w:vAlign w:val="center"/>
                </w:tcPr>
                <w:p w14:paraId="593B2E0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405D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58" w:hRule="atLeast"/>
                <w:jc w:val="center"/>
              </w:trPr>
              <w:tc>
                <w:tcPr>
                  <w:tcW w:w="345" w:type="pct"/>
                  <w:vMerge w:val="continue"/>
                  <w:vAlign w:val="center"/>
                </w:tcPr>
                <w:p w14:paraId="7F1583F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77740D5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应根据母岩材质性能、产品结构、产能要求等因素选择先进工艺和设备，配置与生产规模和工艺相符的辅助设施，合理规划堆料、装卸以及设备检修维护场地。</w:t>
                  </w:r>
                </w:p>
              </w:tc>
              <w:tc>
                <w:tcPr>
                  <w:tcW w:w="2357" w:type="pct"/>
                  <w:vAlign w:val="center"/>
                </w:tcPr>
                <w:p w14:paraId="3A2FC8F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本项目采用机械化开采工艺，开采设备和辅助设施与开采规模和开采工艺相配套，堆场布置合理。</w:t>
                  </w:r>
                </w:p>
              </w:tc>
              <w:tc>
                <w:tcPr>
                  <w:tcW w:w="361" w:type="pct"/>
                  <w:vAlign w:val="center"/>
                </w:tcPr>
                <w:p w14:paraId="563EC01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277C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6" w:hRule="atLeast"/>
                <w:jc w:val="center"/>
              </w:trPr>
              <w:tc>
                <w:tcPr>
                  <w:tcW w:w="345" w:type="pct"/>
                  <w:vMerge w:val="continue"/>
                  <w:vAlign w:val="center"/>
                </w:tcPr>
                <w:p w14:paraId="5059A78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1A7C1AA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根据原料品质分级利用砂石资源，做到优质优用，提高砂石产品的成品率。</w:t>
                  </w:r>
                </w:p>
              </w:tc>
              <w:tc>
                <w:tcPr>
                  <w:tcW w:w="2357" w:type="pct"/>
                  <w:vAlign w:val="center"/>
                </w:tcPr>
                <w:p w14:paraId="2617CFF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w:t>
                  </w:r>
                  <w:r>
                    <w:rPr>
                      <w:rFonts w:hint="default" w:ascii="Times New Roman" w:hAnsi="Times New Roman" w:cs="Times New Roman"/>
                      <w:color w:val="auto"/>
                      <w:sz w:val="21"/>
                      <w:szCs w:val="21"/>
                      <w:highlight w:val="none"/>
                    </w:rPr>
                    <w:t>项目根据市场</w:t>
                  </w:r>
                  <w:r>
                    <w:rPr>
                      <w:rFonts w:hint="default" w:ascii="Times New Roman" w:hAnsi="Times New Roman" w:cs="Times New Roman"/>
                      <w:color w:val="auto"/>
                      <w:sz w:val="21"/>
                      <w:szCs w:val="21"/>
                      <w:highlight w:val="none"/>
                      <w:lang w:val="en-US" w:eastAsia="zh-CN"/>
                    </w:rPr>
                    <w:t>需求，项目产品为粒径&lt;4mm的石粉</w:t>
                  </w:r>
                  <w:r>
                    <w:rPr>
                      <w:rFonts w:hint="default" w:ascii="Times New Roman" w:hAnsi="Times New Roman" w:cs="Times New Roman"/>
                      <w:color w:val="auto"/>
                      <w:sz w:val="21"/>
                      <w:szCs w:val="21"/>
                      <w:highlight w:val="none"/>
                    </w:rPr>
                    <w:t>。</w:t>
                  </w:r>
                </w:p>
              </w:tc>
              <w:tc>
                <w:tcPr>
                  <w:tcW w:w="361" w:type="pct"/>
                  <w:vAlign w:val="center"/>
                </w:tcPr>
                <w:p w14:paraId="7A90FE6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76FE7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88" w:hRule="atLeast"/>
                <w:jc w:val="center"/>
              </w:trPr>
              <w:tc>
                <w:tcPr>
                  <w:tcW w:w="345" w:type="pct"/>
                  <w:vMerge w:val="continue"/>
                  <w:vAlign w:val="center"/>
                </w:tcPr>
                <w:p w14:paraId="7741DBA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3494286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产品质量应符合GB/T1484、GB/T14685等标准的要求，粒形各级配要求高时应设置整形和级配调整工序进行深加工。</w:t>
                  </w:r>
                </w:p>
              </w:tc>
              <w:tc>
                <w:tcPr>
                  <w:tcW w:w="2357" w:type="pct"/>
                  <w:vAlign w:val="center"/>
                </w:tcPr>
                <w:p w14:paraId="32DEBAC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本项目产品质量应符合GB/T14684、GB/T14685等标准的要求。</w:t>
                  </w:r>
                </w:p>
              </w:tc>
              <w:tc>
                <w:tcPr>
                  <w:tcW w:w="361" w:type="pct"/>
                  <w:vAlign w:val="center"/>
                </w:tcPr>
                <w:p w14:paraId="25B0497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056C2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16" w:hRule="atLeast"/>
                <w:jc w:val="center"/>
              </w:trPr>
              <w:tc>
                <w:tcPr>
                  <w:tcW w:w="345" w:type="pct"/>
                  <w:vMerge w:val="continue"/>
                  <w:vAlign w:val="center"/>
                </w:tcPr>
                <w:p w14:paraId="1BFAE51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033250E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干法生产应配备高效除尘设施，并保持与生产设备同时运行、湿法生产应配置泥粉和水分离、废水处理和循环使用系统。</w:t>
                  </w:r>
                </w:p>
              </w:tc>
              <w:tc>
                <w:tcPr>
                  <w:tcW w:w="2357" w:type="pct"/>
                  <w:vMerge w:val="restart"/>
                  <w:vAlign w:val="center"/>
                </w:tcPr>
                <w:p w14:paraId="3C55BF2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本项目生产过程中采取喷雾、喷洒水、加装布袋除尘器等措施进行粉尘处理，</w:t>
                  </w:r>
                  <w:r>
                    <w:rPr>
                      <w:rFonts w:hint="default" w:ascii="Times New Roman" w:hAnsi="Times New Roman" w:cs="Times New Roman"/>
                      <w:caps w:val="0"/>
                      <w:smallCaps w:val="0"/>
                      <w:color w:val="auto"/>
                      <w:sz w:val="21"/>
                      <w:szCs w:val="21"/>
                      <w:highlight w:val="none"/>
                    </w:rPr>
                    <w:t>皮带运输系统廊道采用彩钢瓦进行封闭</w:t>
                  </w:r>
                  <w:r>
                    <w:rPr>
                      <w:rFonts w:hint="default" w:ascii="Times New Roman" w:hAnsi="Times New Roman" w:cs="Times New Roman"/>
                      <w:caps w:val="0"/>
                      <w:smallCaps w:val="0"/>
                      <w:color w:val="auto"/>
                      <w:sz w:val="21"/>
                      <w:szCs w:val="21"/>
                      <w:highlight w:val="none"/>
                      <w:lang w:eastAsia="zh-CN"/>
                    </w:rPr>
                    <w:t>，</w:t>
                  </w:r>
                  <w:r>
                    <w:rPr>
                      <w:rFonts w:hint="default" w:ascii="Times New Roman" w:hAnsi="Times New Roman" w:cs="Times New Roman"/>
                      <w:caps w:val="0"/>
                      <w:smallCaps w:val="0"/>
                      <w:color w:val="auto"/>
                      <w:sz w:val="21"/>
                      <w:szCs w:val="21"/>
                      <w:highlight w:val="none"/>
                      <w:lang w:val="en-US" w:eastAsia="zh-CN"/>
                    </w:rPr>
                    <w:t>生产车间、</w:t>
                  </w:r>
                  <w:r>
                    <w:rPr>
                      <w:rFonts w:hint="default" w:ascii="Times New Roman" w:hAnsi="Times New Roman" w:cs="Times New Roman"/>
                      <w:color w:val="auto"/>
                      <w:sz w:val="21"/>
                      <w:szCs w:val="21"/>
                      <w:highlight w:val="none"/>
                    </w:rPr>
                    <w:t>砂料堆场</w:t>
                  </w:r>
                  <w:r>
                    <w:rPr>
                      <w:rFonts w:hint="default" w:ascii="Times New Roman" w:hAnsi="Times New Roman" w:cs="Times New Roman"/>
                      <w:color w:val="auto"/>
                      <w:sz w:val="21"/>
                      <w:szCs w:val="21"/>
                      <w:highlight w:val="none"/>
                      <w:lang w:val="en-US" w:eastAsia="zh-CN"/>
                    </w:rPr>
                    <w:t>设置为彩钢瓦大棚内，三面围挡+顶棚，仅预留出入口</w:t>
                  </w:r>
                  <w:r>
                    <w:rPr>
                      <w:rFonts w:hint="default" w:ascii="Times New Roman" w:hAnsi="Times New Roman" w:cs="Times New Roman"/>
                      <w:color w:val="auto"/>
                      <w:sz w:val="21"/>
                      <w:szCs w:val="21"/>
                      <w:highlight w:val="none"/>
                    </w:rPr>
                    <w:t>。</w:t>
                  </w:r>
                </w:p>
              </w:tc>
              <w:tc>
                <w:tcPr>
                  <w:tcW w:w="361" w:type="pct"/>
                  <w:vAlign w:val="center"/>
                </w:tcPr>
                <w:p w14:paraId="4093E95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5BA52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87" w:hRule="atLeast"/>
                <w:jc w:val="center"/>
              </w:trPr>
              <w:tc>
                <w:tcPr>
                  <w:tcW w:w="345" w:type="pct"/>
                  <w:vMerge w:val="continue"/>
                  <w:vAlign w:val="center"/>
                </w:tcPr>
                <w:p w14:paraId="21433BE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2B5D0FB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生产加工车间的产尘点要封闭，有利于形成负压除尘；皮带运输机系统廊道应选用封闭方式，防止粉尘逸散。</w:t>
                  </w:r>
                </w:p>
              </w:tc>
              <w:tc>
                <w:tcPr>
                  <w:tcW w:w="2357" w:type="pct"/>
                  <w:vMerge w:val="continue"/>
                  <w:vAlign w:val="center"/>
                </w:tcPr>
                <w:p w14:paraId="2C30A55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p>
              </w:tc>
              <w:tc>
                <w:tcPr>
                  <w:tcW w:w="361" w:type="pct"/>
                  <w:vAlign w:val="center"/>
                </w:tcPr>
                <w:p w14:paraId="6142D2F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04C6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81" w:hRule="atLeast"/>
                <w:jc w:val="center"/>
              </w:trPr>
              <w:tc>
                <w:tcPr>
                  <w:tcW w:w="345" w:type="pct"/>
                  <w:vMerge w:val="continue"/>
                  <w:vAlign w:val="center"/>
                </w:tcPr>
                <w:p w14:paraId="69E7441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682AF91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应选用低噪声生产设备，对高噪强振的设备，应采取消声、减振措施，合理设计工艺布置，控制噪声传播。</w:t>
                  </w:r>
                </w:p>
              </w:tc>
              <w:tc>
                <w:tcPr>
                  <w:tcW w:w="2357" w:type="pct"/>
                  <w:vAlign w:val="center"/>
                </w:tcPr>
                <w:p w14:paraId="53A3F5E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本项目设备采取彩钢瓦隔声、减震等措施降低设备噪声，根据噪声预测结果，厂界噪声符合要求。</w:t>
                  </w:r>
                </w:p>
              </w:tc>
              <w:tc>
                <w:tcPr>
                  <w:tcW w:w="361" w:type="pct"/>
                  <w:vAlign w:val="center"/>
                </w:tcPr>
                <w:p w14:paraId="541D580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0F35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59" w:hRule="atLeast"/>
                <w:jc w:val="center"/>
              </w:trPr>
              <w:tc>
                <w:tcPr>
                  <w:tcW w:w="345" w:type="pct"/>
                  <w:vMerge w:val="continue"/>
                  <w:vAlign w:val="center"/>
                </w:tcPr>
                <w:p w14:paraId="47AAD4F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7FB93EC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砂石骨料成品堆料应地面硬化，分类或分仓储存。</w:t>
                  </w:r>
                </w:p>
              </w:tc>
              <w:tc>
                <w:tcPr>
                  <w:tcW w:w="2357" w:type="pct"/>
                  <w:vAlign w:val="center"/>
                </w:tcPr>
                <w:p w14:paraId="00AA4ED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lang w:val="en-US"/>
                    </w:rPr>
                  </w:pPr>
                  <w:r>
                    <w:rPr>
                      <w:rFonts w:hint="default" w:ascii="Times New Roman" w:hAnsi="Times New Roman" w:cs="Times New Roman"/>
                      <w:color w:val="auto"/>
                      <w:kern w:val="0"/>
                      <w:sz w:val="21"/>
                      <w:szCs w:val="21"/>
                      <w:highlight w:val="none"/>
                    </w:rPr>
                    <w:t>本项目</w:t>
                  </w:r>
                  <w:r>
                    <w:rPr>
                      <w:rFonts w:hint="default" w:ascii="Times New Roman" w:hAnsi="Times New Roman" w:cs="Times New Roman"/>
                      <w:color w:val="auto"/>
                      <w:sz w:val="21"/>
                      <w:szCs w:val="21"/>
                      <w:highlight w:val="none"/>
                      <w:lang w:val="en-US" w:eastAsia="zh-CN"/>
                    </w:rPr>
                    <w:t>产品为粒径&lt;4mm的石粉。均堆放于成品堆场彩钢瓦大棚内</w:t>
                  </w:r>
                </w:p>
              </w:tc>
              <w:tc>
                <w:tcPr>
                  <w:tcW w:w="361" w:type="pct"/>
                  <w:vAlign w:val="center"/>
                </w:tcPr>
                <w:p w14:paraId="209F02A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2C6D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30" w:hRule="atLeast"/>
                <w:jc w:val="center"/>
              </w:trPr>
              <w:tc>
                <w:tcPr>
                  <w:tcW w:w="345" w:type="pct"/>
                  <w:vMerge w:val="restart"/>
                  <w:vAlign w:val="center"/>
                </w:tcPr>
                <w:p w14:paraId="0669A33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绿色运输</w:t>
                  </w:r>
                </w:p>
              </w:tc>
              <w:tc>
                <w:tcPr>
                  <w:tcW w:w="1935" w:type="pct"/>
                  <w:vAlign w:val="center"/>
                </w:tcPr>
                <w:p w14:paraId="1DA6FD5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矿山的运输方式应结合矿山地形地势条件、岩性特性、开采方案、运输强度等因素，按JC/T2299选择方案。</w:t>
                  </w:r>
                </w:p>
              </w:tc>
              <w:tc>
                <w:tcPr>
                  <w:tcW w:w="2357" w:type="pct"/>
                  <w:vAlign w:val="center"/>
                </w:tcPr>
                <w:p w14:paraId="2A519C9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根据矿山地形地势，本项目运输距离较短，宜采用汽车运输方式。</w:t>
                  </w:r>
                </w:p>
              </w:tc>
              <w:tc>
                <w:tcPr>
                  <w:tcW w:w="361" w:type="pct"/>
                  <w:vAlign w:val="center"/>
                </w:tcPr>
                <w:p w14:paraId="17F1A5A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3A8D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89" w:hRule="atLeast"/>
                <w:jc w:val="center"/>
              </w:trPr>
              <w:tc>
                <w:tcPr>
                  <w:tcW w:w="345" w:type="pct"/>
                  <w:vMerge w:val="continue"/>
                  <w:vAlign w:val="center"/>
                </w:tcPr>
                <w:p w14:paraId="719F405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0574ECA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砂石骨料产品短途汽车运输应符合相关环保、交通等法律规定。中长途转运时应配置规模适宜、环保、安全措施完善的中转料场。</w:t>
                  </w:r>
                </w:p>
              </w:tc>
              <w:tc>
                <w:tcPr>
                  <w:tcW w:w="2357" w:type="pct"/>
                  <w:vAlign w:val="center"/>
                </w:tcPr>
                <w:p w14:paraId="71A812E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本项目砂料为短途运输，运输过程符合环保和交通法律规定。</w:t>
                  </w:r>
                </w:p>
              </w:tc>
              <w:tc>
                <w:tcPr>
                  <w:tcW w:w="361" w:type="pct"/>
                  <w:vAlign w:val="center"/>
                </w:tcPr>
                <w:p w14:paraId="57E9AC9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3CCE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97" w:hRule="atLeast"/>
                <w:jc w:val="center"/>
              </w:trPr>
              <w:tc>
                <w:tcPr>
                  <w:tcW w:w="345" w:type="pct"/>
                  <w:vMerge w:val="restart"/>
                  <w:vAlign w:val="center"/>
                </w:tcPr>
                <w:p w14:paraId="72E39A4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矿区生态环境保护</w:t>
                  </w:r>
                </w:p>
              </w:tc>
              <w:tc>
                <w:tcPr>
                  <w:tcW w:w="1935" w:type="pct"/>
                  <w:vAlign w:val="center"/>
                </w:tcPr>
                <w:p w14:paraId="20A171A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应按照矿山地质环境保护与土地复垦方案环境治理和土地复垦。</w:t>
                  </w:r>
                </w:p>
              </w:tc>
              <w:tc>
                <w:tcPr>
                  <w:tcW w:w="2357" w:type="pct"/>
                  <w:vAlign w:val="center"/>
                </w:tcPr>
                <w:p w14:paraId="6C90E20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本矿山闭矿后严格按照复垦方案对矿区进行复垦。</w:t>
                  </w:r>
                </w:p>
              </w:tc>
              <w:tc>
                <w:tcPr>
                  <w:tcW w:w="361" w:type="pct"/>
                  <w:vAlign w:val="center"/>
                </w:tcPr>
                <w:p w14:paraId="0D3B739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1C9A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358" w:hRule="atLeast"/>
                <w:jc w:val="center"/>
              </w:trPr>
              <w:tc>
                <w:tcPr>
                  <w:tcW w:w="345" w:type="pct"/>
                  <w:vMerge w:val="continue"/>
                  <w:vAlign w:val="center"/>
                </w:tcPr>
                <w:p w14:paraId="5283FB4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2C4B208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应建立环境监测机制，设置专门机构，配备专职管理人员和监测人员。</w:t>
                  </w:r>
                </w:p>
              </w:tc>
              <w:tc>
                <w:tcPr>
                  <w:tcW w:w="2357" w:type="pct"/>
                  <w:vAlign w:val="center"/>
                </w:tcPr>
                <w:p w14:paraId="592B465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本项目环评制定有环境监测计划，建设单位已设置专门的环保管理人员，并委托有资质的监测单位进行监测。</w:t>
                  </w:r>
                </w:p>
              </w:tc>
              <w:tc>
                <w:tcPr>
                  <w:tcW w:w="361" w:type="pct"/>
                  <w:vAlign w:val="center"/>
                </w:tcPr>
                <w:p w14:paraId="6C37328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5C48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55" w:hRule="atLeast"/>
                <w:jc w:val="center"/>
              </w:trPr>
              <w:tc>
                <w:tcPr>
                  <w:tcW w:w="345" w:type="pct"/>
                  <w:vMerge w:val="restart"/>
                  <w:vAlign w:val="center"/>
                </w:tcPr>
                <w:p w14:paraId="66EC391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资源综合利用</w:t>
                  </w:r>
                </w:p>
              </w:tc>
              <w:tc>
                <w:tcPr>
                  <w:tcW w:w="1935" w:type="pct"/>
                  <w:vAlign w:val="center"/>
                </w:tcPr>
                <w:p w14:paraId="0F56C3A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pacing w:val="4"/>
                      <w:sz w:val="21"/>
                      <w:szCs w:val="21"/>
                      <w:highlight w:val="none"/>
                    </w:rPr>
                    <w:t>应按照减量化、资源化、再利用的原则，对砂石生产工艺合理优化设计，提高成品率；充分利用石粉、泥粉等加工副产品，提高资源综合利用水平。</w:t>
                  </w:r>
                </w:p>
              </w:tc>
              <w:tc>
                <w:tcPr>
                  <w:tcW w:w="2357" w:type="pct"/>
                  <w:vAlign w:val="center"/>
                </w:tcPr>
                <w:p w14:paraId="0E9DB70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u w:val="none"/>
                    </w:rPr>
                    <w:t>项目生产过程中</w:t>
                  </w:r>
                  <w:r>
                    <w:rPr>
                      <w:rFonts w:hint="default" w:ascii="Times New Roman" w:hAnsi="Times New Roman" w:cs="Times New Roman"/>
                      <w:color w:val="auto"/>
                      <w:sz w:val="21"/>
                      <w:szCs w:val="21"/>
                      <w:highlight w:val="none"/>
                      <w:u w:val="none"/>
                      <w:lang w:eastAsia="zh-CN"/>
                    </w:rPr>
                    <w:t>，</w:t>
                  </w:r>
                  <w:r>
                    <w:rPr>
                      <w:rFonts w:hint="default" w:ascii="Times New Roman" w:hAnsi="Times New Roman" w:cs="Times New Roman"/>
                      <w:color w:val="auto"/>
                      <w:sz w:val="21"/>
                      <w:szCs w:val="21"/>
                      <w:highlight w:val="none"/>
                      <w:u w:val="none"/>
                    </w:rPr>
                    <w:t>对砂石生产工艺</w:t>
                  </w:r>
                  <w:r>
                    <w:rPr>
                      <w:rFonts w:hint="default" w:ascii="Times New Roman" w:hAnsi="Times New Roman" w:cs="Times New Roman"/>
                      <w:color w:val="auto"/>
                      <w:sz w:val="21"/>
                      <w:szCs w:val="21"/>
                      <w:highlight w:val="none"/>
                      <w:u w:val="none"/>
                      <w:lang w:val="en-US" w:eastAsia="zh-CN"/>
                    </w:rPr>
                    <w:t>进行</w:t>
                  </w:r>
                  <w:r>
                    <w:rPr>
                      <w:rFonts w:hint="default" w:ascii="Times New Roman" w:hAnsi="Times New Roman" w:cs="Times New Roman"/>
                      <w:color w:val="auto"/>
                      <w:sz w:val="21"/>
                      <w:szCs w:val="21"/>
                      <w:highlight w:val="none"/>
                      <w:u w:val="none"/>
                    </w:rPr>
                    <w:t>优化设计，提高成品率；</w:t>
                  </w:r>
                  <w:r>
                    <w:rPr>
                      <w:rFonts w:hint="default" w:ascii="Times New Roman" w:hAnsi="Times New Roman" w:cs="Times New Roman"/>
                      <w:color w:val="auto"/>
                      <w:sz w:val="21"/>
                      <w:szCs w:val="21"/>
                      <w:highlight w:val="none"/>
                    </w:rPr>
                    <w:t>石粉收集后</w:t>
                  </w:r>
                  <w:r>
                    <w:rPr>
                      <w:rFonts w:hint="default" w:ascii="Times New Roman" w:hAnsi="Times New Roman" w:cs="Times New Roman"/>
                      <w:color w:val="auto"/>
                      <w:sz w:val="21"/>
                      <w:szCs w:val="21"/>
                      <w:highlight w:val="none"/>
                      <w:lang w:val="en-US" w:eastAsia="zh-CN"/>
                    </w:rPr>
                    <w:t>外售</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u w:val="none"/>
                    </w:rPr>
                    <w:t>提高资源综合利用水平。</w:t>
                  </w:r>
                </w:p>
              </w:tc>
              <w:tc>
                <w:tcPr>
                  <w:tcW w:w="361" w:type="pct"/>
                  <w:vAlign w:val="center"/>
                </w:tcPr>
                <w:p w14:paraId="5382CEE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pacing w:val="4"/>
                      <w:sz w:val="21"/>
                      <w:szCs w:val="21"/>
                      <w:highlight w:val="none"/>
                    </w:rPr>
                    <w:t>符合</w:t>
                  </w:r>
                </w:p>
              </w:tc>
            </w:tr>
            <w:tr w14:paraId="5339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82" w:hRule="atLeast"/>
                <w:jc w:val="center"/>
              </w:trPr>
              <w:tc>
                <w:tcPr>
                  <w:tcW w:w="345" w:type="pct"/>
                  <w:vMerge w:val="continue"/>
                  <w:vAlign w:val="center"/>
                </w:tcPr>
                <w:p w14:paraId="5544B49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47D0361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pacing w:val="4"/>
                      <w:sz w:val="21"/>
                      <w:szCs w:val="21"/>
                      <w:highlight w:val="none"/>
                    </w:rPr>
                    <w:t>生产工艺技术和设备应符合国土资源部《矿产资源节约与综合利用鼓励、限制和淘汰技术目录》要求。剥离废弃土石方后，砂石矿山资源综合利用率不低于95%。</w:t>
                  </w:r>
                </w:p>
              </w:tc>
              <w:tc>
                <w:tcPr>
                  <w:tcW w:w="2357" w:type="pct"/>
                  <w:vAlign w:val="center"/>
                </w:tcPr>
                <w:p w14:paraId="19B8875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pacing w:val="4"/>
                      <w:sz w:val="21"/>
                      <w:szCs w:val="21"/>
                      <w:highlight w:val="none"/>
                    </w:rPr>
                    <w:t>根据项目开发利用方案可知，矿山资源综合利用率为95%。</w:t>
                  </w:r>
                </w:p>
              </w:tc>
              <w:tc>
                <w:tcPr>
                  <w:tcW w:w="361" w:type="pct"/>
                  <w:vAlign w:val="center"/>
                </w:tcPr>
                <w:p w14:paraId="572C22A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pacing w:val="4"/>
                      <w:sz w:val="21"/>
                      <w:szCs w:val="21"/>
                      <w:highlight w:val="none"/>
                    </w:rPr>
                    <w:t>符合</w:t>
                  </w:r>
                </w:p>
              </w:tc>
            </w:tr>
            <w:tr w14:paraId="2DB6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63" w:hRule="atLeast"/>
                <w:jc w:val="center"/>
              </w:trPr>
              <w:tc>
                <w:tcPr>
                  <w:tcW w:w="345" w:type="pct"/>
                  <w:vMerge w:val="continue"/>
                  <w:vAlign w:val="center"/>
                </w:tcPr>
                <w:p w14:paraId="690ED7C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7978CC4D">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石粉收集后应充分利用。钙质石粉和吸附性较低的硅质石粉可用于生产水泥、混凝土和砂浆，或进行产品深加工，提高产品附加值；吸附性较高的硅质石粉可应用于生产砂浆、环保透水砖、新型墙体材料、陶瓷、水泥用硅质原材料。</w:t>
                  </w:r>
                </w:p>
              </w:tc>
              <w:tc>
                <w:tcPr>
                  <w:tcW w:w="2357" w:type="pct"/>
                  <w:vAlign w:val="center"/>
                </w:tcPr>
                <w:p w14:paraId="2A428C1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本项目石粉收集后外卖。</w:t>
                  </w:r>
                </w:p>
              </w:tc>
              <w:tc>
                <w:tcPr>
                  <w:tcW w:w="361" w:type="pct"/>
                  <w:vAlign w:val="center"/>
                </w:tcPr>
                <w:p w14:paraId="56058B1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1FF5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8" w:hRule="atLeast"/>
                <w:jc w:val="center"/>
              </w:trPr>
              <w:tc>
                <w:tcPr>
                  <w:tcW w:w="345" w:type="pct"/>
                  <w:vMerge w:val="continue"/>
                  <w:vAlign w:val="center"/>
                </w:tcPr>
                <w:p w14:paraId="40EE05C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0661A03B">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湿法生产中的沉淀泥浆经脱水干化后形成的泥粉或泥饼，可用于新型墙体材料、土地复垦和土壤改良等。</w:t>
                  </w:r>
                </w:p>
              </w:tc>
              <w:tc>
                <w:tcPr>
                  <w:tcW w:w="2357" w:type="pct"/>
                  <w:vAlign w:val="center"/>
                </w:tcPr>
                <w:p w14:paraId="6A4CBC97">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本项目采用干法进行生产，不涉及沉淀泥浆。</w:t>
                  </w:r>
                </w:p>
              </w:tc>
              <w:tc>
                <w:tcPr>
                  <w:tcW w:w="361" w:type="pct"/>
                  <w:vAlign w:val="center"/>
                </w:tcPr>
                <w:p w14:paraId="1CEBDFCC">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32EB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9" w:hRule="atLeast"/>
                <w:jc w:val="center"/>
              </w:trPr>
              <w:tc>
                <w:tcPr>
                  <w:tcW w:w="345" w:type="pct"/>
                  <w:vMerge w:val="continue"/>
                  <w:vAlign w:val="center"/>
                </w:tcPr>
                <w:p w14:paraId="23978A01">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0796210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对排土场堆放的剥离表土或筛分后的渣土，用于环境治理、土地复垦和复绿等。</w:t>
                  </w:r>
                </w:p>
              </w:tc>
              <w:tc>
                <w:tcPr>
                  <w:tcW w:w="2357" w:type="pct"/>
                  <w:vAlign w:val="center"/>
                </w:tcPr>
                <w:p w14:paraId="257CF8A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w:t>
                  </w:r>
                  <w:r>
                    <w:rPr>
                      <w:rFonts w:hint="default" w:ascii="Times New Roman" w:hAnsi="Times New Roman" w:cs="Times New Roman"/>
                      <w:color w:val="auto"/>
                      <w:spacing w:val="4"/>
                      <w:sz w:val="21"/>
                      <w:szCs w:val="21"/>
                      <w:highlight w:val="none"/>
                    </w:rPr>
                    <w:t>项目采矿过程中，剥离表土</w:t>
                  </w:r>
                  <w:r>
                    <w:rPr>
                      <w:rFonts w:hint="default" w:ascii="Times New Roman" w:hAnsi="Times New Roman" w:cs="Times New Roman"/>
                      <w:color w:val="auto"/>
                      <w:kern w:val="0"/>
                      <w:sz w:val="21"/>
                      <w:szCs w:val="21"/>
                      <w:highlight w:val="none"/>
                    </w:rPr>
                    <w:t>用于</w:t>
                  </w:r>
                  <w:r>
                    <w:rPr>
                      <w:rFonts w:hint="default" w:ascii="Times New Roman" w:hAnsi="Times New Roman" w:cs="Times New Roman"/>
                      <w:color w:val="auto"/>
                      <w:kern w:val="0"/>
                      <w:sz w:val="21"/>
                      <w:szCs w:val="21"/>
                      <w:highlight w:val="none"/>
                      <w:lang w:val="en-US" w:eastAsia="zh-CN"/>
                    </w:rPr>
                    <w:t>采空区覆土复垦，进行植被恢复</w:t>
                  </w:r>
                  <w:r>
                    <w:rPr>
                      <w:rFonts w:hint="default" w:ascii="Times New Roman" w:hAnsi="Times New Roman" w:cs="Times New Roman"/>
                      <w:color w:val="auto"/>
                      <w:kern w:val="0"/>
                      <w:sz w:val="21"/>
                      <w:szCs w:val="21"/>
                      <w:highlight w:val="none"/>
                    </w:rPr>
                    <w:t>。</w:t>
                  </w:r>
                </w:p>
              </w:tc>
              <w:tc>
                <w:tcPr>
                  <w:tcW w:w="361" w:type="pct"/>
                  <w:vAlign w:val="center"/>
                </w:tcPr>
                <w:p w14:paraId="465B2D74">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0A97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6" w:hRule="atLeast"/>
                <w:jc w:val="center"/>
              </w:trPr>
              <w:tc>
                <w:tcPr>
                  <w:tcW w:w="345" w:type="pct"/>
                  <w:vMerge w:val="continue"/>
                  <w:vAlign w:val="center"/>
                </w:tcPr>
                <w:p w14:paraId="101BB14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116BA0A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应配备完善的生产废水处理系统，经过固液分离处理后的清水应100%循环利用。</w:t>
                  </w:r>
                </w:p>
              </w:tc>
              <w:tc>
                <w:tcPr>
                  <w:tcW w:w="2357" w:type="pct"/>
                  <w:vAlign w:val="center"/>
                </w:tcPr>
                <w:p w14:paraId="68FE9CD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矿山采区雨季淋滤水经</w:t>
                  </w:r>
                  <w:r>
                    <w:rPr>
                      <w:rFonts w:hint="default" w:ascii="Times New Roman" w:hAnsi="Times New Roman" w:cs="Times New Roman"/>
                      <w:color w:val="auto"/>
                      <w:kern w:val="0"/>
                      <w:sz w:val="21"/>
                      <w:szCs w:val="21"/>
                      <w:highlight w:val="none"/>
                      <w:lang w:eastAsia="zh-CN"/>
                    </w:rPr>
                    <w:t>沉砂池</w:t>
                  </w:r>
                  <w:r>
                    <w:rPr>
                      <w:rFonts w:hint="default" w:ascii="Times New Roman" w:hAnsi="Times New Roman" w:cs="Times New Roman"/>
                      <w:color w:val="auto"/>
                      <w:kern w:val="0"/>
                      <w:sz w:val="21"/>
                      <w:szCs w:val="21"/>
                      <w:highlight w:val="none"/>
                    </w:rPr>
                    <w:t>沉淀处理后，全部回用于洒水降尘。</w:t>
                  </w:r>
                </w:p>
              </w:tc>
              <w:tc>
                <w:tcPr>
                  <w:tcW w:w="361" w:type="pct"/>
                  <w:vAlign w:val="center"/>
                </w:tcPr>
                <w:p w14:paraId="0AD438E8">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31D9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30" w:hRule="atLeast"/>
                <w:jc w:val="center"/>
              </w:trPr>
              <w:tc>
                <w:tcPr>
                  <w:tcW w:w="345" w:type="pct"/>
                  <w:vMerge w:val="restart"/>
                  <w:vAlign w:val="center"/>
                </w:tcPr>
                <w:p w14:paraId="7C3B207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节能减排</w:t>
                  </w:r>
                </w:p>
              </w:tc>
              <w:tc>
                <w:tcPr>
                  <w:tcW w:w="1935" w:type="pct"/>
                  <w:vAlign w:val="center"/>
                </w:tcPr>
                <w:p w14:paraId="03591E12">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pacing w:val="4"/>
                      <w:sz w:val="21"/>
                      <w:szCs w:val="21"/>
                      <w:highlight w:val="none"/>
                    </w:rPr>
                    <w:t>粉尘排放：矿区应配置洒水车、高压喷雾车等设备，对无组织排放粉尘进行抑尘、降尘；宜采用水雾增湿除尘穿孔凿岩技术，在输气管道的回风过程中进行收尘。应在装载机、破碎机、筛分机、整形机、制砂机、输送机端口等连续产生粉尘部位安装高效除尘装置。矿石开采和砂石生产过程中，粉尘排放应符合GB16297的规定。</w:t>
                  </w:r>
                </w:p>
              </w:tc>
              <w:tc>
                <w:tcPr>
                  <w:tcW w:w="2357" w:type="pct"/>
                  <w:vAlign w:val="center"/>
                </w:tcPr>
                <w:p w14:paraId="0CE34BDE">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本项目</w:t>
                  </w:r>
                  <w:r>
                    <w:rPr>
                      <w:rFonts w:hint="default" w:ascii="Times New Roman" w:hAnsi="Times New Roman" w:cs="Times New Roman"/>
                      <w:color w:val="auto"/>
                      <w:spacing w:val="4"/>
                      <w:sz w:val="21"/>
                      <w:szCs w:val="21"/>
                      <w:highlight w:val="none"/>
                    </w:rPr>
                    <w:t>配置洒水车、雾炮机等</w:t>
                  </w:r>
                  <w:r>
                    <w:rPr>
                      <w:rFonts w:hint="default" w:ascii="Times New Roman" w:hAnsi="Times New Roman" w:cs="Times New Roman"/>
                      <w:color w:val="auto"/>
                      <w:spacing w:val="4"/>
                      <w:sz w:val="21"/>
                      <w:szCs w:val="21"/>
                      <w:highlight w:val="none"/>
                      <w:lang w:val="en-US" w:eastAsia="zh-CN"/>
                    </w:rPr>
                    <w:t>对粉尘</w:t>
                  </w:r>
                  <w:r>
                    <w:rPr>
                      <w:rFonts w:hint="default" w:ascii="Times New Roman" w:hAnsi="Times New Roman" w:cs="Times New Roman"/>
                      <w:color w:val="auto"/>
                      <w:spacing w:val="4"/>
                      <w:sz w:val="21"/>
                      <w:szCs w:val="21"/>
                      <w:highlight w:val="none"/>
                    </w:rPr>
                    <w:t>进行洒水抑尘</w:t>
                  </w:r>
                  <w:r>
                    <w:rPr>
                      <w:rFonts w:hint="default" w:ascii="Times New Roman" w:hAnsi="Times New Roman" w:cs="Times New Roman"/>
                      <w:color w:val="auto"/>
                      <w:sz w:val="21"/>
                      <w:szCs w:val="21"/>
                      <w:highlight w:val="none"/>
                    </w:rPr>
                    <w:t>，</w:t>
                  </w:r>
                  <w:r>
                    <w:rPr>
                      <w:rFonts w:hint="default" w:ascii="Times New Roman" w:hAnsi="Times New Roman" w:cs="Times New Roman"/>
                      <w:caps w:val="0"/>
                      <w:smallCaps w:val="0"/>
                      <w:color w:val="auto"/>
                      <w:sz w:val="21"/>
                      <w:szCs w:val="21"/>
                      <w:highlight w:val="none"/>
                    </w:rPr>
                    <w:t>皮带运输系统廊道采用彩钢瓦进行封闭</w:t>
                  </w:r>
                  <w:r>
                    <w:rPr>
                      <w:rFonts w:hint="default" w:ascii="Times New Roman" w:hAnsi="Times New Roman" w:cs="Times New Roman"/>
                      <w:caps w:val="0"/>
                      <w:smallCaps w:val="0"/>
                      <w:color w:val="auto"/>
                      <w:sz w:val="21"/>
                      <w:szCs w:val="21"/>
                      <w:highlight w:val="none"/>
                      <w:lang w:eastAsia="zh-CN"/>
                    </w:rPr>
                    <w:t>，</w:t>
                  </w:r>
                  <w:r>
                    <w:rPr>
                      <w:rFonts w:hint="default" w:ascii="Times New Roman" w:hAnsi="Times New Roman" w:cs="Times New Roman"/>
                      <w:caps w:val="0"/>
                      <w:smallCaps w:val="0"/>
                      <w:color w:val="auto"/>
                      <w:sz w:val="21"/>
                      <w:szCs w:val="21"/>
                      <w:highlight w:val="none"/>
                      <w:lang w:val="en-US" w:eastAsia="zh-CN"/>
                    </w:rPr>
                    <w:t>破碎站、</w:t>
                  </w:r>
                  <w:r>
                    <w:rPr>
                      <w:rFonts w:hint="default" w:ascii="Times New Roman" w:hAnsi="Times New Roman" w:cs="Times New Roman"/>
                      <w:color w:val="auto"/>
                      <w:sz w:val="21"/>
                      <w:szCs w:val="21"/>
                      <w:highlight w:val="none"/>
                    </w:rPr>
                    <w:t>砂料堆场</w:t>
                  </w:r>
                  <w:r>
                    <w:rPr>
                      <w:rFonts w:hint="default" w:ascii="Times New Roman" w:hAnsi="Times New Roman" w:cs="Times New Roman"/>
                      <w:color w:val="auto"/>
                      <w:sz w:val="21"/>
                      <w:szCs w:val="21"/>
                      <w:highlight w:val="none"/>
                      <w:lang w:val="en-US" w:eastAsia="zh-CN"/>
                    </w:rPr>
                    <w:t>设置为彩钢瓦大棚内，三面围挡+顶棚，仅预留出入口，</w:t>
                  </w:r>
                  <w:r>
                    <w:rPr>
                      <w:rFonts w:hint="default" w:ascii="Times New Roman" w:hAnsi="Times New Roman" w:cs="Times New Roman"/>
                      <w:color w:val="auto"/>
                      <w:sz w:val="21"/>
                      <w:szCs w:val="21"/>
                      <w:highlight w:val="none"/>
                    </w:rPr>
                    <w:t>项目破碎、筛分、制砂</w:t>
                  </w:r>
                  <w:r>
                    <w:rPr>
                      <w:rFonts w:hint="default" w:ascii="Times New Roman" w:hAnsi="Times New Roman" w:cs="Times New Roman"/>
                      <w:color w:val="auto"/>
                      <w:sz w:val="21"/>
                      <w:szCs w:val="21"/>
                      <w:highlight w:val="none"/>
                      <w:lang w:val="en-US" w:eastAsia="zh-CN"/>
                    </w:rPr>
                    <w:t>粉尘</w:t>
                  </w:r>
                  <w:r>
                    <w:rPr>
                      <w:rFonts w:hint="default" w:ascii="Times New Roman" w:hAnsi="Times New Roman" w:cs="Times New Roman"/>
                      <w:color w:val="auto"/>
                      <w:sz w:val="21"/>
                      <w:szCs w:val="21"/>
                      <w:highlight w:val="none"/>
                    </w:rPr>
                    <w:t>经收集后进入1台布袋除尘器处理</w:t>
                  </w:r>
                  <w:r>
                    <w:rPr>
                      <w:rFonts w:hint="default" w:ascii="Times New Roman" w:hAnsi="Times New Roman" w:cs="Times New Roman"/>
                      <w:color w:val="auto"/>
                      <w:sz w:val="21"/>
                      <w:szCs w:val="21"/>
                      <w:highlight w:val="none"/>
                      <w:lang w:val="en-US" w:eastAsia="zh-CN"/>
                    </w:rPr>
                    <w:t>通过</w:t>
                  </w:r>
                  <w:r>
                    <w:rPr>
                      <w:rFonts w:hint="default" w:ascii="Times New Roman" w:hAnsi="Times New Roman" w:cs="Times New Roman"/>
                      <w:color w:val="auto"/>
                      <w:sz w:val="21"/>
                      <w:szCs w:val="21"/>
                      <w:highlight w:val="none"/>
                    </w:rPr>
                    <w:t>15m高的排气筒排放</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pacing w:val="4"/>
                      <w:sz w:val="21"/>
                      <w:szCs w:val="21"/>
                      <w:highlight w:val="none"/>
                    </w:rPr>
                    <w:t>露天采区采取湿式凿岩</w:t>
                  </w:r>
                  <w:r>
                    <w:rPr>
                      <w:rFonts w:hint="default" w:ascii="Times New Roman" w:hAnsi="Times New Roman" w:cs="Times New Roman"/>
                      <w:color w:val="auto"/>
                      <w:spacing w:val="4"/>
                      <w:sz w:val="21"/>
                      <w:szCs w:val="21"/>
                      <w:highlight w:val="none"/>
                      <w:lang w:eastAsia="zh-CN"/>
                    </w:rPr>
                    <w:t>。</w:t>
                  </w:r>
                  <w:r>
                    <w:rPr>
                      <w:rFonts w:hint="default" w:ascii="Times New Roman" w:hAnsi="Times New Roman" w:cs="Times New Roman"/>
                      <w:color w:val="auto"/>
                      <w:spacing w:val="4"/>
                      <w:sz w:val="21"/>
                      <w:szCs w:val="21"/>
                      <w:highlight w:val="none"/>
                    </w:rPr>
                    <w:t>根据分析，在采取措施后厂界粉尘排放符合GB16297的规定。</w:t>
                  </w:r>
                </w:p>
              </w:tc>
              <w:tc>
                <w:tcPr>
                  <w:tcW w:w="361" w:type="pct"/>
                  <w:vAlign w:val="center"/>
                </w:tcPr>
                <w:p w14:paraId="06E2476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pacing w:val="4"/>
                      <w:sz w:val="21"/>
                      <w:szCs w:val="21"/>
                      <w:highlight w:val="none"/>
                    </w:rPr>
                    <w:t>符合</w:t>
                  </w:r>
                </w:p>
              </w:tc>
            </w:tr>
            <w:tr w14:paraId="0B34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30" w:hRule="atLeast"/>
                <w:jc w:val="center"/>
              </w:trPr>
              <w:tc>
                <w:tcPr>
                  <w:tcW w:w="345" w:type="pct"/>
                  <w:vMerge w:val="continue"/>
                  <w:vAlign w:val="center"/>
                </w:tcPr>
                <w:p w14:paraId="7AB43745">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6EB94B39">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污水排放：矿区及厂区应建有雨水截（排）水沟和集水池，地表径流水经沉淀处理后达标排放。矿区及厂区的生产排水、雨水和生活污水，应实现雨污分流、清污分流。</w:t>
                  </w:r>
                </w:p>
              </w:tc>
              <w:tc>
                <w:tcPr>
                  <w:tcW w:w="2357" w:type="pct"/>
                  <w:vAlign w:val="center"/>
                </w:tcPr>
                <w:p w14:paraId="55E19BBB">
                  <w:pPr>
                    <w:pStyle w:val="2"/>
                    <w:keepNext w:val="0"/>
                    <w:keepLines w:val="0"/>
                    <w:pageBreakBefore w:val="0"/>
                    <w:widowControl w:val="0"/>
                    <w:kinsoku/>
                    <w:wordWrap/>
                    <w:overflowPunct/>
                    <w:topLinePunct w:val="0"/>
                    <w:autoSpaceDE/>
                    <w:autoSpaceDN/>
                    <w:bidi w:val="0"/>
                    <w:spacing w:after="0"/>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spacing w:val="4"/>
                      <w:kern w:val="2"/>
                      <w:sz w:val="21"/>
                      <w:szCs w:val="21"/>
                      <w:highlight w:val="none"/>
                      <w:lang w:val="en-US" w:eastAsia="zh-CN" w:bidi="ar-SA"/>
                    </w:rPr>
                    <w:t>项目实行“雨污分流”制，露天开采区、工业场地周围设置截排水沟，初期雨水经</w:t>
                  </w:r>
                  <w:r>
                    <w:rPr>
                      <w:rFonts w:hint="default" w:ascii="Times New Roman" w:hAnsi="Times New Roman" w:cs="Times New Roman"/>
                      <w:color w:val="auto"/>
                      <w:spacing w:val="4"/>
                      <w:kern w:val="2"/>
                      <w:sz w:val="21"/>
                      <w:szCs w:val="21"/>
                      <w:highlight w:val="none"/>
                      <w:lang w:val="en-US" w:eastAsia="zh-CN" w:bidi="ar-SA"/>
                    </w:rPr>
                    <w:t>沉砂池</w:t>
                  </w:r>
                  <w:r>
                    <w:rPr>
                      <w:rFonts w:hint="default" w:ascii="Times New Roman" w:hAnsi="Times New Roman" w:eastAsia="宋体" w:cs="Times New Roman"/>
                      <w:color w:val="auto"/>
                      <w:spacing w:val="4"/>
                      <w:kern w:val="2"/>
                      <w:sz w:val="21"/>
                      <w:szCs w:val="21"/>
                      <w:highlight w:val="none"/>
                      <w:lang w:val="en-US" w:eastAsia="zh-CN" w:bidi="ar-SA"/>
                    </w:rPr>
                    <w:t>沉淀后晴天回用于矿区洒水降尘；项目生活废水经隔油池、三格化粪池处理后，定期清掏</w:t>
                  </w:r>
                  <w:r>
                    <w:rPr>
                      <w:rFonts w:hint="default" w:ascii="Times New Roman" w:hAnsi="Times New Roman" w:cs="Times New Roman"/>
                      <w:color w:val="auto"/>
                      <w:spacing w:val="4"/>
                      <w:kern w:val="2"/>
                      <w:sz w:val="21"/>
                      <w:szCs w:val="21"/>
                      <w:highlight w:val="none"/>
                      <w:lang w:val="en-US" w:eastAsia="zh-CN" w:bidi="ar-SA"/>
                    </w:rPr>
                    <w:t>用作农肥</w:t>
                  </w:r>
                  <w:r>
                    <w:rPr>
                      <w:rFonts w:hint="default" w:ascii="Times New Roman" w:hAnsi="Times New Roman" w:eastAsia="宋体" w:cs="Times New Roman"/>
                      <w:color w:val="auto"/>
                      <w:spacing w:val="4"/>
                      <w:kern w:val="2"/>
                      <w:sz w:val="21"/>
                      <w:szCs w:val="21"/>
                      <w:highlight w:val="none"/>
                      <w:lang w:val="en-US" w:eastAsia="zh-CN" w:bidi="ar-SA"/>
                    </w:rPr>
                    <w:t>。</w:t>
                  </w:r>
                </w:p>
              </w:tc>
              <w:tc>
                <w:tcPr>
                  <w:tcW w:w="361" w:type="pct"/>
                  <w:vAlign w:val="center"/>
                </w:tcPr>
                <w:p w14:paraId="53B61446">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符合</w:t>
                  </w:r>
                </w:p>
              </w:tc>
            </w:tr>
            <w:tr w14:paraId="1393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74" w:hRule="atLeast"/>
                <w:jc w:val="center"/>
              </w:trPr>
              <w:tc>
                <w:tcPr>
                  <w:tcW w:w="345" w:type="pct"/>
                  <w:vMerge w:val="continue"/>
                  <w:vAlign w:val="center"/>
                </w:tcPr>
                <w:p w14:paraId="7B5DE16F">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p>
              </w:tc>
              <w:tc>
                <w:tcPr>
                  <w:tcW w:w="1935" w:type="pct"/>
                  <w:vAlign w:val="center"/>
                </w:tcPr>
                <w:p w14:paraId="5B9E6140">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pacing w:val="4"/>
                      <w:sz w:val="21"/>
                      <w:szCs w:val="21"/>
                      <w:highlight w:val="none"/>
                    </w:rPr>
                    <w:t>废油等废物处理：生产中产生的废油要集中收集，设置独立的场所存放，并交有资质单位处理；蓄电池、滤袋等废物，应无害化处理或交有资质的第三方处置。</w:t>
                  </w:r>
                </w:p>
              </w:tc>
              <w:tc>
                <w:tcPr>
                  <w:tcW w:w="2357" w:type="pct"/>
                  <w:vAlign w:val="center"/>
                </w:tcPr>
                <w:p w14:paraId="6605ACE3">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eastAsiaTheme="minorEastAsia"/>
                      <w:caps w:val="0"/>
                      <w:smallCaps w:val="0"/>
                      <w:color w:val="auto"/>
                      <w:kern w:val="0"/>
                      <w:sz w:val="21"/>
                      <w:szCs w:val="21"/>
                      <w:highlight w:val="none"/>
                      <w:lang w:val="en-US" w:eastAsia="zh-CN" w:bidi="ar"/>
                    </w:rPr>
                    <w:t>所涉及危险废物为废机油，暂存于危废暂存间后委托有资质的单位进行处置。</w:t>
                  </w:r>
                </w:p>
              </w:tc>
              <w:tc>
                <w:tcPr>
                  <w:tcW w:w="361" w:type="pct"/>
                  <w:vAlign w:val="center"/>
                </w:tcPr>
                <w:p w14:paraId="02C67C1A">
                  <w:pPr>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pacing w:val="4"/>
                      <w:sz w:val="21"/>
                      <w:szCs w:val="21"/>
                      <w:highlight w:val="none"/>
                    </w:rPr>
                    <w:t>符合</w:t>
                  </w:r>
                </w:p>
              </w:tc>
            </w:tr>
          </w:tbl>
          <w:p w14:paraId="207B96CF">
            <w:pPr>
              <w:adjustRightInd w:val="0"/>
              <w:spacing w:before="156" w:beforeLines="50"/>
              <w:ind w:firstLine="480"/>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根据上表分析，本项目建设与《砂石行业绿色矿山建设规范》（DZ/T0316-2018）相符。</w:t>
            </w:r>
          </w:p>
          <w:p w14:paraId="40555193">
            <w:pPr>
              <w:autoSpaceDE w:val="0"/>
              <w:autoSpaceDN w:val="0"/>
              <w:adjustRightInd w:val="0"/>
              <w:ind w:firstLine="482"/>
              <w:rPr>
                <w:rFonts w:hint="default" w:ascii="Times New Roman" w:hAnsi="Times New Roman" w:cs="Times New Roman"/>
                <w:b/>
                <w:bCs/>
                <w:color w:val="auto"/>
                <w:kern w:val="0"/>
                <w:highlight w:val="none"/>
              </w:rPr>
            </w:pPr>
            <w:r>
              <w:rPr>
                <w:rFonts w:hint="eastAsia" w:ascii="Times New Roman" w:hAnsi="Times New Roman" w:cs="Times New Roman"/>
                <w:b/>
                <w:bCs/>
                <w:color w:val="auto"/>
                <w:kern w:val="0"/>
                <w:highlight w:val="none"/>
                <w:lang w:val="en-US" w:eastAsia="zh-CN"/>
              </w:rPr>
              <w:t>5</w:t>
            </w:r>
            <w:r>
              <w:rPr>
                <w:rFonts w:hint="default" w:ascii="Times New Roman" w:hAnsi="Times New Roman" w:cs="Times New Roman"/>
                <w:b/>
                <w:bCs/>
                <w:color w:val="auto"/>
                <w:kern w:val="0"/>
                <w:highlight w:val="none"/>
              </w:rPr>
              <w:t>、与《关于加快建设绿色矿山的实施意见的通知》（云国土资〔2017〕137号）的符合性分析</w:t>
            </w:r>
          </w:p>
          <w:p w14:paraId="24274E18">
            <w:pPr>
              <w:adjustRightInd w:val="0"/>
              <w:ind w:firstLine="480"/>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本项目属于非金属矿行业矿山，《关于加快建设绿色矿山的实施意见的通知》（云国土资〔2017〕137号）中提出了非金属矿行业绿色矿山建设的相关生态环境保护与恢复要求，主要为：应采用喷雾、洒水、湿式凿岩、加设除尘装置、全封闭皮带运输等措施处置采选、运输过程中产生的粉尘和遗撒。对凿岩、碎磨、空压等设备，通过消声、减振、隔振等措施进行噪声处理。废弃物不得扩散到矿区范围外造成环境污染，固体废物妥善处置率达到100%。</w:t>
            </w:r>
          </w:p>
          <w:p w14:paraId="6F10DD18">
            <w:pPr>
              <w:adjustRightInd w:val="0"/>
              <w:ind w:firstLine="480"/>
              <w:rPr>
                <w:rFonts w:hint="default" w:ascii="Times New Roman" w:hAnsi="Times New Roman" w:cs="Times New Roman"/>
                <w:bCs/>
                <w:color w:val="auto"/>
                <w:kern w:val="44"/>
                <w:szCs w:val="30"/>
                <w:highlight w:val="none"/>
              </w:rPr>
            </w:pPr>
            <w:r>
              <w:rPr>
                <w:rFonts w:hint="default" w:ascii="Times New Roman" w:hAnsi="Times New Roman" w:cs="Times New Roman"/>
                <w:bCs/>
                <w:color w:val="auto"/>
                <w:highlight w:val="none"/>
              </w:rPr>
              <w:t>本项目</w:t>
            </w:r>
            <w:r>
              <w:rPr>
                <w:rFonts w:hint="default" w:ascii="Times New Roman" w:hAnsi="Times New Roman" w:cs="Times New Roman"/>
                <w:bCs/>
                <w:color w:val="auto"/>
                <w:highlight w:val="none"/>
                <w:lang w:val="en-US" w:eastAsia="zh-CN"/>
              </w:rPr>
              <w:t>为</w:t>
            </w:r>
            <w:r>
              <w:rPr>
                <w:rFonts w:hint="default" w:ascii="Times New Roman" w:hAnsi="Times New Roman" w:cs="Times New Roman"/>
                <w:bCs/>
                <w:color w:val="auto"/>
                <w:highlight w:val="none"/>
              </w:rPr>
              <w:t>现有矿山进行扩建，</w:t>
            </w:r>
            <w:r>
              <w:rPr>
                <w:rFonts w:hint="default" w:ascii="Times New Roman" w:hAnsi="Times New Roman" w:cs="Times New Roman"/>
                <w:color w:val="auto"/>
                <w:highlight w:val="none"/>
              </w:rPr>
              <w:t>本项目主要包括</w:t>
            </w:r>
            <w:r>
              <w:rPr>
                <w:rFonts w:hint="default" w:ascii="Times New Roman" w:hAnsi="Times New Roman" w:cs="Times New Roman"/>
                <w:color w:val="auto"/>
                <w:highlight w:val="none"/>
                <w:lang w:val="en-US" w:eastAsia="zh-CN"/>
              </w:rPr>
              <w:t>露天</w:t>
            </w:r>
            <w:r>
              <w:rPr>
                <w:rFonts w:hint="default" w:ascii="Times New Roman" w:hAnsi="Times New Roman" w:cs="Times New Roman"/>
                <w:color w:val="auto"/>
                <w:highlight w:val="none"/>
              </w:rPr>
              <w:t>采区建设及矿石开采，建设</w:t>
            </w:r>
            <w:r>
              <w:rPr>
                <w:rFonts w:hint="default" w:ascii="Times New Roman" w:hAnsi="Times New Roman" w:cs="Times New Roman"/>
                <w:color w:val="auto"/>
                <w:highlight w:val="none"/>
                <w:lang w:val="en-US" w:eastAsia="zh-CN"/>
              </w:rPr>
              <w:t>工业场地区和办公生活区</w:t>
            </w:r>
            <w:r>
              <w:rPr>
                <w:rFonts w:hint="default" w:ascii="Times New Roman" w:hAnsi="Times New Roman" w:cs="Times New Roman"/>
                <w:color w:val="auto"/>
                <w:highlight w:val="none"/>
              </w:rPr>
              <w:t>，按照本环评提出的环保措施，在项目易产尘的露天开采区、运输道路区等均设置洒水降尘措施</w:t>
            </w:r>
            <w:r>
              <w:rPr>
                <w:rFonts w:hint="default" w:ascii="Times New Roman" w:hAnsi="Times New Roman" w:cs="Times New Roman"/>
                <w:color w:val="auto"/>
                <w:highlight w:val="none"/>
                <w:lang w:eastAsia="zh-CN"/>
              </w:rPr>
              <w:t>，本项目配置洒水车、雾炮机等</w:t>
            </w:r>
            <w:r>
              <w:rPr>
                <w:rFonts w:hint="default" w:ascii="Times New Roman" w:hAnsi="Times New Roman" w:cs="Times New Roman"/>
                <w:color w:val="auto"/>
                <w:highlight w:val="none"/>
                <w:lang w:val="en-US" w:eastAsia="zh-CN"/>
              </w:rPr>
              <w:t>对粉尘</w:t>
            </w:r>
            <w:r>
              <w:rPr>
                <w:rFonts w:hint="default" w:ascii="Times New Roman" w:hAnsi="Times New Roman" w:cs="Times New Roman"/>
                <w:color w:val="auto"/>
                <w:highlight w:val="none"/>
                <w:lang w:eastAsia="zh-CN"/>
              </w:rPr>
              <w:t>进行洒水抑尘，皮带运输系统廊道采用彩钢瓦进行封闭，</w:t>
            </w:r>
            <w:r>
              <w:rPr>
                <w:rFonts w:hint="default" w:ascii="Times New Roman" w:hAnsi="Times New Roman" w:cs="Times New Roman"/>
                <w:color w:val="auto"/>
                <w:highlight w:val="none"/>
                <w:lang w:val="en-US" w:eastAsia="zh-CN"/>
              </w:rPr>
              <w:t>破碎站、</w:t>
            </w:r>
            <w:r>
              <w:rPr>
                <w:rFonts w:hint="default" w:ascii="Times New Roman" w:hAnsi="Times New Roman" w:cs="Times New Roman"/>
                <w:color w:val="auto"/>
                <w:highlight w:val="none"/>
                <w:lang w:eastAsia="zh-CN"/>
              </w:rPr>
              <w:t>砂料堆场</w:t>
            </w:r>
            <w:r>
              <w:rPr>
                <w:rFonts w:hint="default" w:ascii="Times New Roman" w:hAnsi="Times New Roman" w:cs="Times New Roman"/>
                <w:color w:val="auto"/>
                <w:highlight w:val="none"/>
                <w:lang w:val="en-US" w:eastAsia="zh-CN"/>
              </w:rPr>
              <w:t>设置为彩钢瓦大棚内，三面围挡+顶棚，仅预留出入口，</w:t>
            </w:r>
            <w:r>
              <w:rPr>
                <w:rFonts w:hint="default" w:ascii="Times New Roman" w:hAnsi="Times New Roman" w:cs="Times New Roman"/>
                <w:color w:val="auto"/>
                <w:highlight w:val="none"/>
                <w:lang w:eastAsia="zh-CN"/>
              </w:rPr>
              <w:t>项目破碎、筛分、制砂</w:t>
            </w:r>
            <w:r>
              <w:rPr>
                <w:rFonts w:hint="default" w:ascii="Times New Roman" w:hAnsi="Times New Roman" w:cs="Times New Roman"/>
                <w:color w:val="auto"/>
                <w:highlight w:val="none"/>
                <w:lang w:val="en-US" w:eastAsia="zh-CN"/>
              </w:rPr>
              <w:t>粉尘</w:t>
            </w:r>
            <w:r>
              <w:rPr>
                <w:rFonts w:hint="default" w:ascii="Times New Roman" w:hAnsi="Times New Roman" w:cs="Times New Roman"/>
                <w:color w:val="auto"/>
                <w:highlight w:val="none"/>
                <w:lang w:eastAsia="zh-CN"/>
              </w:rPr>
              <w:t>经收集后进入1台布袋除尘器处理</w:t>
            </w:r>
            <w:r>
              <w:rPr>
                <w:rFonts w:hint="default" w:ascii="Times New Roman" w:hAnsi="Times New Roman" w:cs="Times New Roman"/>
                <w:color w:val="auto"/>
                <w:highlight w:val="none"/>
                <w:lang w:val="en-US" w:eastAsia="zh-CN"/>
              </w:rPr>
              <w:t>通过</w:t>
            </w:r>
            <w:r>
              <w:rPr>
                <w:rFonts w:hint="default" w:ascii="Times New Roman" w:hAnsi="Times New Roman" w:cs="Times New Roman"/>
                <w:color w:val="auto"/>
                <w:highlight w:val="none"/>
                <w:lang w:eastAsia="zh-CN"/>
              </w:rPr>
              <w:t>15m高的排气筒排放，露天采区采取湿式凿岩，</w:t>
            </w:r>
            <w:r>
              <w:rPr>
                <w:rFonts w:hint="default" w:ascii="Times New Roman" w:hAnsi="Times New Roman" w:cs="Times New Roman"/>
                <w:color w:val="auto"/>
                <w:highlight w:val="none"/>
              </w:rPr>
              <w:t>本项目植被恢复采用“边开采、边恢复”的方式进行，因此剥离表土可直接运输至已开采平台复垦利用。综合分析，本项目在严格执行本次评价提出的环保措施后，符合《关于加快建设绿色矿山的实施意见的通知》（云国土资〔2017〕137号）的要求</w:t>
            </w:r>
            <w:r>
              <w:rPr>
                <w:rFonts w:hint="default" w:ascii="Times New Roman" w:hAnsi="Times New Roman" w:cs="Times New Roman"/>
                <w:bCs/>
                <w:color w:val="auto"/>
                <w:highlight w:val="none"/>
              </w:rPr>
              <w:t>。</w:t>
            </w:r>
          </w:p>
          <w:p w14:paraId="74FEC8BE">
            <w:pPr>
              <w:ind w:firstLine="482"/>
              <w:rPr>
                <w:rFonts w:hint="default" w:ascii="Times New Roman" w:hAnsi="Times New Roman" w:cs="Times New Roman"/>
                <w:b/>
                <w:bCs/>
                <w:color w:val="auto"/>
                <w:highlight w:val="none"/>
              </w:rPr>
            </w:pPr>
            <w:r>
              <w:rPr>
                <w:rFonts w:hint="eastAsia" w:ascii="Times New Roman" w:hAnsi="Times New Roman" w:cs="Times New Roman"/>
                <w:b/>
                <w:bCs/>
                <w:color w:val="auto"/>
                <w:highlight w:val="none"/>
                <w:lang w:val="en-US" w:eastAsia="zh-CN"/>
              </w:rPr>
              <w:t>6</w:t>
            </w:r>
            <w:r>
              <w:rPr>
                <w:rFonts w:hint="default" w:ascii="Times New Roman" w:hAnsi="Times New Roman" w:cs="Times New Roman"/>
                <w:b/>
                <w:bCs/>
                <w:color w:val="auto"/>
                <w:highlight w:val="none"/>
              </w:rPr>
              <w:t>、与《云南省生物多样性保护条例》的符合性分析</w:t>
            </w:r>
          </w:p>
          <w:p w14:paraId="6D6817E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《云南省生物多样性保护条例》于2018年9月21日经云南省第十三届人大常委会第五次会议通过，于2019年1月1日起施行。</w:t>
            </w:r>
          </w:p>
          <w:p w14:paraId="4D6B0FD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条例》第二十九条新建、改建、扩建建设项目以及开发自然资源，应当依法开展环境影响评价。对可能造成重要生态系统破坏、损害重要物种及其栖息地和生境的，应当制定专项保护、恢复和补偿方案，纳入环境影响评价。在生物多样性保护优先区域的建设项目以及自然资源开发，应当评价对生物多样性的影响，并作为环境影响评价的重要组成部分。</w:t>
            </w:r>
          </w:p>
          <w:p w14:paraId="1F4C0AE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本项目位于</w:t>
            </w:r>
            <w:r>
              <w:rPr>
                <w:rFonts w:hint="default" w:ascii="Times New Roman" w:hAnsi="Times New Roman" w:cs="Times New Roman"/>
                <w:color w:val="auto"/>
                <w:highlight w:val="none"/>
                <w:lang w:eastAsia="zh-CN"/>
              </w:rPr>
              <w:t>寻甸县柯渡镇乐朗村委会</w:t>
            </w:r>
            <w:r>
              <w:rPr>
                <w:rFonts w:hint="default" w:ascii="Times New Roman" w:hAnsi="Times New Roman" w:cs="Times New Roman"/>
                <w:color w:val="auto"/>
                <w:highlight w:val="none"/>
              </w:rPr>
              <w:t>，根据《</w:t>
            </w:r>
            <w:r>
              <w:rPr>
                <w:rFonts w:hint="default" w:ascii="Times New Roman" w:hAnsi="Times New Roman" w:cs="Times New Roman"/>
                <w:color w:val="auto"/>
                <w:highlight w:val="none"/>
                <w:lang w:val="en-US" w:eastAsia="zh-CN"/>
              </w:rPr>
              <w:t>寻甸回族彝族自治县自然资源局关于</w:t>
            </w:r>
            <w:r>
              <w:rPr>
                <w:rFonts w:hint="default" w:ascii="Times New Roman" w:hAnsi="Times New Roman" w:cs="Times New Roman"/>
                <w:color w:val="auto"/>
                <w:highlight w:val="none"/>
              </w:rPr>
              <w:t>云南省寻甸县柯渡黄龙溏普通建筑材料用砂岩矿</w:t>
            </w:r>
            <w:r>
              <w:rPr>
                <w:rFonts w:hint="default" w:ascii="Times New Roman" w:hAnsi="Times New Roman" w:cs="Times New Roman"/>
                <w:color w:val="auto"/>
                <w:highlight w:val="none"/>
                <w:lang w:val="en-US" w:eastAsia="zh-CN"/>
              </w:rPr>
              <w:t>采矿权新立</w:t>
            </w:r>
            <w:r>
              <w:rPr>
                <w:rFonts w:hint="eastAsia" w:cs="Times New Roman"/>
                <w:color w:val="auto"/>
                <w:highlight w:val="none"/>
                <w:lang w:val="en-US" w:eastAsia="zh-CN"/>
              </w:rPr>
              <w:t>联勘联审</w:t>
            </w:r>
            <w:r>
              <w:rPr>
                <w:rFonts w:hint="default" w:ascii="Times New Roman" w:hAnsi="Times New Roman" w:cs="Times New Roman"/>
                <w:color w:val="auto"/>
                <w:highlight w:val="none"/>
                <w:lang w:val="en-US" w:eastAsia="zh-CN"/>
              </w:rPr>
              <w:t>及相关规划等有关情况审查意见</w:t>
            </w:r>
            <w:r>
              <w:rPr>
                <w:rFonts w:hint="default" w:ascii="Times New Roman" w:hAnsi="Times New Roman" w:cs="Times New Roman"/>
                <w:color w:val="auto"/>
                <w:highlight w:val="none"/>
              </w:rPr>
              <w:t>》（附件</w:t>
            </w:r>
            <w:r>
              <w:rPr>
                <w:rFonts w:hint="eastAsia" w:cs="Times New Roman"/>
                <w:color w:val="auto"/>
                <w:highlight w:val="none"/>
                <w:lang w:val="en-US" w:eastAsia="zh-CN"/>
              </w:rPr>
              <w:t>9</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及三区三线查询结果</w:t>
            </w:r>
            <w:r>
              <w:rPr>
                <w:rFonts w:hint="eastAsia" w:cs="Times New Roman"/>
                <w:color w:val="auto"/>
                <w:highlight w:val="none"/>
                <w:lang w:val="en-US" w:eastAsia="zh-CN"/>
              </w:rPr>
              <w:t>（附件7）</w:t>
            </w: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矿权范围</w:t>
            </w:r>
            <w:r>
              <w:rPr>
                <w:rFonts w:hint="default" w:ascii="Times New Roman" w:hAnsi="Times New Roman" w:cs="Times New Roman"/>
                <w:color w:val="auto"/>
                <w:highlight w:val="none"/>
              </w:rPr>
              <w:t>不在自然保护区、</w:t>
            </w:r>
            <w:r>
              <w:rPr>
                <w:rFonts w:hint="default" w:ascii="Times New Roman" w:hAnsi="Times New Roman" w:cs="Times New Roman"/>
                <w:color w:val="auto"/>
                <w:highlight w:val="none"/>
                <w:lang w:val="en-US" w:eastAsia="zh-CN"/>
              </w:rPr>
              <w:t>国家公园、</w:t>
            </w:r>
            <w:r>
              <w:rPr>
                <w:rFonts w:hint="default" w:ascii="Times New Roman" w:hAnsi="Times New Roman" w:cs="Times New Roman"/>
                <w:color w:val="auto"/>
                <w:highlight w:val="none"/>
              </w:rPr>
              <w:t>风景名胜区、水源保护区、世界文化和自然遗产等环境敏感区域，</w:t>
            </w:r>
            <w:r>
              <w:rPr>
                <w:rFonts w:hint="default" w:ascii="Times New Roman" w:hAnsi="Times New Roman" w:cs="Times New Roman"/>
                <w:color w:val="auto"/>
                <w:highlight w:val="none"/>
                <w:lang w:val="en-US" w:eastAsia="zh-CN"/>
              </w:rPr>
              <w:t>不占生态保护红线、基本农田保护区，</w:t>
            </w:r>
            <w:r>
              <w:rPr>
                <w:rFonts w:hint="default" w:ascii="Times New Roman" w:hAnsi="Times New Roman" w:cs="Times New Roman"/>
                <w:color w:val="auto"/>
                <w:highlight w:val="none"/>
              </w:rPr>
              <w:t>也不属于生物多样性保护优先区域，此外，项目建设不会造成重要生态系统破坏、损害重要物种及其栖息地和生境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项目已办理相关林草手续，并于2025年8月已取得云南省林业和草原局准予行政许可决定书（云林许准（昆）〔2025〕230号）（附件9）</w:t>
            </w:r>
            <w:r>
              <w:rPr>
                <w:rFonts w:hint="default" w:ascii="Times New Roman" w:hAnsi="Times New Roman" w:cs="Times New Roman"/>
                <w:color w:val="auto"/>
                <w:highlight w:val="none"/>
              </w:rPr>
              <w:t>。</w:t>
            </w:r>
          </w:p>
          <w:p w14:paraId="434BA25A">
            <w:pPr>
              <w:ind w:firstLine="482"/>
              <w:rPr>
                <w:rFonts w:hint="default" w:ascii="Times New Roman" w:hAnsi="Times New Roman" w:cs="Times New Roman"/>
                <w:b/>
                <w:bCs/>
                <w:color w:val="auto"/>
                <w:highlight w:val="none"/>
              </w:rPr>
            </w:pPr>
            <w:r>
              <w:rPr>
                <w:rFonts w:hint="eastAsia" w:ascii="Times New Roman" w:hAnsi="Times New Roman" w:cs="Times New Roman"/>
                <w:b/>
                <w:bCs/>
                <w:color w:val="auto"/>
                <w:highlight w:val="none"/>
                <w:lang w:val="en-US" w:eastAsia="zh-CN"/>
              </w:rPr>
              <w:t>7</w:t>
            </w:r>
            <w:r>
              <w:rPr>
                <w:rFonts w:hint="default" w:ascii="Times New Roman" w:hAnsi="Times New Roman" w:cs="Times New Roman"/>
                <w:b/>
                <w:bCs/>
                <w:color w:val="auto"/>
                <w:highlight w:val="none"/>
              </w:rPr>
              <w:t>、与《云南省生物多样性保护战略与行动计划（2024-2030年）》的符合性分析</w:t>
            </w:r>
          </w:p>
          <w:p w14:paraId="47A02D63">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为进一步加强云南生物多样性保护工作，积极推进生态文明建设，云南省生物多样性保护联席会议组织编制了《云南省生物多样性保护战略与行动计划（2024-2030年）》，划定了生物多样性保护的6个优先区域，提出了5大保护优先领域和30项行动。2024年1月18日，经国务院批准，生态环境部发布《云南省生物多样性保护战略与行动计划（2024-2030年）》，为各地区推进生物多样性保护提供了指引，因《云南省生物多样性保护战略与行动计划（2024-2030年）》无相应区划及附图，本次沿用《云南省生物多样性保护战略与行动计划（2012-2030年）》区划进行分析。</w:t>
            </w:r>
          </w:p>
          <w:p w14:paraId="231E012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根据与云南省生物多样性保护优先区域图叠图可知，本项目</w:t>
            </w:r>
            <w:r>
              <w:rPr>
                <w:rFonts w:hint="default" w:ascii="Times New Roman" w:hAnsi="Times New Roman" w:cs="Times New Roman"/>
                <w:color w:val="auto"/>
                <w:highlight w:val="none"/>
                <w:lang w:val="en-US" w:eastAsia="zh-CN"/>
              </w:rPr>
              <w:t>不涉及云南省生物多样性保护优先区域</w:t>
            </w:r>
            <w:r>
              <w:rPr>
                <w:rFonts w:hint="default" w:ascii="Times New Roman" w:hAnsi="Times New Roman" w:cs="Times New Roman"/>
                <w:color w:val="auto"/>
                <w:highlight w:val="none"/>
              </w:rPr>
              <w:t>，也不存在极小种群、重点保护野生植物以及特殊（珍稀）植物群落等，与《云南省生物多样性保护战略与行动计划（2024-2030年）》不冲突。项目生态分析结果表明项目的实施对云南省生物多样性保护优先区域的影响不大，与《云南省生物多样性保护战略与行动计划（2024-2030年）》统筹生物多样性保护与经济社会发展，保护优先、科学利用的指导思想和基本原则一致。</w:t>
            </w:r>
          </w:p>
          <w:p w14:paraId="66FA0ED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项目建设与《云南省生物多样性保护战略与行动计划（2024-2030年）》不冲突。</w:t>
            </w:r>
          </w:p>
          <w:p w14:paraId="0DA064A5">
            <w:pPr>
              <w:pStyle w:val="2"/>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4904740" cy="3154045"/>
                  <wp:effectExtent l="0" t="0" r="10160" b="8255"/>
                  <wp:docPr id="1" name="图片 1" descr="1 云南省生物多样性保护优先区域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云南省生物多样性保护优先区域图"/>
                          <pic:cNvPicPr>
                            <a:picLocks noChangeAspect="1"/>
                          </pic:cNvPicPr>
                        </pic:nvPicPr>
                        <pic:blipFill>
                          <a:blip r:embed="rId15"/>
                          <a:srcRect l="764" t="8619" r="971" b="3335"/>
                          <a:stretch>
                            <a:fillRect/>
                          </a:stretch>
                        </pic:blipFill>
                        <pic:spPr>
                          <a:xfrm>
                            <a:off x="0" y="0"/>
                            <a:ext cx="4904740" cy="3154045"/>
                          </a:xfrm>
                          <a:prstGeom prst="rect">
                            <a:avLst/>
                          </a:prstGeom>
                        </pic:spPr>
                      </pic:pic>
                    </a:graphicData>
                  </a:graphic>
                </wp:inline>
              </w:drawing>
            </w:r>
          </w:p>
          <w:p w14:paraId="55623A8F">
            <w:pPr>
              <w:pStyle w:val="2"/>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图1-2项目与生物多样性保护优先区域位置关系图</w:t>
            </w:r>
          </w:p>
          <w:p w14:paraId="22196E09">
            <w:pPr>
              <w:ind w:firstLine="482"/>
              <w:rPr>
                <w:rFonts w:hint="default" w:ascii="Times New Roman" w:hAnsi="Times New Roman" w:cs="Times New Roman"/>
                <w:b/>
                <w:bCs/>
                <w:color w:val="auto"/>
                <w:highlight w:val="none"/>
              </w:rPr>
            </w:pPr>
            <w:r>
              <w:rPr>
                <w:rFonts w:hint="eastAsia" w:ascii="Times New Roman" w:hAnsi="Times New Roman" w:cs="Times New Roman"/>
                <w:b/>
                <w:bCs/>
                <w:color w:val="auto"/>
                <w:highlight w:val="none"/>
                <w:lang w:val="en-US" w:eastAsia="zh-CN"/>
              </w:rPr>
              <w:t>8</w:t>
            </w:r>
            <w:r>
              <w:rPr>
                <w:rFonts w:hint="default" w:ascii="Times New Roman" w:hAnsi="Times New Roman" w:cs="Times New Roman"/>
                <w:b/>
                <w:bCs/>
                <w:color w:val="auto"/>
                <w:highlight w:val="none"/>
              </w:rPr>
              <w:t>、与《长江经济带发展负面清单指南实施细则（试行2022年版）》的符合性分析</w:t>
            </w:r>
          </w:p>
          <w:p w14:paraId="4B84C6AA">
            <w:pPr>
              <w:ind w:firstLine="480"/>
              <w:rPr>
                <w:rFonts w:hint="default" w:ascii="Times New Roman" w:hAnsi="Times New Roman" w:cs="Times New Roman"/>
                <w:b/>
                <w:bCs/>
                <w:snapToGrid w:val="0"/>
                <w:color w:val="auto"/>
                <w:kern w:val="0"/>
                <w:szCs w:val="24"/>
                <w:highlight w:val="none"/>
              </w:rPr>
            </w:pPr>
            <w:r>
              <w:rPr>
                <w:rFonts w:hint="default" w:ascii="Times New Roman" w:hAnsi="Times New Roman" w:cs="Times New Roman"/>
                <w:color w:val="auto"/>
                <w:highlight w:val="none"/>
              </w:rPr>
              <w:t>本项目与《长江经济带发展负面清单指南（试行，2022年版）》的符合性分析见下表。</w:t>
            </w:r>
          </w:p>
          <w:p w14:paraId="24DFB80D">
            <w:pPr>
              <w:keepNext w:val="0"/>
              <w:keepLines w:val="0"/>
              <w:pageBreakBefore w:val="0"/>
              <w:widowControl/>
              <w:kinsoku/>
              <w:wordWrap/>
              <w:overflowPunct/>
              <w:topLinePunct/>
              <w:autoSpaceDE/>
              <w:autoSpaceDN/>
              <w:bidi w:val="0"/>
              <w:adjustRightInd w:val="0"/>
              <w:snapToGrid/>
              <w:spacing w:line="240" w:lineRule="auto"/>
              <w:ind w:firstLine="0" w:firstLineChars="0"/>
              <w:jc w:val="center"/>
              <w:textAlignment w:val="baseline"/>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表1-1</w:t>
            </w:r>
            <w:r>
              <w:rPr>
                <w:rFonts w:hint="default" w:ascii="Times New Roman" w:hAnsi="Times New Roman" w:cs="Times New Roman"/>
                <w:b/>
                <w:bCs/>
                <w:snapToGrid w:val="0"/>
                <w:color w:val="auto"/>
                <w:kern w:val="0"/>
                <w:sz w:val="21"/>
                <w:szCs w:val="21"/>
                <w:highlight w:val="none"/>
                <w:lang w:val="en-US" w:eastAsia="zh-CN"/>
              </w:rPr>
              <w:t>3</w:t>
            </w:r>
            <w:r>
              <w:rPr>
                <w:rFonts w:hint="default" w:ascii="Times New Roman" w:hAnsi="Times New Roman" w:cs="Times New Roman"/>
                <w:b/>
                <w:bCs/>
                <w:snapToGrid w:val="0"/>
                <w:color w:val="auto"/>
                <w:kern w:val="0"/>
                <w:sz w:val="21"/>
                <w:szCs w:val="21"/>
                <w:highlight w:val="none"/>
              </w:rPr>
              <w:t xml:space="preserve"> 本项目与《长江经济带发展负面清单指南实施细则（试行2022年版）》符合性一览表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113"/>
              <w:gridCol w:w="3062"/>
              <w:gridCol w:w="608"/>
            </w:tblGrid>
            <w:tr w14:paraId="1A20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6" w:hRule="atLeast"/>
                <w:jc w:val="center"/>
              </w:trPr>
              <w:tc>
                <w:tcPr>
                  <w:tcW w:w="2642" w:type="pct"/>
                  <w:vAlign w:val="center"/>
                </w:tcPr>
                <w:p w14:paraId="35A485C4">
                  <w:pPr>
                    <w:spacing w:line="240" w:lineRule="auto"/>
                    <w:ind w:firstLine="0" w:firstLineChars="0"/>
                    <w:jc w:val="center"/>
                    <w:rPr>
                      <w:rFonts w:hint="default" w:ascii="Times New Roman" w:hAnsi="Times New Roman" w:cs="Times New Roman"/>
                      <w:b/>
                      <w:bCs/>
                      <w:color w:val="auto"/>
                      <w:sz w:val="21"/>
                      <w:highlight w:val="none"/>
                    </w:rPr>
                  </w:pPr>
                  <w:r>
                    <w:rPr>
                      <w:rFonts w:hint="default" w:ascii="Times New Roman" w:hAnsi="Times New Roman" w:cs="Times New Roman"/>
                      <w:b/>
                      <w:bCs/>
                      <w:color w:val="auto"/>
                      <w:sz w:val="21"/>
                      <w:highlight w:val="none"/>
                    </w:rPr>
                    <w:t>具体要求</w:t>
                  </w:r>
                </w:p>
              </w:tc>
              <w:tc>
                <w:tcPr>
                  <w:tcW w:w="1967" w:type="pct"/>
                  <w:vAlign w:val="center"/>
                </w:tcPr>
                <w:p w14:paraId="03AC8F24">
                  <w:pPr>
                    <w:spacing w:line="240" w:lineRule="auto"/>
                    <w:ind w:firstLine="0" w:firstLineChars="0"/>
                    <w:jc w:val="center"/>
                    <w:rPr>
                      <w:rFonts w:hint="default" w:ascii="Times New Roman" w:hAnsi="Times New Roman" w:cs="Times New Roman"/>
                      <w:b/>
                      <w:bCs/>
                      <w:color w:val="auto"/>
                      <w:sz w:val="21"/>
                      <w:highlight w:val="none"/>
                    </w:rPr>
                  </w:pPr>
                  <w:r>
                    <w:rPr>
                      <w:rFonts w:hint="default" w:ascii="Times New Roman" w:hAnsi="Times New Roman" w:cs="Times New Roman"/>
                      <w:b/>
                      <w:bCs/>
                      <w:color w:val="auto"/>
                      <w:sz w:val="21"/>
                      <w:highlight w:val="none"/>
                    </w:rPr>
                    <w:t>本项目</w:t>
                  </w:r>
                </w:p>
              </w:tc>
              <w:tc>
                <w:tcPr>
                  <w:tcW w:w="390" w:type="pct"/>
                  <w:vAlign w:val="center"/>
                </w:tcPr>
                <w:p w14:paraId="0DFC10E1">
                  <w:pPr>
                    <w:spacing w:line="240" w:lineRule="auto"/>
                    <w:ind w:firstLine="0" w:firstLineChars="0"/>
                    <w:jc w:val="center"/>
                    <w:rPr>
                      <w:rFonts w:hint="default" w:ascii="Times New Roman" w:hAnsi="Times New Roman" w:cs="Times New Roman"/>
                      <w:b/>
                      <w:bCs/>
                      <w:color w:val="auto"/>
                      <w:sz w:val="21"/>
                      <w:highlight w:val="none"/>
                    </w:rPr>
                  </w:pPr>
                  <w:r>
                    <w:rPr>
                      <w:rFonts w:hint="default" w:ascii="Times New Roman" w:hAnsi="Times New Roman" w:cs="Times New Roman"/>
                      <w:b/>
                      <w:bCs/>
                      <w:color w:val="auto"/>
                      <w:sz w:val="21"/>
                      <w:highlight w:val="none"/>
                    </w:rPr>
                    <w:t>符合性</w:t>
                  </w:r>
                </w:p>
              </w:tc>
            </w:tr>
            <w:tr w14:paraId="650F7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642" w:type="pct"/>
                  <w:vAlign w:val="center"/>
                </w:tcPr>
                <w:p w14:paraId="5FBAD39A">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1.禁止建设不符合全国和省级港口布局规划以及港口总体规划的码头项目，禁止建设不符合《长江干线过江通道布局规划》的过长江通道项目。</w:t>
                  </w:r>
                </w:p>
              </w:tc>
              <w:tc>
                <w:tcPr>
                  <w:tcW w:w="1967" w:type="pct"/>
                  <w:vAlign w:val="center"/>
                </w:tcPr>
                <w:p w14:paraId="1D54A3C6">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szCs w:val="21"/>
                      <w:highlight w:val="none"/>
                    </w:rPr>
                    <w:t>本项目为非金属采矿业项目，</w:t>
                  </w:r>
                  <w:r>
                    <w:rPr>
                      <w:rFonts w:hint="default" w:ascii="Times New Roman" w:hAnsi="Times New Roman" w:cs="Times New Roman"/>
                      <w:color w:val="auto"/>
                      <w:sz w:val="21"/>
                      <w:highlight w:val="none"/>
                    </w:rPr>
                    <w:t>不属于码头及过长江通道项目。</w:t>
                  </w:r>
                </w:p>
              </w:tc>
              <w:tc>
                <w:tcPr>
                  <w:tcW w:w="390" w:type="pct"/>
                  <w:vAlign w:val="center"/>
                </w:tcPr>
                <w:p w14:paraId="531B9AD3">
                  <w:pPr>
                    <w:spacing w:line="240" w:lineRule="auto"/>
                    <w:ind w:firstLine="0" w:firstLine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629BF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38" w:hRule="atLeast"/>
                <w:jc w:val="center"/>
              </w:trPr>
              <w:tc>
                <w:tcPr>
                  <w:tcW w:w="2642" w:type="pct"/>
                  <w:vAlign w:val="center"/>
                </w:tcPr>
                <w:p w14:paraId="1E5AD415">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2.禁止在自然保护区核心区、缓冲区的岸线和河段范围内投资建设旅游和生产经营项目。禁止在风景名胜区核心景区的岸线和河段范围内投资建设与风景名胜资源保护无关的项目。</w:t>
                  </w:r>
                </w:p>
              </w:tc>
              <w:tc>
                <w:tcPr>
                  <w:tcW w:w="1967" w:type="pct"/>
                  <w:vAlign w:val="center"/>
                </w:tcPr>
                <w:p w14:paraId="1D86E799">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szCs w:val="21"/>
                      <w:highlight w:val="none"/>
                    </w:rPr>
                    <w:t>本项目位于</w:t>
                  </w:r>
                  <w:r>
                    <w:rPr>
                      <w:rFonts w:hint="default" w:ascii="Times New Roman" w:hAnsi="Times New Roman" w:cs="Times New Roman"/>
                      <w:color w:val="auto"/>
                      <w:sz w:val="21"/>
                      <w:szCs w:val="21"/>
                      <w:highlight w:val="none"/>
                      <w:lang w:eastAsia="zh-CN"/>
                    </w:rPr>
                    <w:t>寻甸县柯渡镇乐朗村委会</w:t>
                  </w:r>
                  <w:r>
                    <w:rPr>
                      <w:rFonts w:hint="default" w:ascii="Times New Roman" w:hAnsi="Times New Roman" w:cs="Times New Roman"/>
                      <w:color w:val="auto"/>
                      <w:sz w:val="21"/>
                      <w:szCs w:val="21"/>
                      <w:highlight w:val="none"/>
                    </w:rPr>
                    <w:t>，根据《</w:t>
                  </w:r>
                  <w:r>
                    <w:rPr>
                      <w:rFonts w:hint="default" w:ascii="Times New Roman" w:hAnsi="Times New Roman" w:cs="Times New Roman"/>
                      <w:color w:val="auto"/>
                      <w:sz w:val="21"/>
                      <w:szCs w:val="21"/>
                      <w:highlight w:val="none"/>
                      <w:lang w:val="en-US" w:eastAsia="zh-CN"/>
                    </w:rPr>
                    <w:t>寻甸回族彝族自治县自然资源局关于</w:t>
                  </w:r>
                  <w:r>
                    <w:rPr>
                      <w:rFonts w:hint="default" w:ascii="Times New Roman" w:hAnsi="Times New Roman" w:cs="Times New Roman"/>
                      <w:color w:val="auto"/>
                      <w:sz w:val="21"/>
                      <w:szCs w:val="21"/>
                      <w:highlight w:val="none"/>
                    </w:rPr>
                    <w:t>云南省寻甸县柯渡黄龙溏普通建筑材料用砂岩矿</w:t>
                  </w:r>
                  <w:r>
                    <w:rPr>
                      <w:rFonts w:hint="default" w:ascii="Times New Roman" w:hAnsi="Times New Roman" w:cs="Times New Roman"/>
                      <w:color w:val="auto"/>
                      <w:sz w:val="21"/>
                      <w:szCs w:val="21"/>
                      <w:highlight w:val="none"/>
                      <w:lang w:val="en-US" w:eastAsia="zh-CN"/>
                    </w:rPr>
                    <w:t>采矿权新立</w:t>
                  </w:r>
                  <w:r>
                    <w:rPr>
                      <w:rFonts w:hint="eastAsia" w:cs="Times New Roman"/>
                      <w:color w:val="auto"/>
                      <w:sz w:val="21"/>
                      <w:szCs w:val="21"/>
                      <w:highlight w:val="none"/>
                      <w:lang w:val="en-US" w:eastAsia="zh-CN"/>
                    </w:rPr>
                    <w:t>联勘联审</w:t>
                  </w:r>
                  <w:r>
                    <w:rPr>
                      <w:rFonts w:hint="default" w:ascii="Times New Roman" w:hAnsi="Times New Roman" w:cs="Times New Roman"/>
                      <w:color w:val="auto"/>
                      <w:sz w:val="21"/>
                      <w:szCs w:val="21"/>
                      <w:highlight w:val="none"/>
                      <w:lang w:val="en-US" w:eastAsia="zh-CN"/>
                    </w:rPr>
                    <w:t>及相关规划等有关情况审查意见</w:t>
                  </w:r>
                  <w:r>
                    <w:rPr>
                      <w:rFonts w:hint="default" w:ascii="Times New Roman" w:hAnsi="Times New Roman" w:cs="Times New Roman"/>
                      <w:color w:val="auto"/>
                      <w:sz w:val="21"/>
                      <w:szCs w:val="21"/>
                      <w:highlight w:val="none"/>
                    </w:rPr>
                    <w:t>》（附件</w:t>
                  </w:r>
                  <w:r>
                    <w:rPr>
                      <w:rFonts w:hint="eastAsia" w:cs="Times New Roman"/>
                      <w:color w:val="auto"/>
                      <w:sz w:val="21"/>
                      <w:szCs w:val="21"/>
                      <w:highlight w:val="none"/>
                      <w:lang w:val="en-US" w:eastAsia="zh-CN"/>
                    </w:rPr>
                    <w:t>9</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kern w:val="0"/>
                      <w:sz w:val="21"/>
                      <w:szCs w:val="21"/>
                      <w:highlight w:val="none"/>
                    </w:rPr>
                    <w:t>，</w:t>
                  </w:r>
                  <w:r>
                    <w:rPr>
                      <w:rFonts w:hint="default" w:ascii="Times New Roman" w:hAnsi="Times New Roman" w:cs="Times New Roman"/>
                      <w:color w:val="auto"/>
                      <w:sz w:val="21"/>
                      <w:highlight w:val="none"/>
                    </w:rPr>
                    <w:t>本项目不涉及自然保护区及风景名胜区。</w:t>
                  </w:r>
                </w:p>
              </w:tc>
              <w:tc>
                <w:tcPr>
                  <w:tcW w:w="390" w:type="pct"/>
                  <w:vAlign w:val="center"/>
                </w:tcPr>
                <w:p w14:paraId="5B6F9460">
                  <w:pPr>
                    <w:spacing w:line="240" w:lineRule="auto"/>
                    <w:ind w:firstLine="0" w:firstLine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5404A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44" w:hRule="atLeast"/>
                <w:jc w:val="center"/>
              </w:trPr>
              <w:tc>
                <w:tcPr>
                  <w:tcW w:w="2642" w:type="pct"/>
                  <w:vAlign w:val="center"/>
                </w:tcPr>
                <w:p w14:paraId="15898185">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3.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967" w:type="pct"/>
                  <w:vAlign w:val="center"/>
                </w:tcPr>
                <w:p w14:paraId="573A7666">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szCs w:val="21"/>
                      <w:highlight w:val="none"/>
                    </w:rPr>
                    <w:t>本项目位于</w:t>
                  </w:r>
                  <w:r>
                    <w:rPr>
                      <w:rFonts w:hint="default" w:ascii="Times New Roman" w:hAnsi="Times New Roman" w:cs="Times New Roman"/>
                      <w:color w:val="auto"/>
                      <w:sz w:val="21"/>
                      <w:szCs w:val="21"/>
                      <w:highlight w:val="none"/>
                      <w:lang w:eastAsia="zh-CN"/>
                    </w:rPr>
                    <w:t>寻甸县柯渡镇乐朗村委会</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kern w:val="0"/>
                      <w:sz w:val="21"/>
                      <w:szCs w:val="21"/>
                      <w:highlight w:val="none"/>
                    </w:rPr>
                    <w:t>根据根据《</w:t>
                  </w:r>
                  <w:r>
                    <w:rPr>
                      <w:rFonts w:hint="default" w:ascii="Times New Roman" w:hAnsi="Times New Roman" w:cs="Times New Roman"/>
                      <w:color w:val="auto"/>
                      <w:kern w:val="0"/>
                      <w:sz w:val="21"/>
                      <w:szCs w:val="21"/>
                      <w:highlight w:val="none"/>
                      <w:lang w:val="en-US" w:eastAsia="zh-CN"/>
                    </w:rPr>
                    <w:t>寻甸回族彝族自治县自然资源局关于</w:t>
                  </w:r>
                  <w:r>
                    <w:rPr>
                      <w:rFonts w:hint="default" w:ascii="Times New Roman" w:hAnsi="Times New Roman" w:cs="Times New Roman"/>
                      <w:color w:val="auto"/>
                      <w:kern w:val="0"/>
                      <w:sz w:val="21"/>
                      <w:szCs w:val="21"/>
                      <w:highlight w:val="none"/>
                    </w:rPr>
                    <w:t>云南省寻甸县柯渡黄龙溏普通建筑材料用砂岩矿</w:t>
                  </w:r>
                  <w:r>
                    <w:rPr>
                      <w:rFonts w:hint="default" w:ascii="Times New Roman" w:hAnsi="Times New Roman" w:cs="Times New Roman"/>
                      <w:color w:val="auto"/>
                      <w:kern w:val="0"/>
                      <w:sz w:val="21"/>
                      <w:szCs w:val="21"/>
                      <w:highlight w:val="none"/>
                      <w:lang w:val="en-US" w:eastAsia="zh-CN"/>
                    </w:rPr>
                    <w:t>采矿权新立</w:t>
                  </w:r>
                  <w:r>
                    <w:rPr>
                      <w:rFonts w:hint="eastAsia" w:cs="Times New Roman"/>
                      <w:color w:val="auto"/>
                      <w:kern w:val="0"/>
                      <w:sz w:val="21"/>
                      <w:szCs w:val="21"/>
                      <w:highlight w:val="none"/>
                      <w:lang w:val="en-US" w:eastAsia="zh-CN"/>
                    </w:rPr>
                    <w:t>联勘联审</w:t>
                  </w:r>
                  <w:r>
                    <w:rPr>
                      <w:rFonts w:hint="default" w:ascii="Times New Roman" w:hAnsi="Times New Roman" w:cs="Times New Roman"/>
                      <w:color w:val="auto"/>
                      <w:kern w:val="0"/>
                      <w:sz w:val="21"/>
                      <w:szCs w:val="21"/>
                      <w:highlight w:val="none"/>
                      <w:lang w:val="en-US" w:eastAsia="zh-CN"/>
                    </w:rPr>
                    <w:t>及相关规划等有关情况审查意见</w:t>
                  </w:r>
                  <w:r>
                    <w:rPr>
                      <w:rFonts w:hint="default" w:ascii="Times New Roman" w:hAnsi="Times New Roman" w:cs="Times New Roman"/>
                      <w:color w:val="auto"/>
                      <w:kern w:val="0"/>
                      <w:sz w:val="21"/>
                      <w:szCs w:val="21"/>
                      <w:highlight w:val="none"/>
                    </w:rPr>
                    <w:t>》（附件</w:t>
                  </w:r>
                  <w:r>
                    <w:rPr>
                      <w:rFonts w:hint="eastAsia" w:cs="Times New Roman"/>
                      <w:color w:val="auto"/>
                      <w:kern w:val="0"/>
                      <w:sz w:val="21"/>
                      <w:szCs w:val="21"/>
                      <w:highlight w:val="none"/>
                      <w:lang w:val="en-US" w:eastAsia="zh-CN"/>
                    </w:rPr>
                    <w:t>9</w:t>
                  </w:r>
                  <w:r>
                    <w:rPr>
                      <w:rFonts w:hint="default" w:ascii="Times New Roman" w:hAnsi="Times New Roman" w:cs="Times New Roman"/>
                      <w:color w:val="auto"/>
                      <w:kern w:val="0"/>
                      <w:sz w:val="21"/>
                      <w:szCs w:val="21"/>
                      <w:highlight w:val="none"/>
                    </w:rPr>
                    <w:t>），</w:t>
                  </w:r>
                  <w:r>
                    <w:rPr>
                      <w:rFonts w:hint="default" w:ascii="Times New Roman" w:hAnsi="Times New Roman" w:cs="Times New Roman"/>
                      <w:color w:val="auto"/>
                      <w:sz w:val="21"/>
                      <w:highlight w:val="none"/>
                    </w:rPr>
                    <w:t>本项目不涉及饮用水水源保护区。</w:t>
                  </w:r>
                </w:p>
              </w:tc>
              <w:tc>
                <w:tcPr>
                  <w:tcW w:w="390" w:type="pct"/>
                  <w:vAlign w:val="center"/>
                </w:tcPr>
                <w:p w14:paraId="78DD11E6">
                  <w:pPr>
                    <w:spacing w:line="240" w:lineRule="auto"/>
                    <w:ind w:firstLine="0" w:firstLine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053D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13" w:hRule="atLeast"/>
                <w:jc w:val="center"/>
              </w:trPr>
              <w:tc>
                <w:tcPr>
                  <w:tcW w:w="2642" w:type="pct"/>
                  <w:vAlign w:val="center"/>
                </w:tcPr>
                <w:p w14:paraId="514E36EE">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4.禁止在水产种质资源保护区的岸线和河段范围内新建围湖造田、围海造地或围填海等投资建设项目。禁止在国家湿地公园的岸线和河段范围内挖沙、采矿，以及任何不符合主体功能定位的投资建设项目。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1967" w:type="pct"/>
                  <w:vAlign w:val="center"/>
                </w:tcPr>
                <w:p w14:paraId="409E25F9">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szCs w:val="21"/>
                      <w:highlight w:val="none"/>
                    </w:rPr>
                    <w:t>本项目位于</w:t>
                  </w:r>
                  <w:r>
                    <w:rPr>
                      <w:rFonts w:hint="default" w:ascii="Times New Roman" w:hAnsi="Times New Roman" w:cs="Times New Roman"/>
                      <w:color w:val="auto"/>
                      <w:sz w:val="21"/>
                      <w:szCs w:val="21"/>
                      <w:highlight w:val="none"/>
                      <w:lang w:eastAsia="zh-CN"/>
                    </w:rPr>
                    <w:t>寻甸县柯渡镇乐朗村委会</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kern w:val="0"/>
                      <w:sz w:val="21"/>
                      <w:szCs w:val="21"/>
                      <w:highlight w:val="none"/>
                    </w:rPr>
                    <w:t>根据《</w:t>
                  </w:r>
                  <w:r>
                    <w:rPr>
                      <w:rFonts w:hint="default" w:ascii="Times New Roman" w:hAnsi="Times New Roman" w:cs="Times New Roman"/>
                      <w:color w:val="auto"/>
                      <w:kern w:val="0"/>
                      <w:sz w:val="21"/>
                      <w:szCs w:val="21"/>
                      <w:highlight w:val="none"/>
                      <w:lang w:val="en-US" w:eastAsia="zh-CN"/>
                    </w:rPr>
                    <w:t>寻甸回族彝族自治县自然资源局关于</w:t>
                  </w:r>
                  <w:r>
                    <w:rPr>
                      <w:rFonts w:hint="default" w:ascii="Times New Roman" w:hAnsi="Times New Roman" w:cs="Times New Roman"/>
                      <w:color w:val="auto"/>
                      <w:kern w:val="0"/>
                      <w:sz w:val="21"/>
                      <w:szCs w:val="21"/>
                      <w:highlight w:val="none"/>
                    </w:rPr>
                    <w:t>云南省寻甸县柯渡黄龙溏普通建筑材料用砂岩矿</w:t>
                  </w:r>
                  <w:r>
                    <w:rPr>
                      <w:rFonts w:hint="default" w:ascii="Times New Roman" w:hAnsi="Times New Roman" w:cs="Times New Roman"/>
                      <w:color w:val="auto"/>
                      <w:kern w:val="0"/>
                      <w:sz w:val="21"/>
                      <w:szCs w:val="21"/>
                      <w:highlight w:val="none"/>
                      <w:lang w:val="en-US" w:eastAsia="zh-CN"/>
                    </w:rPr>
                    <w:t>采矿权新立</w:t>
                  </w:r>
                  <w:r>
                    <w:rPr>
                      <w:rFonts w:hint="eastAsia" w:cs="Times New Roman"/>
                      <w:color w:val="auto"/>
                      <w:kern w:val="0"/>
                      <w:sz w:val="21"/>
                      <w:szCs w:val="21"/>
                      <w:highlight w:val="none"/>
                      <w:lang w:val="en-US" w:eastAsia="zh-CN"/>
                    </w:rPr>
                    <w:t>联勘联审</w:t>
                  </w:r>
                  <w:r>
                    <w:rPr>
                      <w:rFonts w:hint="default" w:ascii="Times New Roman" w:hAnsi="Times New Roman" w:cs="Times New Roman"/>
                      <w:color w:val="auto"/>
                      <w:kern w:val="0"/>
                      <w:sz w:val="21"/>
                      <w:szCs w:val="21"/>
                      <w:highlight w:val="none"/>
                      <w:lang w:val="en-US" w:eastAsia="zh-CN"/>
                    </w:rPr>
                    <w:t>及相关规划等有关情况审查意见</w:t>
                  </w:r>
                  <w:r>
                    <w:rPr>
                      <w:rFonts w:hint="default" w:ascii="Times New Roman" w:hAnsi="Times New Roman" w:cs="Times New Roman"/>
                      <w:color w:val="auto"/>
                      <w:kern w:val="0"/>
                      <w:sz w:val="21"/>
                      <w:szCs w:val="21"/>
                      <w:highlight w:val="none"/>
                    </w:rPr>
                    <w:t>》（附件</w:t>
                  </w:r>
                  <w:r>
                    <w:rPr>
                      <w:rFonts w:hint="eastAsia" w:cs="Times New Roman"/>
                      <w:color w:val="auto"/>
                      <w:kern w:val="0"/>
                      <w:sz w:val="21"/>
                      <w:szCs w:val="21"/>
                      <w:highlight w:val="none"/>
                      <w:lang w:val="en-US" w:eastAsia="zh-CN"/>
                    </w:rPr>
                    <w:t>9</w:t>
                  </w:r>
                  <w:r>
                    <w:rPr>
                      <w:rFonts w:hint="default" w:ascii="Times New Roman" w:hAnsi="Times New Roman" w:cs="Times New Roman"/>
                      <w:color w:val="auto"/>
                      <w:kern w:val="0"/>
                      <w:sz w:val="21"/>
                      <w:szCs w:val="21"/>
                      <w:highlight w:val="none"/>
                    </w:rPr>
                    <w:t>），</w:t>
                  </w:r>
                  <w:r>
                    <w:rPr>
                      <w:rFonts w:hint="default" w:ascii="Times New Roman" w:hAnsi="Times New Roman" w:cs="Times New Roman"/>
                      <w:color w:val="auto"/>
                      <w:sz w:val="21"/>
                      <w:highlight w:val="none"/>
                    </w:rPr>
                    <w:t>本项目不涉及水产种质资源保护区及国家湿地公园。</w:t>
                  </w:r>
                </w:p>
              </w:tc>
              <w:tc>
                <w:tcPr>
                  <w:tcW w:w="390" w:type="pct"/>
                  <w:vAlign w:val="center"/>
                </w:tcPr>
                <w:p w14:paraId="0E238F50">
                  <w:pPr>
                    <w:spacing w:line="240" w:lineRule="auto"/>
                    <w:ind w:firstLine="0" w:firstLine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341C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642" w:type="pct"/>
                  <w:vAlign w:val="center"/>
                </w:tcPr>
                <w:p w14:paraId="2722690B">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5.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967" w:type="pct"/>
                  <w:vAlign w:val="center"/>
                </w:tcPr>
                <w:p w14:paraId="6E2483A4">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本项目不在《长江岸线保护和开发利用总体规划》划定的岸线保护区和保留区内，不在《全国重要江河湖泊水功能区划》划定的河段保护区、保留区内。</w:t>
                  </w:r>
                </w:p>
              </w:tc>
              <w:tc>
                <w:tcPr>
                  <w:tcW w:w="390" w:type="pct"/>
                  <w:vAlign w:val="center"/>
                </w:tcPr>
                <w:p w14:paraId="09DB10B6">
                  <w:pPr>
                    <w:spacing w:line="240" w:lineRule="auto"/>
                    <w:ind w:firstLine="0" w:firstLine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683B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19" w:hRule="atLeast"/>
                <w:jc w:val="center"/>
              </w:trPr>
              <w:tc>
                <w:tcPr>
                  <w:tcW w:w="2642" w:type="pct"/>
                  <w:vAlign w:val="center"/>
                </w:tcPr>
                <w:p w14:paraId="4D01B9D3">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6.禁止未经许可在长江干支流及湖泊新设、改设或扩大排污口。</w:t>
                  </w:r>
                </w:p>
              </w:tc>
              <w:tc>
                <w:tcPr>
                  <w:tcW w:w="1967" w:type="pct"/>
                  <w:vAlign w:val="center"/>
                </w:tcPr>
                <w:p w14:paraId="5642B4D5">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本项目所在区域不涉及长江干支流及湖泊新设、改设或扩大排污口。</w:t>
                  </w:r>
                </w:p>
              </w:tc>
              <w:tc>
                <w:tcPr>
                  <w:tcW w:w="390" w:type="pct"/>
                  <w:vAlign w:val="center"/>
                </w:tcPr>
                <w:p w14:paraId="58203FC5">
                  <w:pPr>
                    <w:spacing w:line="240" w:lineRule="auto"/>
                    <w:ind w:firstLine="0" w:firstLine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6DB3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9" w:hRule="atLeast"/>
                <w:jc w:val="center"/>
              </w:trPr>
              <w:tc>
                <w:tcPr>
                  <w:tcW w:w="2642" w:type="pct"/>
                  <w:vAlign w:val="center"/>
                </w:tcPr>
                <w:p w14:paraId="4715C2EF">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7.禁止在“一江一口两湖七河”和332个水生生物保护区开展生产性捕捞。</w:t>
                  </w:r>
                </w:p>
              </w:tc>
              <w:tc>
                <w:tcPr>
                  <w:tcW w:w="1967" w:type="pct"/>
                  <w:vAlign w:val="center"/>
                </w:tcPr>
                <w:p w14:paraId="28E416BA">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本项目不涉及水生生物捕捞。</w:t>
                  </w:r>
                </w:p>
              </w:tc>
              <w:tc>
                <w:tcPr>
                  <w:tcW w:w="390" w:type="pct"/>
                  <w:vAlign w:val="center"/>
                </w:tcPr>
                <w:p w14:paraId="5148B77C">
                  <w:pPr>
                    <w:spacing w:line="240" w:lineRule="auto"/>
                    <w:ind w:firstLine="0" w:firstLine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7BAF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02" w:hRule="atLeast"/>
                <w:jc w:val="center"/>
              </w:trPr>
              <w:tc>
                <w:tcPr>
                  <w:tcW w:w="2642" w:type="pct"/>
                  <w:vAlign w:val="center"/>
                </w:tcPr>
                <w:p w14:paraId="29F27D35">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8.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1967" w:type="pct"/>
                  <w:vAlign w:val="center"/>
                </w:tcPr>
                <w:p w14:paraId="56BA2901">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本项目不属于新建、扩建化工园区和化工项目，不属于尾矿库、冶炼渣库和磷石膏库项目。</w:t>
                  </w:r>
                </w:p>
              </w:tc>
              <w:tc>
                <w:tcPr>
                  <w:tcW w:w="390" w:type="pct"/>
                  <w:vAlign w:val="center"/>
                </w:tcPr>
                <w:p w14:paraId="3EC3E188">
                  <w:pPr>
                    <w:spacing w:line="240" w:lineRule="auto"/>
                    <w:ind w:firstLine="0" w:firstLine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76CE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2" w:hRule="atLeast"/>
                <w:jc w:val="center"/>
              </w:trPr>
              <w:tc>
                <w:tcPr>
                  <w:tcW w:w="2642" w:type="pct"/>
                  <w:vAlign w:val="center"/>
                </w:tcPr>
                <w:p w14:paraId="282CA210">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9.禁止在合规园区外新建、扩建钢铁、石化、化工、焦化、建材、有色、制浆造纸等高污染项目。</w:t>
                  </w:r>
                </w:p>
              </w:tc>
              <w:tc>
                <w:tcPr>
                  <w:tcW w:w="1967" w:type="pct"/>
                  <w:vAlign w:val="center"/>
                </w:tcPr>
                <w:p w14:paraId="5351FBAE">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本项目不涉及钢铁、石化、化工、焦化、建材、有色、制浆造纸等高污染项目。</w:t>
                  </w:r>
                </w:p>
              </w:tc>
              <w:tc>
                <w:tcPr>
                  <w:tcW w:w="390" w:type="pct"/>
                  <w:vAlign w:val="center"/>
                </w:tcPr>
                <w:p w14:paraId="0B312113">
                  <w:pPr>
                    <w:spacing w:line="240" w:lineRule="auto"/>
                    <w:ind w:firstLine="0" w:firstLine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1B08D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0" w:hRule="atLeast"/>
                <w:jc w:val="center"/>
              </w:trPr>
              <w:tc>
                <w:tcPr>
                  <w:tcW w:w="2642" w:type="pct"/>
                  <w:vAlign w:val="center"/>
                </w:tcPr>
                <w:p w14:paraId="6C39E2C1">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10.禁止新建、扩建不符合国家石化、现代煤化工等产业布局规划的项目。</w:t>
                  </w:r>
                </w:p>
              </w:tc>
              <w:tc>
                <w:tcPr>
                  <w:tcW w:w="1967" w:type="pct"/>
                  <w:vAlign w:val="center"/>
                </w:tcPr>
                <w:p w14:paraId="03BCED72">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本项目不属于石化、现代煤化工行业。</w:t>
                  </w:r>
                </w:p>
              </w:tc>
              <w:tc>
                <w:tcPr>
                  <w:tcW w:w="390" w:type="pct"/>
                  <w:vAlign w:val="center"/>
                </w:tcPr>
                <w:p w14:paraId="01EDCE1D">
                  <w:pPr>
                    <w:spacing w:line="240" w:lineRule="auto"/>
                    <w:ind w:firstLine="0" w:firstLine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r w14:paraId="5A6D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39" w:hRule="atLeast"/>
                <w:jc w:val="center"/>
              </w:trPr>
              <w:tc>
                <w:tcPr>
                  <w:tcW w:w="2642" w:type="pct"/>
                  <w:vAlign w:val="center"/>
                </w:tcPr>
                <w:p w14:paraId="3DDF09C2">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11.禁止新建、扩建法律法规和相关政策明令禁止的落后产能项目。禁止新建、扩建不符合国家产能置换要求的严重过剩产能行业的项目。禁止新建、扩建不符合要求的高耗能高排放项目。</w:t>
                  </w:r>
                </w:p>
              </w:tc>
              <w:tc>
                <w:tcPr>
                  <w:tcW w:w="1967" w:type="pct"/>
                  <w:vAlign w:val="center"/>
                </w:tcPr>
                <w:p w14:paraId="30862687">
                  <w:pPr>
                    <w:spacing w:line="240" w:lineRule="auto"/>
                    <w:ind w:firstLine="420"/>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本项目属于《产业结构调整指导目录（2024年本）》中的鼓励类项目，不涉及两高项目。</w:t>
                  </w:r>
                </w:p>
              </w:tc>
              <w:tc>
                <w:tcPr>
                  <w:tcW w:w="390" w:type="pct"/>
                  <w:vAlign w:val="center"/>
                </w:tcPr>
                <w:p w14:paraId="2580D4B9">
                  <w:pPr>
                    <w:spacing w:line="240" w:lineRule="auto"/>
                    <w:ind w:firstLine="0" w:firstLineChars="0"/>
                    <w:jc w:val="center"/>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rPr>
                    <w:t>符合</w:t>
                  </w:r>
                </w:p>
              </w:tc>
            </w:tr>
          </w:tbl>
          <w:p w14:paraId="36295CFC">
            <w:pPr>
              <w:spacing w:before="156" w:beforeLines="50"/>
              <w:ind w:firstLine="480"/>
              <w:rPr>
                <w:rFonts w:hint="default" w:ascii="Times New Roman" w:hAnsi="Times New Roman" w:cs="Times New Roman"/>
                <w:b/>
                <w:bCs/>
                <w:color w:val="auto"/>
                <w:highlight w:val="none"/>
              </w:rPr>
            </w:pPr>
            <w:r>
              <w:rPr>
                <w:rFonts w:hint="default" w:ascii="Times New Roman" w:hAnsi="Times New Roman" w:cs="Times New Roman"/>
                <w:color w:val="auto"/>
                <w:highlight w:val="none"/>
                <w:lang w:bidi="ar"/>
              </w:rPr>
              <w:t>根据上表分析，本项目建设符合《长江经济带发展负面清单指南（试行，2022年版）》的相关要求。</w:t>
            </w:r>
          </w:p>
          <w:p w14:paraId="6BE103B0">
            <w:pPr>
              <w:pStyle w:val="10"/>
              <w:ind w:firstLine="482"/>
              <w:jc w:val="both"/>
              <w:rPr>
                <w:rFonts w:hint="default" w:ascii="Times New Roman" w:hAnsi="Times New Roman" w:cs="Times New Roman"/>
                <w:b/>
                <w:bCs/>
                <w:color w:val="auto"/>
                <w:highlight w:val="none"/>
              </w:rPr>
            </w:pPr>
            <w:r>
              <w:rPr>
                <w:rFonts w:hint="eastAsia" w:ascii="Times New Roman" w:hAnsi="Times New Roman" w:cs="Times New Roman"/>
                <w:b/>
                <w:bCs/>
                <w:color w:val="auto"/>
                <w:highlight w:val="none"/>
                <w:lang w:val="en-US" w:eastAsia="zh-CN"/>
              </w:rPr>
              <w:t>9</w:t>
            </w:r>
            <w:r>
              <w:rPr>
                <w:rFonts w:hint="default" w:ascii="Times New Roman" w:hAnsi="Times New Roman" w:cs="Times New Roman"/>
                <w:b/>
                <w:bCs/>
                <w:color w:val="auto"/>
                <w:highlight w:val="none"/>
              </w:rPr>
              <w:t>、与《云南省推动长江经济带发展领导小组办公室关于印发〈云南省长江经济带发展负面清单指南实施细则（试行，2022版）〉的通知》（云发改基础〔2022〕894号）符合性分析</w:t>
            </w:r>
          </w:p>
          <w:p w14:paraId="32577677">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本项目与《云南省长江经济带发展负面清单指南实施细则（试行，2022版）》符合性分析见表1-1</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所示。</w:t>
            </w:r>
          </w:p>
          <w:p w14:paraId="4880B142">
            <w:pPr>
              <w:autoSpaceDE w:val="0"/>
              <w:autoSpaceDN w:val="0"/>
              <w:adjustRightInd w:val="0"/>
              <w:spacing w:line="240" w:lineRule="auto"/>
              <w:ind w:firstLine="0" w:firstLine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表1-1</w:t>
            </w:r>
            <w:r>
              <w:rPr>
                <w:rFonts w:hint="default" w:ascii="Times New Roman" w:hAnsi="Times New Roman" w:cs="Times New Roman"/>
                <w:b/>
                <w:bCs/>
                <w:snapToGrid w:val="0"/>
                <w:color w:val="auto"/>
                <w:kern w:val="0"/>
                <w:sz w:val="21"/>
                <w:szCs w:val="21"/>
                <w:highlight w:val="none"/>
                <w:lang w:val="en-US" w:eastAsia="zh-CN"/>
              </w:rPr>
              <w:t>4</w:t>
            </w:r>
            <w:r>
              <w:rPr>
                <w:rFonts w:hint="default" w:ascii="Times New Roman" w:hAnsi="Times New Roman" w:cs="Times New Roman"/>
                <w:b/>
                <w:bCs/>
                <w:snapToGrid w:val="0"/>
                <w:color w:val="auto"/>
                <w:kern w:val="0"/>
                <w:sz w:val="21"/>
                <w:szCs w:val="21"/>
                <w:highlight w:val="none"/>
              </w:rPr>
              <w:t xml:space="preserve">  本项目与云南省长江经济带发展负面清单指南实施细则（试行，2022版）符合性分析一览表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3"/>
              <w:gridCol w:w="2875"/>
              <w:gridCol w:w="695"/>
            </w:tblGrid>
            <w:tr w14:paraId="217D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706" w:type="pct"/>
                  <w:tcMar>
                    <w:top w:w="0" w:type="dxa"/>
                    <w:left w:w="57" w:type="dxa"/>
                    <w:bottom w:w="0" w:type="dxa"/>
                    <w:right w:w="57" w:type="dxa"/>
                  </w:tcMar>
                  <w:vAlign w:val="center"/>
                </w:tcPr>
                <w:p w14:paraId="0C1D1D2D">
                  <w:pPr>
                    <w:adjustRightInd w:val="0"/>
                    <w:spacing w:line="240" w:lineRule="auto"/>
                    <w:ind w:firstLine="0" w:firstLineChars="0"/>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清单规定</w:t>
                  </w:r>
                </w:p>
              </w:tc>
              <w:tc>
                <w:tcPr>
                  <w:tcW w:w="1846" w:type="pct"/>
                  <w:tcMar>
                    <w:top w:w="0" w:type="dxa"/>
                    <w:left w:w="57" w:type="dxa"/>
                    <w:bottom w:w="0" w:type="dxa"/>
                    <w:right w:w="57" w:type="dxa"/>
                  </w:tcMar>
                  <w:vAlign w:val="center"/>
                </w:tcPr>
                <w:p w14:paraId="53F505E9">
                  <w:pPr>
                    <w:adjustRightInd w:val="0"/>
                    <w:spacing w:line="240" w:lineRule="auto"/>
                    <w:ind w:firstLine="0" w:firstLineChars="0"/>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本项目情况</w:t>
                  </w:r>
                </w:p>
              </w:tc>
              <w:tc>
                <w:tcPr>
                  <w:tcW w:w="446" w:type="pct"/>
                  <w:tcMar>
                    <w:top w:w="0" w:type="dxa"/>
                    <w:left w:w="57" w:type="dxa"/>
                    <w:bottom w:w="0" w:type="dxa"/>
                    <w:right w:w="57" w:type="dxa"/>
                  </w:tcMar>
                  <w:vAlign w:val="center"/>
                </w:tcPr>
                <w:p w14:paraId="79F0AF2E">
                  <w:pPr>
                    <w:adjustRightInd w:val="0"/>
                    <w:spacing w:line="240" w:lineRule="auto"/>
                    <w:ind w:firstLine="0" w:firstLineChars="0"/>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符合性</w:t>
                  </w:r>
                </w:p>
              </w:tc>
            </w:tr>
            <w:tr w14:paraId="0975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2706" w:type="pct"/>
                  <w:tcMar>
                    <w:top w:w="0" w:type="dxa"/>
                    <w:left w:w="57" w:type="dxa"/>
                    <w:bottom w:w="0" w:type="dxa"/>
                    <w:right w:w="57" w:type="dxa"/>
                  </w:tcMar>
                  <w:vAlign w:val="center"/>
                </w:tcPr>
                <w:p w14:paraId="65F257CE">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第一条  禁止建设不符合《全国内河航道与港口布局规划》等全国港口规划和《昭通市港口码头岸线规划（金沙江段2019 年-2035年）》、《景洪港总体规划（2019-2035年）》等州（市）以上港口布局规划以及港口总体规划的码头项目。</w:t>
                  </w:r>
                </w:p>
              </w:tc>
              <w:tc>
                <w:tcPr>
                  <w:tcW w:w="1846" w:type="pct"/>
                  <w:tcMar>
                    <w:top w:w="0" w:type="dxa"/>
                    <w:left w:w="57" w:type="dxa"/>
                    <w:bottom w:w="0" w:type="dxa"/>
                    <w:right w:w="57" w:type="dxa"/>
                  </w:tcMar>
                  <w:vAlign w:val="center"/>
                </w:tcPr>
                <w:p w14:paraId="1D1F5C72">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本项目为非金属采矿业项目，不属于港口、码头建设项目。</w:t>
                  </w:r>
                </w:p>
              </w:tc>
              <w:tc>
                <w:tcPr>
                  <w:tcW w:w="446" w:type="pct"/>
                  <w:tcMar>
                    <w:top w:w="0" w:type="dxa"/>
                    <w:left w:w="57" w:type="dxa"/>
                    <w:bottom w:w="0" w:type="dxa"/>
                    <w:right w:w="57" w:type="dxa"/>
                  </w:tcMar>
                  <w:vAlign w:val="center"/>
                </w:tcPr>
                <w:p w14:paraId="572A3663">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D3B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706" w:type="pct"/>
                  <w:tcMar>
                    <w:top w:w="0" w:type="dxa"/>
                    <w:left w:w="57" w:type="dxa"/>
                    <w:bottom w:w="0" w:type="dxa"/>
                    <w:right w:w="57" w:type="dxa"/>
                  </w:tcMar>
                  <w:vAlign w:val="center"/>
                </w:tcPr>
                <w:p w14:paraId="76A0ADB3">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第二条  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试验区内建设污染环境、破坏资源或者景观的生产设施。</w:t>
                  </w:r>
                </w:p>
              </w:tc>
              <w:tc>
                <w:tcPr>
                  <w:tcW w:w="1846" w:type="pct"/>
                  <w:tcMar>
                    <w:top w:w="0" w:type="dxa"/>
                    <w:left w:w="57" w:type="dxa"/>
                    <w:bottom w:w="0" w:type="dxa"/>
                    <w:right w:w="57" w:type="dxa"/>
                  </w:tcMar>
                  <w:vAlign w:val="center"/>
                </w:tcPr>
                <w:p w14:paraId="0D34A81D">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本项目位于</w:t>
                  </w:r>
                  <w:r>
                    <w:rPr>
                      <w:rFonts w:hint="default" w:ascii="Times New Roman" w:hAnsi="Times New Roman" w:cs="Times New Roman"/>
                      <w:color w:val="auto"/>
                      <w:sz w:val="21"/>
                      <w:szCs w:val="21"/>
                      <w:highlight w:val="none"/>
                      <w:lang w:eastAsia="zh-CN"/>
                    </w:rPr>
                    <w:t>寻甸县柯渡镇乐朗村委会</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kern w:val="0"/>
                      <w:sz w:val="21"/>
                      <w:szCs w:val="21"/>
                      <w:highlight w:val="none"/>
                    </w:rPr>
                    <w:t>根据《</w:t>
                  </w:r>
                  <w:r>
                    <w:rPr>
                      <w:rFonts w:hint="default" w:ascii="Times New Roman" w:hAnsi="Times New Roman" w:cs="Times New Roman"/>
                      <w:color w:val="auto"/>
                      <w:kern w:val="0"/>
                      <w:sz w:val="21"/>
                      <w:szCs w:val="21"/>
                      <w:highlight w:val="none"/>
                      <w:lang w:val="en-US" w:eastAsia="zh-CN"/>
                    </w:rPr>
                    <w:t>寻甸回族彝族自治县自然资源局关于</w:t>
                  </w:r>
                  <w:r>
                    <w:rPr>
                      <w:rFonts w:hint="default" w:ascii="Times New Roman" w:hAnsi="Times New Roman" w:cs="Times New Roman"/>
                      <w:color w:val="auto"/>
                      <w:kern w:val="0"/>
                      <w:sz w:val="21"/>
                      <w:szCs w:val="21"/>
                      <w:highlight w:val="none"/>
                    </w:rPr>
                    <w:t>云南省寻甸县柯渡黄龙溏普通建筑材料用砂岩矿</w:t>
                  </w:r>
                  <w:r>
                    <w:rPr>
                      <w:rFonts w:hint="default" w:ascii="Times New Roman" w:hAnsi="Times New Roman" w:cs="Times New Roman"/>
                      <w:color w:val="auto"/>
                      <w:kern w:val="0"/>
                      <w:sz w:val="21"/>
                      <w:szCs w:val="21"/>
                      <w:highlight w:val="none"/>
                      <w:lang w:val="en-US" w:eastAsia="zh-CN"/>
                    </w:rPr>
                    <w:t>采矿权新立</w:t>
                  </w:r>
                  <w:r>
                    <w:rPr>
                      <w:rFonts w:hint="eastAsia" w:cs="Times New Roman"/>
                      <w:color w:val="auto"/>
                      <w:kern w:val="0"/>
                      <w:sz w:val="21"/>
                      <w:szCs w:val="21"/>
                      <w:highlight w:val="none"/>
                      <w:lang w:val="en-US" w:eastAsia="zh-CN"/>
                    </w:rPr>
                    <w:t>联勘联审</w:t>
                  </w:r>
                  <w:r>
                    <w:rPr>
                      <w:rFonts w:hint="default" w:ascii="Times New Roman" w:hAnsi="Times New Roman" w:cs="Times New Roman"/>
                      <w:color w:val="auto"/>
                      <w:kern w:val="0"/>
                      <w:sz w:val="21"/>
                      <w:szCs w:val="21"/>
                      <w:highlight w:val="none"/>
                      <w:lang w:val="en-US" w:eastAsia="zh-CN"/>
                    </w:rPr>
                    <w:t>及相关规划等有关情况审查意见</w:t>
                  </w:r>
                  <w:r>
                    <w:rPr>
                      <w:rFonts w:hint="default" w:ascii="Times New Roman" w:hAnsi="Times New Roman" w:cs="Times New Roman"/>
                      <w:color w:val="auto"/>
                      <w:kern w:val="0"/>
                      <w:sz w:val="21"/>
                      <w:szCs w:val="21"/>
                      <w:highlight w:val="none"/>
                    </w:rPr>
                    <w:t>》（附件</w:t>
                  </w:r>
                  <w:r>
                    <w:rPr>
                      <w:rFonts w:hint="eastAsia" w:cs="Times New Roman"/>
                      <w:color w:val="auto"/>
                      <w:kern w:val="0"/>
                      <w:sz w:val="21"/>
                      <w:szCs w:val="21"/>
                      <w:highlight w:val="none"/>
                      <w:lang w:val="en-US" w:eastAsia="zh-CN"/>
                    </w:rPr>
                    <w:t>9</w:t>
                  </w:r>
                  <w:r>
                    <w:rPr>
                      <w:rFonts w:hint="default" w:ascii="Times New Roman" w:hAnsi="Times New Roman" w:cs="Times New Roman"/>
                      <w:color w:val="auto"/>
                      <w:kern w:val="0"/>
                      <w:sz w:val="21"/>
                      <w:szCs w:val="21"/>
                      <w:highlight w:val="none"/>
                    </w:rPr>
                    <w:t>），本项目</w:t>
                  </w:r>
                  <w:r>
                    <w:rPr>
                      <w:rFonts w:hint="default" w:ascii="Times New Roman" w:hAnsi="Times New Roman" w:cs="Times New Roman"/>
                      <w:color w:val="auto"/>
                      <w:sz w:val="21"/>
                      <w:szCs w:val="21"/>
                      <w:highlight w:val="none"/>
                    </w:rPr>
                    <w:t>不涉及自然保护区等。</w:t>
                  </w:r>
                </w:p>
              </w:tc>
              <w:tc>
                <w:tcPr>
                  <w:tcW w:w="446" w:type="pct"/>
                  <w:tcMar>
                    <w:top w:w="0" w:type="dxa"/>
                    <w:left w:w="57" w:type="dxa"/>
                    <w:bottom w:w="0" w:type="dxa"/>
                    <w:right w:w="57" w:type="dxa"/>
                  </w:tcMar>
                  <w:vAlign w:val="center"/>
                </w:tcPr>
                <w:p w14:paraId="38220C38">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F19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2706" w:type="pct"/>
                  <w:tcMar>
                    <w:top w:w="0" w:type="dxa"/>
                    <w:left w:w="57" w:type="dxa"/>
                    <w:bottom w:w="0" w:type="dxa"/>
                    <w:right w:w="57" w:type="dxa"/>
                  </w:tcMar>
                  <w:vAlign w:val="center"/>
                </w:tcPr>
                <w:p w14:paraId="41FE759A">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第三条  禁止在风景名胜区核心景区的岸线和河段范围内投资建设与风景名胜资源保护无关的项目。禁止在风景名胜区内进行开山、采石、开矿、开荒、修坟立碑等破坏景观、植被和地形地貌的活动以及修建储存爆炸性、易燃性、放射性、有毒性、腐蚀性物品的设施；禁止在风景名胜区内设立开发区和在核心景观区内建设宾馆、会所、培训中心、疗养院以及与风景名胜区资源保护无关的投资建设项目。</w:t>
                  </w:r>
                </w:p>
              </w:tc>
              <w:tc>
                <w:tcPr>
                  <w:tcW w:w="1846" w:type="pct"/>
                  <w:tcMar>
                    <w:top w:w="0" w:type="dxa"/>
                    <w:left w:w="57" w:type="dxa"/>
                    <w:bottom w:w="0" w:type="dxa"/>
                    <w:right w:w="57" w:type="dxa"/>
                  </w:tcMar>
                  <w:vAlign w:val="center"/>
                </w:tcPr>
                <w:p w14:paraId="59F26292">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本项目位于</w:t>
                  </w:r>
                  <w:r>
                    <w:rPr>
                      <w:rFonts w:hint="default" w:ascii="Times New Roman" w:hAnsi="Times New Roman" w:cs="Times New Roman"/>
                      <w:color w:val="auto"/>
                      <w:sz w:val="21"/>
                      <w:szCs w:val="21"/>
                      <w:highlight w:val="none"/>
                      <w:lang w:eastAsia="zh-CN"/>
                    </w:rPr>
                    <w:t>寻甸县柯渡镇乐朗村委会</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kern w:val="0"/>
                      <w:sz w:val="21"/>
                      <w:szCs w:val="21"/>
                      <w:highlight w:val="none"/>
                    </w:rPr>
                    <w:t>根据《</w:t>
                  </w:r>
                  <w:r>
                    <w:rPr>
                      <w:rFonts w:hint="default" w:ascii="Times New Roman" w:hAnsi="Times New Roman" w:cs="Times New Roman"/>
                      <w:color w:val="auto"/>
                      <w:kern w:val="0"/>
                      <w:sz w:val="21"/>
                      <w:szCs w:val="21"/>
                      <w:highlight w:val="none"/>
                      <w:lang w:val="en-US" w:eastAsia="zh-CN"/>
                    </w:rPr>
                    <w:t>寻甸回族彝族自治县自然资源局关于</w:t>
                  </w:r>
                  <w:r>
                    <w:rPr>
                      <w:rFonts w:hint="default" w:ascii="Times New Roman" w:hAnsi="Times New Roman" w:cs="Times New Roman"/>
                      <w:color w:val="auto"/>
                      <w:kern w:val="0"/>
                      <w:sz w:val="21"/>
                      <w:szCs w:val="21"/>
                      <w:highlight w:val="none"/>
                    </w:rPr>
                    <w:t>云南省寻甸县柯渡黄龙溏普通建筑材料用砂岩矿</w:t>
                  </w:r>
                  <w:r>
                    <w:rPr>
                      <w:rFonts w:hint="default" w:ascii="Times New Roman" w:hAnsi="Times New Roman" w:cs="Times New Roman"/>
                      <w:color w:val="auto"/>
                      <w:kern w:val="0"/>
                      <w:sz w:val="21"/>
                      <w:szCs w:val="21"/>
                      <w:highlight w:val="none"/>
                      <w:lang w:val="en-US" w:eastAsia="zh-CN"/>
                    </w:rPr>
                    <w:t>采矿权新立</w:t>
                  </w:r>
                  <w:r>
                    <w:rPr>
                      <w:rFonts w:hint="eastAsia" w:cs="Times New Roman"/>
                      <w:color w:val="auto"/>
                      <w:kern w:val="0"/>
                      <w:sz w:val="21"/>
                      <w:szCs w:val="21"/>
                      <w:highlight w:val="none"/>
                      <w:lang w:val="en-US" w:eastAsia="zh-CN"/>
                    </w:rPr>
                    <w:t>联勘联审</w:t>
                  </w:r>
                  <w:r>
                    <w:rPr>
                      <w:rFonts w:hint="default" w:ascii="Times New Roman" w:hAnsi="Times New Roman" w:cs="Times New Roman"/>
                      <w:color w:val="auto"/>
                      <w:kern w:val="0"/>
                      <w:sz w:val="21"/>
                      <w:szCs w:val="21"/>
                      <w:highlight w:val="none"/>
                      <w:lang w:val="en-US" w:eastAsia="zh-CN"/>
                    </w:rPr>
                    <w:t>及相关规划等有关情况审查意见</w:t>
                  </w:r>
                  <w:r>
                    <w:rPr>
                      <w:rFonts w:hint="default" w:ascii="Times New Roman" w:hAnsi="Times New Roman" w:cs="Times New Roman"/>
                      <w:color w:val="auto"/>
                      <w:kern w:val="0"/>
                      <w:sz w:val="21"/>
                      <w:szCs w:val="21"/>
                      <w:highlight w:val="none"/>
                    </w:rPr>
                    <w:t>》（附件</w:t>
                  </w:r>
                  <w:r>
                    <w:rPr>
                      <w:rFonts w:hint="eastAsia" w:cs="Times New Roman"/>
                      <w:color w:val="auto"/>
                      <w:kern w:val="0"/>
                      <w:sz w:val="21"/>
                      <w:szCs w:val="21"/>
                      <w:highlight w:val="none"/>
                      <w:lang w:val="en-US" w:eastAsia="zh-CN"/>
                    </w:rPr>
                    <w:t>9</w:t>
                  </w:r>
                  <w:r>
                    <w:rPr>
                      <w:rFonts w:hint="default" w:ascii="Times New Roman" w:hAnsi="Times New Roman" w:cs="Times New Roman"/>
                      <w:color w:val="auto"/>
                      <w:kern w:val="0"/>
                      <w:sz w:val="21"/>
                      <w:szCs w:val="21"/>
                      <w:highlight w:val="none"/>
                    </w:rPr>
                    <w:t>），本项目</w:t>
                  </w:r>
                  <w:r>
                    <w:rPr>
                      <w:rFonts w:hint="default" w:ascii="Times New Roman" w:hAnsi="Times New Roman" w:cs="Times New Roman"/>
                      <w:color w:val="auto"/>
                      <w:sz w:val="21"/>
                      <w:szCs w:val="21"/>
                      <w:highlight w:val="none"/>
                    </w:rPr>
                    <w:t>不涉及风景名胜区。</w:t>
                  </w:r>
                </w:p>
              </w:tc>
              <w:tc>
                <w:tcPr>
                  <w:tcW w:w="446" w:type="pct"/>
                  <w:tcMar>
                    <w:top w:w="0" w:type="dxa"/>
                    <w:left w:w="57" w:type="dxa"/>
                    <w:bottom w:w="0" w:type="dxa"/>
                    <w:right w:w="57" w:type="dxa"/>
                  </w:tcMar>
                  <w:vAlign w:val="center"/>
                </w:tcPr>
                <w:p w14:paraId="42BC5BC6">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AB9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706" w:type="pct"/>
                  <w:tcMar>
                    <w:top w:w="0" w:type="dxa"/>
                    <w:left w:w="57" w:type="dxa"/>
                    <w:bottom w:w="0" w:type="dxa"/>
                    <w:right w:w="57" w:type="dxa"/>
                  </w:tcMar>
                  <w:vAlign w:val="center"/>
                </w:tcPr>
                <w:p w14:paraId="208A5C7A">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第四条  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846" w:type="pct"/>
                  <w:tcMar>
                    <w:top w:w="0" w:type="dxa"/>
                    <w:left w:w="57" w:type="dxa"/>
                    <w:bottom w:w="0" w:type="dxa"/>
                    <w:right w:w="57" w:type="dxa"/>
                  </w:tcMar>
                  <w:vAlign w:val="center"/>
                </w:tcPr>
                <w:p w14:paraId="770A7EA5">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本项目位于</w:t>
                  </w:r>
                  <w:r>
                    <w:rPr>
                      <w:rFonts w:hint="default" w:ascii="Times New Roman" w:hAnsi="Times New Roman" w:cs="Times New Roman"/>
                      <w:color w:val="auto"/>
                      <w:sz w:val="21"/>
                      <w:szCs w:val="21"/>
                      <w:highlight w:val="none"/>
                      <w:lang w:eastAsia="zh-CN"/>
                    </w:rPr>
                    <w:t>寻甸县柯渡镇乐朗村委会</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kern w:val="0"/>
                      <w:sz w:val="21"/>
                      <w:szCs w:val="21"/>
                      <w:highlight w:val="none"/>
                    </w:rPr>
                    <w:t>根据《</w:t>
                  </w:r>
                  <w:r>
                    <w:rPr>
                      <w:rFonts w:hint="default" w:ascii="Times New Roman" w:hAnsi="Times New Roman" w:cs="Times New Roman"/>
                      <w:color w:val="auto"/>
                      <w:kern w:val="0"/>
                      <w:sz w:val="21"/>
                      <w:szCs w:val="21"/>
                      <w:highlight w:val="none"/>
                      <w:lang w:val="en-US" w:eastAsia="zh-CN"/>
                    </w:rPr>
                    <w:t>寻甸回族彝族自治县自然资源局关于</w:t>
                  </w:r>
                  <w:r>
                    <w:rPr>
                      <w:rFonts w:hint="default" w:ascii="Times New Roman" w:hAnsi="Times New Roman" w:cs="Times New Roman"/>
                      <w:color w:val="auto"/>
                      <w:kern w:val="0"/>
                      <w:sz w:val="21"/>
                      <w:szCs w:val="21"/>
                      <w:highlight w:val="none"/>
                    </w:rPr>
                    <w:t>云南省寻甸县柯渡黄龙溏普通建筑材料用砂岩矿</w:t>
                  </w:r>
                  <w:r>
                    <w:rPr>
                      <w:rFonts w:hint="default" w:ascii="Times New Roman" w:hAnsi="Times New Roman" w:cs="Times New Roman"/>
                      <w:color w:val="auto"/>
                      <w:kern w:val="0"/>
                      <w:sz w:val="21"/>
                      <w:szCs w:val="21"/>
                      <w:highlight w:val="none"/>
                      <w:lang w:val="en-US" w:eastAsia="zh-CN"/>
                    </w:rPr>
                    <w:t>采矿权新立</w:t>
                  </w:r>
                  <w:r>
                    <w:rPr>
                      <w:rFonts w:hint="eastAsia" w:cs="Times New Roman"/>
                      <w:color w:val="auto"/>
                      <w:kern w:val="0"/>
                      <w:sz w:val="21"/>
                      <w:szCs w:val="21"/>
                      <w:highlight w:val="none"/>
                      <w:lang w:val="en-US" w:eastAsia="zh-CN"/>
                    </w:rPr>
                    <w:t>联勘联审</w:t>
                  </w:r>
                  <w:r>
                    <w:rPr>
                      <w:rFonts w:hint="default" w:ascii="Times New Roman" w:hAnsi="Times New Roman" w:cs="Times New Roman"/>
                      <w:color w:val="auto"/>
                      <w:kern w:val="0"/>
                      <w:sz w:val="21"/>
                      <w:szCs w:val="21"/>
                      <w:highlight w:val="none"/>
                      <w:lang w:val="en-US" w:eastAsia="zh-CN"/>
                    </w:rPr>
                    <w:t>及相关规划等有关情况审查意见</w:t>
                  </w:r>
                  <w:r>
                    <w:rPr>
                      <w:rFonts w:hint="default" w:ascii="Times New Roman" w:hAnsi="Times New Roman" w:cs="Times New Roman"/>
                      <w:color w:val="auto"/>
                      <w:kern w:val="0"/>
                      <w:sz w:val="21"/>
                      <w:szCs w:val="21"/>
                      <w:highlight w:val="none"/>
                    </w:rPr>
                    <w:t>》（附件</w:t>
                  </w:r>
                  <w:r>
                    <w:rPr>
                      <w:rFonts w:hint="eastAsia" w:cs="Times New Roman"/>
                      <w:color w:val="auto"/>
                      <w:kern w:val="0"/>
                      <w:sz w:val="21"/>
                      <w:szCs w:val="21"/>
                      <w:highlight w:val="none"/>
                      <w:lang w:val="en-US" w:eastAsia="zh-CN"/>
                    </w:rPr>
                    <w:t>9</w:t>
                  </w:r>
                  <w:r>
                    <w:rPr>
                      <w:rFonts w:hint="default" w:ascii="Times New Roman" w:hAnsi="Times New Roman" w:cs="Times New Roman"/>
                      <w:color w:val="auto"/>
                      <w:kern w:val="0"/>
                      <w:sz w:val="21"/>
                      <w:szCs w:val="21"/>
                      <w:highlight w:val="none"/>
                    </w:rPr>
                    <w:t>），本项目</w:t>
                  </w:r>
                  <w:r>
                    <w:rPr>
                      <w:rFonts w:hint="default" w:ascii="Times New Roman" w:hAnsi="Times New Roman" w:cs="Times New Roman"/>
                      <w:color w:val="auto"/>
                      <w:sz w:val="21"/>
                      <w:szCs w:val="21"/>
                      <w:highlight w:val="none"/>
                    </w:rPr>
                    <w:t>不涉及饮用水源一级、二级保护区的岸线和河段。</w:t>
                  </w:r>
                </w:p>
              </w:tc>
              <w:tc>
                <w:tcPr>
                  <w:tcW w:w="446" w:type="pct"/>
                  <w:tcMar>
                    <w:top w:w="0" w:type="dxa"/>
                    <w:left w:w="57" w:type="dxa"/>
                    <w:bottom w:w="0" w:type="dxa"/>
                    <w:right w:w="57" w:type="dxa"/>
                  </w:tcMar>
                  <w:vAlign w:val="center"/>
                </w:tcPr>
                <w:p w14:paraId="68A98756">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782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706" w:type="pct"/>
                  <w:tcMar>
                    <w:top w:w="0" w:type="dxa"/>
                    <w:left w:w="57" w:type="dxa"/>
                    <w:bottom w:w="0" w:type="dxa"/>
                    <w:right w:w="57" w:type="dxa"/>
                  </w:tcMar>
                  <w:vAlign w:val="center"/>
                </w:tcPr>
                <w:p w14:paraId="558B104C">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第五条  禁止在水产种质资源保护区的岸线和河段范围内新建围湖造田、围海造地或围填海等投资建设项目。禁止擅自征收、占用国家湿地公园的土地；禁止在国家湿地公园内挖沙、采矿，以及建设度假村、高尔夫球场等任何不符合主体功能定位的投资建设项目。</w:t>
                  </w:r>
                </w:p>
              </w:tc>
              <w:tc>
                <w:tcPr>
                  <w:tcW w:w="1846" w:type="pct"/>
                  <w:tcMar>
                    <w:top w:w="0" w:type="dxa"/>
                    <w:left w:w="57" w:type="dxa"/>
                    <w:bottom w:w="0" w:type="dxa"/>
                    <w:right w:w="57" w:type="dxa"/>
                  </w:tcMar>
                  <w:vAlign w:val="center"/>
                </w:tcPr>
                <w:p w14:paraId="52FD21AE">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本项目位于</w:t>
                  </w:r>
                  <w:r>
                    <w:rPr>
                      <w:rFonts w:hint="default" w:ascii="Times New Roman" w:hAnsi="Times New Roman" w:cs="Times New Roman"/>
                      <w:color w:val="auto"/>
                      <w:sz w:val="21"/>
                      <w:szCs w:val="21"/>
                      <w:highlight w:val="none"/>
                      <w:lang w:eastAsia="zh-CN"/>
                    </w:rPr>
                    <w:t>寻甸县柯渡镇乐朗村委会</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kern w:val="0"/>
                      <w:sz w:val="21"/>
                      <w:szCs w:val="21"/>
                      <w:highlight w:val="none"/>
                    </w:rPr>
                    <w:t>根据《</w:t>
                  </w:r>
                  <w:r>
                    <w:rPr>
                      <w:rFonts w:hint="default" w:ascii="Times New Roman" w:hAnsi="Times New Roman" w:cs="Times New Roman"/>
                      <w:color w:val="auto"/>
                      <w:kern w:val="0"/>
                      <w:sz w:val="21"/>
                      <w:szCs w:val="21"/>
                      <w:highlight w:val="none"/>
                      <w:lang w:val="en-US" w:eastAsia="zh-CN"/>
                    </w:rPr>
                    <w:t>寻甸回族彝族自治县自然资源局关于</w:t>
                  </w:r>
                  <w:r>
                    <w:rPr>
                      <w:rFonts w:hint="default" w:ascii="Times New Roman" w:hAnsi="Times New Roman" w:cs="Times New Roman"/>
                      <w:color w:val="auto"/>
                      <w:kern w:val="0"/>
                      <w:sz w:val="21"/>
                      <w:szCs w:val="21"/>
                      <w:highlight w:val="none"/>
                    </w:rPr>
                    <w:t>云南省寻甸县柯渡黄龙溏普通建筑材料用砂岩矿</w:t>
                  </w:r>
                  <w:r>
                    <w:rPr>
                      <w:rFonts w:hint="default" w:ascii="Times New Roman" w:hAnsi="Times New Roman" w:cs="Times New Roman"/>
                      <w:color w:val="auto"/>
                      <w:kern w:val="0"/>
                      <w:sz w:val="21"/>
                      <w:szCs w:val="21"/>
                      <w:highlight w:val="none"/>
                      <w:lang w:val="en-US" w:eastAsia="zh-CN"/>
                    </w:rPr>
                    <w:t>采矿权新立</w:t>
                  </w:r>
                  <w:r>
                    <w:rPr>
                      <w:rFonts w:hint="eastAsia" w:cs="Times New Roman"/>
                      <w:color w:val="auto"/>
                      <w:kern w:val="0"/>
                      <w:sz w:val="21"/>
                      <w:szCs w:val="21"/>
                      <w:highlight w:val="none"/>
                      <w:lang w:val="en-US" w:eastAsia="zh-CN"/>
                    </w:rPr>
                    <w:t>联勘联审</w:t>
                  </w:r>
                  <w:r>
                    <w:rPr>
                      <w:rFonts w:hint="default" w:ascii="Times New Roman" w:hAnsi="Times New Roman" w:cs="Times New Roman"/>
                      <w:color w:val="auto"/>
                      <w:kern w:val="0"/>
                      <w:sz w:val="21"/>
                      <w:szCs w:val="21"/>
                      <w:highlight w:val="none"/>
                      <w:lang w:val="en-US" w:eastAsia="zh-CN"/>
                    </w:rPr>
                    <w:t>及相关规划等有关情况审查意见</w:t>
                  </w:r>
                  <w:r>
                    <w:rPr>
                      <w:rFonts w:hint="default" w:ascii="Times New Roman" w:hAnsi="Times New Roman" w:cs="Times New Roman"/>
                      <w:color w:val="auto"/>
                      <w:kern w:val="0"/>
                      <w:sz w:val="21"/>
                      <w:szCs w:val="21"/>
                      <w:highlight w:val="none"/>
                    </w:rPr>
                    <w:t>》（附件</w:t>
                  </w:r>
                  <w:r>
                    <w:rPr>
                      <w:rFonts w:hint="eastAsia" w:cs="Times New Roman"/>
                      <w:color w:val="auto"/>
                      <w:kern w:val="0"/>
                      <w:sz w:val="21"/>
                      <w:szCs w:val="21"/>
                      <w:highlight w:val="none"/>
                      <w:lang w:val="en-US" w:eastAsia="zh-CN"/>
                    </w:rPr>
                    <w:t>9</w:t>
                  </w:r>
                  <w:r>
                    <w:rPr>
                      <w:rFonts w:hint="default" w:ascii="Times New Roman" w:hAnsi="Times New Roman" w:cs="Times New Roman"/>
                      <w:color w:val="auto"/>
                      <w:kern w:val="0"/>
                      <w:sz w:val="21"/>
                      <w:szCs w:val="21"/>
                      <w:highlight w:val="none"/>
                    </w:rPr>
                    <w:t>），本项目</w:t>
                  </w:r>
                  <w:r>
                    <w:rPr>
                      <w:rFonts w:hint="default" w:ascii="Times New Roman" w:hAnsi="Times New Roman" w:cs="Times New Roman"/>
                      <w:color w:val="auto"/>
                      <w:sz w:val="21"/>
                      <w:szCs w:val="21"/>
                      <w:highlight w:val="none"/>
                    </w:rPr>
                    <w:t>不涉及水产种质资源保护区的岸线和河段，不涉及国家湿地公园。</w:t>
                  </w:r>
                </w:p>
              </w:tc>
              <w:tc>
                <w:tcPr>
                  <w:tcW w:w="446" w:type="pct"/>
                  <w:tcMar>
                    <w:top w:w="0" w:type="dxa"/>
                    <w:left w:w="57" w:type="dxa"/>
                    <w:bottom w:w="0" w:type="dxa"/>
                    <w:right w:w="57" w:type="dxa"/>
                  </w:tcMar>
                  <w:vAlign w:val="center"/>
                </w:tcPr>
                <w:p w14:paraId="5401E388">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5218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2706" w:type="pct"/>
                  <w:tcMar>
                    <w:top w:w="0" w:type="dxa"/>
                    <w:left w:w="57" w:type="dxa"/>
                    <w:bottom w:w="0" w:type="dxa"/>
                    <w:right w:w="57" w:type="dxa"/>
                  </w:tcMar>
                  <w:vAlign w:val="center"/>
                </w:tcPr>
                <w:p w14:paraId="1BE5ED98">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第六条  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846" w:type="pct"/>
                  <w:tcMar>
                    <w:top w:w="0" w:type="dxa"/>
                    <w:left w:w="57" w:type="dxa"/>
                    <w:bottom w:w="0" w:type="dxa"/>
                    <w:right w:w="57" w:type="dxa"/>
                  </w:tcMar>
                  <w:vAlign w:val="center"/>
                </w:tcPr>
                <w:p w14:paraId="5ED8B436">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本项目位于</w:t>
                  </w:r>
                  <w:r>
                    <w:rPr>
                      <w:rFonts w:hint="default" w:ascii="Times New Roman" w:hAnsi="Times New Roman" w:cs="Times New Roman"/>
                      <w:color w:val="auto"/>
                      <w:sz w:val="21"/>
                      <w:szCs w:val="21"/>
                      <w:highlight w:val="none"/>
                      <w:lang w:eastAsia="zh-CN"/>
                    </w:rPr>
                    <w:t>寻甸县柯渡镇乐朗村委会</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kern w:val="0"/>
                      <w:sz w:val="21"/>
                      <w:szCs w:val="21"/>
                      <w:highlight w:val="none"/>
                    </w:rPr>
                    <w:t>根据《</w:t>
                  </w:r>
                  <w:r>
                    <w:rPr>
                      <w:rFonts w:hint="default" w:ascii="Times New Roman" w:hAnsi="Times New Roman" w:cs="Times New Roman"/>
                      <w:color w:val="auto"/>
                      <w:kern w:val="0"/>
                      <w:sz w:val="21"/>
                      <w:szCs w:val="21"/>
                      <w:highlight w:val="none"/>
                      <w:lang w:val="en-US" w:eastAsia="zh-CN"/>
                    </w:rPr>
                    <w:t>寻甸回族彝族自治县自然资源局关于</w:t>
                  </w:r>
                  <w:r>
                    <w:rPr>
                      <w:rFonts w:hint="default" w:ascii="Times New Roman" w:hAnsi="Times New Roman" w:cs="Times New Roman"/>
                      <w:color w:val="auto"/>
                      <w:kern w:val="0"/>
                      <w:sz w:val="21"/>
                      <w:szCs w:val="21"/>
                      <w:highlight w:val="none"/>
                    </w:rPr>
                    <w:t>云南省寻甸县柯渡黄龙溏普通建筑材料用砂岩矿</w:t>
                  </w:r>
                  <w:r>
                    <w:rPr>
                      <w:rFonts w:hint="default" w:ascii="Times New Roman" w:hAnsi="Times New Roman" w:cs="Times New Roman"/>
                      <w:color w:val="auto"/>
                      <w:kern w:val="0"/>
                      <w:sz w:val="21"/>
                      <w:szCs w:val="21"/>
                      <w:highlight w:val="none"/>
                      <w:lang w:val="en-US" w:eastAsia="zh-CN"/>
                    </w:rPr>
                    <w:t>采矿权新立</w:t>
                  </w:r>
                  <w:r>
                    <w:rPr>
                      <w:rFonts w:hint="eastAsia" w:cs="Times New Roman"/>
                      <w:color w:val="auto"/>
                      <w:kern w:val="0"/>
                      <w:sz w:val="21"/>
                      <w:szCs w:val="21"/>
                      <w:highlight w:val="none"/>
                      <w:lang w:val="en-US" w:eastAsia="zh-CN"/>
                    </w:rPr>
                    <w:t>联勘联审</w:t>
                  </w:r>
                  <w:r>
                    <w:rPr>
                      <w:rFonts w:hint="default" w:ascii="Times New Roman" w:hAnsi="Times New Roman" w:cs="Times New Roman"/>
                      <w:color w:val="auto"/>
                      <w:kern w:val="0"/>
                      <w:sz w:val="21"/>
                      <w:szCs w:val="21"/>
                      <w:highlight w:val="none"/>
                      <w:lang w:val="en-US" w:eastAsia="zh-CN"/>
                    </w:rPr>
                    <w:t>及相关规划等有关情况审查意见</w:t>
                  </w:r>
                  <w:r>
                    <w:rPr>
                      <w:rFonts w:hint="default" w:ascii="Times New Roman" w:hAnsi="Times New Roman" w:cs="Times New Roman"/>
                      <w:color w:val="auto"/>
                      <w:kern w:val="0"/>
                      <w:sz w:val="21"/>
                      <w:szCs w:val="21"/>
                      <w:highlight w:val="none"/>
                    </w:rPr>
                    <w:t>》（附件</w:t>
                  </w:r>
                  <w:r>
                    <w:rPr>
                      <w:rFonts w:hint="eastAsia" w:cs="Times New Roman"/>
                      <w:color w:val="auto"/>
                      <w:kern w:val="0"/>
                      <w:sz w:val="21"/>
                      <w:szCs w:val="21"/>
                      <w:highlight w:val="none"/>
                      <w:lang w:val="en-US" w:eastAsia="zh-CN"/>
                    </w:rPr>
                    <w:t>9</w:t>
                  </w:r>
                  <w:r>
                    <w:rPr>
                      <w:rFonts w:hint="default" w:ascii="Times New Roman" w:hAnsi="Times New Roman" w:cs="Times New Roman"/>
                      <w:color w:val="auto"/>
                      <w:kern w:val="0"/>
                      <w:sz w:val="21"/>
                      <w:szCs w:val="21"/>
                      <w:highlight w:val="none"/>
                    </w:rPr>
                    <w:t>），本项目</w:t>
                  </w:r>
                  <w:r>
                    <w:rPr>
                      <w:rFonts w:hint="default" w:ascii="Times New Roman" w:hAnsi="Times New Roman" w:cs="Times New Roman"/>
                      <w:color w:val="auto"/>
                      <w:sz w:val="21"/>
                      <w:szCs w:val="21"/>
                      <w:highlight w:val="none"/>
                    </w:rPr>
                    <w:t>不涉及长江流域河湖岸线，不涉及金沙江岸线保护区、保留区，不涉及九大高原湖泊保护区、保留区。</w:t>
                  </w:r>
                </w:p>
              </w:tc>
              <w:tc>
                <w:tcPr>
                  <w:tcW w:w="446" w:type="pct"/>
                  <w:tcMar>
                    <w:top w:w="0" w:type="dxa"/>
                    <w:left w:w="57" w:type="dxa"/>
                    <w:bottom w:w="0" w:type="dxa"/>
                    <w:right w:w="57" w:type="dxa"/>
                  </w:tcMar>
                  <w:vAlign w:val="center"/>
                </w:tcPr>
                <w:p w14:paraId="3A866D36">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3A1D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2706" w:type="pct"/>
                  <w:tcMar>
                    <w:top w:w="0" w:type="dxa"/>
                    <w:left w:w="57" w:type="dxa"/>
                    <w:bottom w:w="0" w:type="dxa"/>
                    <w:right w:w="57" w:type="dxa"/>
                  </w:tcMar>
                  <w:vAlign w:val="center"/>
                </w:tcPr>
                <w:p w14:paraId="0EE12615">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第七条  禁止在金沙江干流、长江一级支流建设除党中央、国务院、国家投资主管部门、省级有关部门批复同意以外的过长江基础设施项目；禁止未经许可在金沙江干流、长江一级支流、九大高原湖泊流域新设、改设或扩大排污口。</w:t>
                  </w:r>
                </w:p>
              </w:tc>
              <w:tc>
                <w:tcPr>
                  <w:tcW w:w="1846" w:type="pct"/>
                  <w:tcMar>
                    <w:top w:w="0" w:type="dxa"/>
                    <w:left w:w="57" w:type="dxa"/>
                    <w:bottom w:w="0" w:type="dxa"/>
                    <w:right w:w="57" w:type="dxa"/>
                  </w:tcMar>
                  <w:vAlign w:val="center"/>
                </w:tcPr>
                <w:p w14:paraId="6E7E9F29">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本项目不属于过长江基础设施项目。本项目</w:t>
                  </w:r>
                  <w:r>
                    <w:rPr>
                      <w:rFonts w:hint="default" w:ascii="Times New Roman" w:hAnsi="Times New Roman" w:cs="Times New Roman"/>
                      <w:color w:val="auto"/>
                      <w:sz w:val="21"/>
                      <w:szCs w:val="21"/>
                      <w:highlight w:val="none"/>
                      <w:lang w:val="en-US" w:eastAsia="zh-CN"/>
                    </w:rPr>
                    <w:t>生活废水经隔油池、三格化粪池处理后</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定期清掏用作农肥，</w:t>
                  </w:r>
                  <w:r>
                    <w:rPr>
                      <w:rFonts w:hint="default" w:ascii="Times New Roman" w:hAnsi="Times New Roman" w:cs="Times New Roman"/>
                      <w:color w:val="auto"/>
                      <w:sz w:val="21"/>
                      <w:szCs w:val="21"/>
                      <w:highlight w:val="none"/>
                    </w:rPr>
                    <w:t>不设排污口。</w:t>
                  </w:r>
                </w:p>
              </w:tc>
              <w:tc>
                <w:tcPr>
                  <w:tcW w:w="446" w:type="pct"/>
                  <w:tcMar>
                    <w:top w:w="0" w:type="dxa"/>
                    <w:left w:w="57" w:type="dxa"/>
                    <w:bottom w:w="0" w:type="dxa"/>
                    <w:right w:w="57" w:type="dxa"/>
                  </w:tcMar>
                  <w:vAlign w:val="center"/>
                </w:tcPr>
                <w:p w14:paraId="0AACD631">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C66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2706" w:type="pct"/>
                  <w:tcMar>
                    <w:top w:w="0" w:type="dxa"/>
                    <w:left w:w="57" w:type="dxa"/>
                    <w:bottom w:w="0" w:type="dxa"/>
                    <w:right w:w="57" w:type="dxa"/>
                  </w:tcMar>
                  <w:vAlign w:val="center"/>
                </w:tcPr>
                <w:p w14:paraId="12DB61A3">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第八条  禁止在金沙江干流、长江一级支流、水生生物保护区和长江流域禁捕水域开展天然渔业资源生产性捕捞。</w:t>
                  </w:r>
                </w:p>
              </w:tc>
              <w:tc>
                <w:tcPr>
                  <w:tcW w:w="1846" w:type="pct"/>
                  <w:tcMar>
                    <w:top w:w="0" w:type="dxa"/>
                    <w:left w:w="57" w:type="dxa"/>
                    <w:bottom w:w="0" w:type="dxa"/>
                    <w:right w:w="57" w:type="dxa"/>
                  </w:tcMar>
                  <w:vAlign w:val="center"/>
                </w:tcPr>
                <w:p w14:paraId="053D6BA2">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本项目不涉及生产性捕捞。</w:t>
                  </w:r>
                </w:p>
              </w:tc>
              <w:tc>
                <w:tcPr>
                  <w:tcW w:w="446" w:type="pct"/>
                  <w:tcMar>
                    <w:top w:w="0" w:type="dxa"/>
                    <w:left w:w="57" w:type="dxa"/>
                    <w:bottom w:w="0" w:type="dxa"/>
                    <w:right w:w="57" w:type="dxa"/>
                  </w:tcMar>
                  <w:vAlign w:val="center"/>
                </w:tcPr>
                <w:p w14:paraId="2056C8EC">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0F99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06" w:type="pct"/>
                  <w:tcMar>
                    <w:top w:w="0" w:type="dxa"/>
                    <w:left w:w="57" w:type="dxa"/>
                    <w:bottom w:w="0" w:type="dxa"/>
                    <w:right w:w="57" w:type="dxa"/>
                  </w:tcMar>
                  <w:vAlign w:val="center"/>
                </w:tcPr>
                <w:p w14:paraId="4BE79DC5">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第九条  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846" w:type="pct"/>
                  <w:tcMar>
                    <w:top w:w="0" w:type="dxa"/>
                    <w:left w:w="57" w:type="dxa"/>
                    <w:bottom w:w="0" w:type="dxa"/>
                    <w:right w:w="57" w:type="dxa"/>
                  </w:tcMar>
                  <w:vAlign w:val="center"/>
                </w:tcPr>
                <w:p w14:paraId="0F9C7DD7">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本项目不属于新建、扩建化工园区和化工项目。不属于尾矿库、冶炼渣库和磷石膏库。</w:t>
                  </w:r>
                </w:p>
              </w:tc>
              <w:tc>
                <w:tcPr>
                  <w:tcW w:w="446" w:type="pct"/>
                  <w:tcMar>
                    <w:top w:w="0" w:type="dxa"/>
                    <w:left w:w="57" w:type="dxa"/>
                    <w:bottom w:w="0" w:type="dxa"/>
                    <w:right w:w="57" w:type="dxa"/>
                  </w:tcMar>
                  <w:vAlign w:val="center"/>
                </w:tcPr>
                <w:p w14:paraId="01944A78">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561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706" w:type="pct"/>
                  <w:tcMar>
                    <w:top w:w="0" w:type="dxa"/>
                    <w:left w:w="57" w:type="dxa"/>
                    <w:bottom w:w="0" w:type="dxa"/>
                    <w:right w:w="57" w:type="dxa"/>
                  </w:tcMar>
                  <w:vAlign w:val="center"/>
                </w:tcPr>
                <w:p w14:paraId="72C61F9F">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第十条  禁止在合规园区外新建、扩建钢铁、石化、化工、焦化、建材、有色、制浆造纸行业中的高污染项目。</w:t>
                  </w:r>
                </w:p>
              </w:tc>
              <w:tc>
                <w:tcPr>
                  <w:tcW w:w="1846" w:type="pct"/>
                  <w:tcMar>
                    <w:top w:w="0" w:type="dxa"/>
                    <w:left w:w="57" w:type="dxa"/>
                    <w:bottom w:w="0" w:type="dxa"/>
                    <w:right w:w="57" w:type="dxa"/>
                  </w:tcMar>
                  <w:vAlign w:val="center"/>
                </w:tcPr>
                <w:p w14:paraId="35B80AA4">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本项目不属于钢铁、石化、化工、焦化、建材、有色、制浆造纸行业中的高污染项目。</w:t>
                  </w:r>
                </w:p>
              </w:tc>
              <w:tc>
                <w:tcPr>
                  <w:tcW w:w="446" w:type="pct"/>
                  <w:tcMar>
                    <w:top w:w="0" w:type="dxa"/>
                    <w:left w:w="57" w:type="dxa"/>
                    <w:bottom w:w="0" w:type="dxa"/>
                    <w:right w:w="57" w:type="dxa"/>
                  </w:tcMar>
                  <w:vAlign w:val="center"/>
                </w:tcPr>
                <w:p w14:paraId="707CF8C9">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592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jc w:val="center"/>
              </w:trPr>
              <w:tc>
                <w:tcPr>
                  <w:tcW w:w="2706" w:type="pct"/>
                  <w:tcMar>
                    <w:top w:w="0" w:type="dxa"/>
                    <w:left w:w="57" w:type="dxa"/>
                    <w:bottom w:w="0" w:type="dxa"/>
                    <w:right w:w="57" w:type="dxa"/>
                  </w:tcMar>
                  <w:vAlign w:val="center"/>
                </w:tcPr>
                <w:p w14:paraId="7D2BBBE7">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第十一条 禁止新建、扩建不符合国家石化、现代煤化工等产业布局规划的项目。禁止列入《云南省城镇人口密集区危险化学品生产企业搬迁改造名单》的搬迁改造企业在原址新建、扩建危险化学品生产项目。</w:t>
                  </w:r>
                </w:p>
              </w:tc>
              <w:tc>
                <w:tcPr>
                  <w:tcW w:w="1846" w:type="pct"/>
                  <w:tcMar>
                    <w:top w:w="0" w:type="dxa"/>
                    <w:left w:w="57" w:type="dxa"/>
                    <w:bottom w:w="0" w:type="dxa"/>
                    <w:right w:w="57" w:type="dxa"/>
                  </w:tcMar>
                  <w:vAlign w:val="center"/>
                </w:tcPr>
                <w:p w14:paraId="11D48375">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本项目不属于新建、扩建石化、煤化工行业项目，亦不属于列入《云南省城镇人口密集区危险化学品生产企业搬迁改造名单》的搬迁改造企业。</w:t>
                  </w:r>
                </w:p>
              </w:tc>
              <w:tc>
                <w:tcPr>
                  <w:tcW w:w="446" w:type="pct"/>
                  <w:tcMar>
                    <w:top w:w="0" w:type="dxa"/>
                    <w:left w:w="57" w:type="dxa"/>
                    <w:bottom w:w="0" w:type="dxa"/>
                    <w:right w:w="57" w:type="dxa"/>
                  </w:tcMar>
                  <w:vAlign w:val="center"/>
                </w:tcPr>
                <w:p w14:paraId="20C3E0C5">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CB0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706" w:type="pct"/>
                  <w:tcMar>
                    <w:top w:w="0" w:type="dxa"/>
                    <w:left w:w="57" w:type="dxa"/>
                    <w:bottom w:w="0" w:type="dxa"/>
                    <w:right w:w="57" w:type="dxa"/>
                  </w:tcMar>
                  <w:vAlign w:val="center"/>
                </w:tcPr>
                <w:p w14:paraId="35399ED5">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第十二条  禁止新建、扩建法律法规和相关政策明令禁止的落后产能项目，依法依规关停退出能耗、环保、质量、安全不达标产能和技术落后产能。禁止新建、扩建不符合国家产能置换要求的严重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846" w:type="pct"/>
                  <w:tcMar>
                    <w:top w:w="0" w:type="dxa"/>
                    <w:left w:w="57" w:type="dxa"/>
                    <w:bottom w:w="0" w:type="dxa"/>
                    <w:right w:w="57" w:type="dxa"/>
                  </w:tcMar>
                  <w:vAlign w:val="center"/>
                </w:tcPr>
                <w:p w14:paraId="7E8F17CF">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本项目不属于产能过剩、落后产能项目，不属于高污染、高耗能项目，不属于高毒高残留以及对环境影响大的农药原药项目，不属于尿素、磷铵、电石、焦炭、黄磷、烧碱、纯碱、聚氯乙烯等行业。</w:t>
                  </w:r>
                </w:p>
              </w:tc>
              <w:tc>
                <w:tcPr>
                  <w:tcW w:w="446" w:type="pct"/>
                  <w:tcMar>
                    <w:top w:w="0" w:type="dxa"/>
                    <w:left w:w="57" w:type="dxa"/>
                    <w:bottom w:w="0" w:type="dxa"/>
                    <w:right w:w="57" w:type="dxa"/>
                  </w:tcMar>
                  <w:vAlign w:val="center"/>
                </w:tcPr>
                <w:p w14:paraId="52915683">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11B28F0D">
            <w:pPr>
              <w:spacing w:before="156" w:beforeLines="50"/>
              <w:ind w:firstLine="480"/>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bidi="ar"/>
              </w:rPr>
              <w:t>根据上表分析，本项目的建设符合《云南省推动长江经济带发展领导小组办公室关于印发〈云南省长江经济带发展负面清单指南实施细则（试行，2022版）〉的通知》（云发改基础〔2022〕894号）中的有关规定。</w:t>
            </w:r>
          </w:p>
          <w:p w14:paraId="0A26A4BE">
            <w:pPr>
              <w:ind w:firstLine="482"/>
              <w:rPr>
                <w:rFonts w:hint="default" w:ascii="Times New Roman" w:hAnsi="Times New Roman" w:cs="Times New Roman"/>
                <w:b/>
                <w:bCs/>
                <w:color w:val="auto"/>
                <w:highlight w:val="none"/>
                <w:lang w:bidi="ar"/>
              </w:rPr>
            </w:pPr>
            <w:r>
              <w:rPr>
                <w:rFonts w:hint="eastAsia" w:ascii="Times New Roman" w:hAnsi="Times New Roman" w:cs="Times New Roman"/>
                <w:b/>
                <w:bCs/>
                <w:color w:val="auto"/>
                <w:highlight w:val="none"/>
                <w:lang w:val="en-US" w:eastAsia="zh-CN" w:bidi="ar"/>
              </w:rPr>
              <w:t>10</w:t>
            </w:r>
            <w:r>
              <w:rPr>
                <w:rFonts w:hint="default" w:ascii="Times New Roman" w:hAnsi="Times New Roman" w:cs="Times New Roman"/>
                <w:b/>
                <w:bCs/>
                <w:color w:val="auto"/>
                <w:highlight w:val="none"/>
                <w:lang w:bidi="ar"/>
              </w:rPr>
              <w:t>、与《寻甸回族彝族自治县国土空间总体规划（2021-2035年）》符合性分析</w:t>
            </w:r>
          </w:p>
          <w:p w14:paraId="078AB749">
            <w:pPr>
              <w:ind w:firstLine="480"/>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bidi="ar"/>
              </w:rPr>
              <w:t>《寻甸回族彝族自治县国土空间总体规划（2021-2035年）》于2025年3月6日取得昆明市人民政府关于《寻甸回族彝族自治县国土空间总体规划（2021-2035年）》的批复（昆政复〔2025〕12号）的批复。</w:t>
            </w:r>
          </w:p>
          <w:p w14:paraId="1D64531B">
            <w:pPr>
              <w:ind w:firstLine="480"/>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bidi="ar"/>
              </w:rPr>
              <w:t>规划构建“一核一心、两轴三带、三区多点”的开发保护总体格局，本项目位于</w:t>
            </w:r>
            <w:r>
              <w:rPr>
                <w:rFonts w:hint="default" w:ascii="Times New Roman" w:hAnsi="Times New Roman" w:cs="Times New Roman"/>
                <w:color w:val="auto"/>
                <w:highlight w:val="none"/>
                <w:lang w:eastAsia="zh-CN" w:bidi="ar"/>
              </w:rPr>
              <w:t>寻甸县柯渡镇乐朗村委会</w:t>
            </w:r>
            <w:r>
              <w:rPr>
                <w:rFonts w:hint="default" w:ascii="Times New Roman" w:hAnsi="Times New Roman" w:cs="Times New Roman"/>
                <w:color w:val="auto"/>
                <w:highlight w:val="none"/>
                <w:lang w:bidi="ar"/>
              </w:rPr>
              <w:t>，根据与规划国土空间总体格局图对比分析，项目区位于其中的综合发展，本项目为现有矿山扩建，根据寻甸县自然资源局“三区三线”查询结果，本项目未与寻甸县生态保护红线管控范围重叠，不在城镇开发边界范围内，未涉及永久基本农田</w:t>
            </w:r>
            <w:r>
              <w:rPr>
                <w:rFonts w:hint="default" w:ascii="Times New Roman" w:hAnsi="Times New Roman" w:cs="Times New Roman"/>
                <w:snapToGrid w:val="0"/>
                <w:color w:val="auto"/>
                <w:kern w:val="0"/>
                <w:szCs w:val="24"/>
                <w:highlight w:val="none"/>
              </w:rPr>
              <w:t>，详见附件</w:t>
            </w:r>
            <w:r>
              <w:rPr>
                <w:rFonts w:hint="eastAsia" w:ascii="Times New Roman" w:hAnsi="Times New Roman" w:cs="Times New Roman"/>
                <w:snapToGrid w:val="0"/>
                <w:color w:val="auto"/>
                <w:kern w:val="0"/>
                <w:szCs w:val="24"/>
                <w:highlight w:val="none"/>
                <w:lang w:val="en-US" w:eastAsia="zh-CN"/>
              </w:rPr>
              <w:t>7</w:t>
            </w:r>
            <w:r>
              <w:rPr>
                <w:rFonts w:hint="default" w:ascii="Times New Roman" w:hAnsi="Times New Roman" w:cs="Times New Roman"/>
                <w:snapToGrid w:val="0"/>
                <w:color w:val="auto"/>
                <w:kern w:val="0"/>
                <w:szCs w:val="24"/>
                <w:highlight w:val="none"/>
              </w:rPr>
              <w:t>，同意项目选址</w:t>
            </w:r>
            <w:r>
              <w:rPr>
                <w:rFonts w:hint="default" w:ascii="Times New Roman" w:hAnsi="Times New Roman" w:cs="Times New Roman"/>
                <w:color w:val="auto"/>
                <w:highlight w:val="none"/>
                <w:lang w:bidi="ar"/>
              </w:rPr>
              <w:t>，本项目与寻甸县国土空间规划不冲突。</w:t>
            </w:r>
          </w:p>
          <w:p w14:paraId="60F60295">
            <w:pPr>
              <w:pStyle w:val="10"/>
              <w:numPr>
                <w:ilvl w:val="0"/>
                <w:numId w:val="0"/>
              </w:numPr>
              <w:ind w:firstLine="482" w:firstLineChars="200"/>
              <w:rPr>
                <w:rFonts w:hint="eastAsia" w:ascii="Times New Roman" w:hAnsi="Times New Roman" w:eastAsia="宋体" w:cs="Times New Roman"/>
                <w:b/>
                <w:bCs/>
                <w:color w:val="auto"/>
                <w:kern w:val="2"/>
                <w:sz w:val="24"/>
                <w:szCs w:val="22"/>
                <w:highlight w:val="none"/>
                <w:lang w:val="en-US" w:eastAsia="zh-CN" w:bidi="ar"/>
              </w:rPr>
            </w:pPr>
            <w:r>
              <w:rPr>
                <w:rFonts w:hint="eastAsia" w:ascii="Times New Roman" w:hAnsi="Times New Roman" w:eastAsia="宋体" w:cs="Times New Roman"/>
                <w:b/>
                <w:bCs/>
                <w:color w:val="auto"/>
                <w:kern w:val="2"/>
                <w:sz w:val="24"/>
                <w:szCs w:val="22"/>
                <w:lang w:val="en-US" w:eastAsia="zh-CN" w:bidi="ar"/>
              </w:rPr>
              <w:t>11、</w:t>
            </w:r>
            <w:r>
              <w:rPr>
                <w:rFonts w:hint="eastAsia" w:ascii="Times New Roman" w:hAnsi="Times New Roman" w:eastAsia="宋体" w:cs="Times New Roman"/>
                <w:b/>
                <w:bCs/>
                <w:color w:val="auto"/>
                <w:kern w:val="2"/>
                <w:sz w:val="24"/>
                <w:szCs w:val="22"/>
                <w:highlight w:val="none"/>
                <w:lang w:val="en-US" w:eastAsia="zh-CN" w:bidi="ar"/>
              </w:rPr>
              <w:t>与《中华人民共和国生态环境法典》相关符合性分析</w:t>
            </w:r>
          </w:p>
          <w:p w14:paraId="42B6DC32">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本项目与《</w:t>
            </w:r>
            <w:r>
              <w:rPr>
                <w:rFonts w:hint="eastAsia" w:cs="Times New Roman"/>
                <w:color w:val="auto"/>
                <w:highlight w:val="none"/>
                <w:lang w:val="en-US" w:eastAsia="zh-CN"/>
              </w:rPr>
              <w:t>中华人民共和国生态环境法典</w:t>
            </w:r>
            <w:r>
              <w:rPr>
                <w:rFonts w:hint="default" w:ascii="Times New Roman" w:hAnsi="Times New Roman" w:cs="Times New Roman"/>
                <w:color w:val="auto"/>
                <w:highlight w:val="none"/>
              </w:rPr>
              <w:t>》符合性分析见表1-1</w:t>
            </w:r>
            <w:r>
              <w:rPr>
                <w:rFonts w:hint="eastAsia" w:cs="Times New Roman"/>
                <w:color w:val="auto"/>
                <w:highlight w:val="none"/>
                <w:lang w:val="en-US" w:eastAsia="zh-CN"/>
              </w:rPr>
              <w:t>5</w:t>
            </w:r>
            <w:r>
              <w:rPr>
                <w:rFonts w:hint="default" w:ascii="Times New Roman" w:hAnsi="Times New Roman" w:cs="Times New Roman"/>
                <w:color w:val="auto"/>
                <w:highlight w:val="none"/>
              </w:rPr>
              <w:t>所示。</w:t>
            </w:r>
          </w:p>
          <w:p w14:paraId="5C4E93EC">
            <w:pPr>
              <w:autoSpaceDE w:val="0"/>
              <w:autoSpaceDN w:val="0"/>
              <w:adjustRightInd w:val="0"/>
              <w:spacing w:line="240" w:lineRule="auto"/>
              <w:ind w:firstLine="0" w:firstLine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表1-1</w:t>
            </w:r>
            <w:r>
              <w:rPr>
                <w:rFonts w:hint="eastAsia" w:cs="Times New Roman"/>
                <w:b/>
                <w:bCs/>
                <w:snapToGrid w:val="0"/>
                <w:color w:val="auto"/>
                <w:kern w:val="0"/>
                <w:sz w:val="21"/>
                <w:szCs w:val="21"/>
                <w:highlight w:val="none"/>
                <w:lang w:val="en-US" w:eastAsia="zh-CN"/>
              </w:rPr>
              <w:t>5</w:t>
            </w:r>
            <w:r>
              <w:rPr>
                <w:rFonts w:hint="default" w:ascii="Times New Roman" w:hAnsi="Times New Roman" w:cs="Times New Roman"/>
                <w:b/>
                <w:bCs/>
                <w:snapToGrid w:val="0"/>
                <w:color w:val="auto"/>
                <w:kern w:val="0"/>
                <w:sz w:val="21"/>
                <w:szCs w:val="21"/>
                <w:highlight w:val="none"/>
              </w:rPr>
              <w:t xml:space="preserve"> 本项目与《</w:t>
            </w:r>
            <w:r>
              <w:rPr>
                <w:rFonts w:hint="default" w:ascii="Times New Roman" w:hAnsi="Times New Roman" w:cs="Times New Roman"/>
                <w:b/>
                <w:bCs/>
                <w:snapToGrid w:val="0"/>
                <w:color w:val="auto"/>
                <w:kern w:val="0"/>
                <w:sz w:val="21"/>
                <w:szCs w:val="21"/>
                <w:highlight w:val="none"/>
                <w:lang w:val="en-US" w:eastAsia="zh-CN"/>
              </w:rPr>
              <w:t>中华人民共和国生态环境法典</w:t>
            </w:r>
            <w:r>
              <w:rPr>
                <w:rFonts w:hint="default" w:ascii="Times New Roman" w:hAnsi="Times New Roman" w:cs="Times New Roman"/>
                <w:b/>
                <w:bCs/>
                <w:snapToGrid w:val="0"/>
                <w:color w:val="auto"/>
                <w:kern w:val="0"/>
                <w:sz w:val="21"/>
                <w:szCs w:val="21"/>
                <w:highlight w:val="none"/>
              </w:rPr>
              <w:t>》符合性分析一览表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3"/>
              <w:gridCol w:w="2875"/>
              <w:gridCol w:w="695"/>
            </w:tblGrid>
            <w:tr w14:paraId="524D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706" w:type="pct"/>
                  <w:tcMar>
                    <w:top w:w="0" w:type="dxa"/>
                    <w:left w:w="57" w:type="dxa"/>
                    <w:bottom w:w="0" w:type="dxa"/>
                    <w:right w:w="57" w:type="dxa"/>
                  </w:tcMar>
                  <w:vAlign w:val="center"/>
                </w:tcPr>
                <w:p w14:paraId="337CEF94">
                  <w:pPr>
                    <w:adjustRightInd w:val="0"/>
                    <w:spacing w:line="240" w:lineRule="auto"/>
                    <w:ind w:firstLine="0" w:firstLineChars="0"/>
                    <w:jc w:val="center"/>
                    <w:textAlignment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法典内容</w:t>
                  </w:r>
                </w:p>
              </w:tc>
              <w:tc>
                <w:tcPr>
                  <w:tcW w:w="1846" w:type="pct"/>
                  <w:tcMar>
                    <w:top w:w="0" w:type="dxa"/>
                    <w:left w:w="57" w:type="dxa"/>
                    <w:bottom w:w="0" w:type="dxa"/>
                    <w:right w:w="57" w:type="dxa"/>
                  </w:tcMar>
                  <w:vAlign w:val="center"/>
                </w:tcPr>
                <w:p w14:paraId="1DEF7A35">
                  <w:pPr>
                    <w:adjustRightInd w:val="0"/>
                    <w:spacing w:line="240" w:lineRule="auto"/>
                    <w:ind w:firstLine="0" w:firstLineChars="0"/>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本项目情况</w:t>
                  </w:r>
                </w:p>
              </w:tc>
              <w:tc>
                <w:tcPr>
                  <w:tcW w:w="446" w:type="pct"/>
                  <w:tcMar>
                    <w:top w:w="0" w:type="dxa"/>
                    <w:left w:w="57" w:type="dxa"/>
                    <w:bottom w:w="0" w:type="dxa"/>
                    <w:right w:w="57" w:type="dxa"/>
                  </w:tcMar>
                  <w:vAlign w:val="center"/>
                </w:tcPr>
                <w:p w14:paraId="1652530C">
                  <w:pPr>
                    <w:adjustRightInd w:val="0"/>
                    <w:spacing w:line="240" w:lineRule="auto"/>
                    <w:ind w:firstLine="0" w:firstLineChars="0"/>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符合性</w:t>
                  </w:r>
                </w:p>
              </w:tc>
            </w:tr>
            <w:tr w14:paraId="5A8E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2706" w:type="pct"/>
                  <w:tcMar>
                    <w:top w:w="0" w:type="dxa"/>
                    <w:left w:w="57" w:type="dxa"/>
                    <w:bottom w:w="0" w:type="dxa"/>
                    <w:right w:w="57" w:type="dxa"/>
                  </w:tcMar>
                  <w:vAlign w:val="center"/>
                </w:tcPr>
                <w:p w14:paraId="689B5D45">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第一百五十条　排放污染物的单位和个人，应当采取有效措施，防治在生产、生活和其他活动中产生的大气污染、水污染、海洋污染、土壤污染、固体废物污染、噪声污染、放射性污染，以及化学物质污染、电磁辐射污染、光污染等环境污染。</w:t>
                  </w:r>
                </w:p>
              </w:tc>
              <w:tc>
                <w:tcPr>
                  <w:tcW w:w="1846" w:type="pct"/>
                  <w:tcMar>
                    <w:top w:w="0" w:type="dxa"/>
                    <w:left w:w="57" w:type="dxa"/>
                    <w:bottom w:w="0" w:type="dxa"/>
                    <w:right w:w="57" w:type="dxa"/>
                  </w:tcMar>
                  <w:vAlign w:val="center"/>
                </w:tcPr>
                <w:p w14:paraId="64410C01">
                  <w:pPr>
                    <w:adjustRightInd w:val="0"/>
                    <w:spacing w:line="240" w:lineRule="auto"/>
                    <w:ind w:firstLine="420"/>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施工期及运行期有废气、废水、固废、噪声产生。本项目配置洒水车、雾炮机等对粉尘进行洒水抑尘，皮带运输系统廊道采用彩钢瓦进行封闭，破碎站、砂料堆场设置为彩钢瓦大棚内，三面围挡+顶棚，仅预留出入口，项目破碎、筛分、制砂粉尘经收集后进入1台布袋除尘器处理通过15m高的排气筒排放，露天采区采取湿式凿岩；项目生活废水经隔油池、三格化粪池处理后定期清掏用作农肥，车辆清洗废水循环使用，沉砂池收集的淋滤水和初期雨水用于洒水降尘，不外排；项目固废处置100%；项目200范围内无声环境保护目标，选用低噪声设备，仅白天运营。</w:t>
                  </w:r>
                </w:p>
              </w:tc>
              <w:tc>
                <w:tcPr>
                  <w:tcW w:w="446" w:type="pct"/>
                  <w:tcMar>
                    <w:top w:w="0" w:type="dxa"/>
                    <w:left w:w="57" w:type="dxa"/>
                    <w:bottom w:w="0" w:type="dxa"/>
                    <w:right w:w="57" w:type="dxa"/>
                  </w:tcMar>
                  <w:vAlign w:val="center"/>
                </w:tcPr>
                <w:p w14:paraId="03F3F06A">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AEF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706" w:type="pct"/>
                  <w:tcMar>
                    <w:top w:w="0" w:type="dxa"/>
                    <w:left w:w="57" w:type="dxa"/>
                    <w:bottom w:w="0" w:type="dxa"/>
                    <w:right w:w="57" w:type="dxa"/>
                  </w:tcMar>
                  <w:vAlign w:val="center"/>
                </w:tcPr>
                <w:p w14:paraId="30DB4817">
                  <w:pPr>
                    <w:adjustRightInd w:val="0"/>
                    <w:spacing w:line="240" w:lineRule="auto"/>
                    <w:ind w:firstLine="420"/>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第二百四十三条　贮存煤炭、煤矸石、煤渣、煤灰、水泥、石灰、石膏、砂土、铁矿石等易产生扬尘的物料应当密闭；不能密闭的，应当设置不低于堆放物高度的严密围挡，并采取有效覆盖措施防治扬尘污染。</w:t>
                  </w:r>
                </w:p>
                <w:p w14:paraId="6C77A954">
                  <w:pPr>
                    <w:adjustRightInd w:val="0"/>
                    <w:spacing w:line="240" w:lineRule="auto"/>
                    <w:ind w:firstLine="420"/>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码头、矿山、填埋场和消纳场应当实施分区作业，并采取有效措施防治扬尘污染。</w:t>
                  </w:r>
                </w:p>
              </w:tc>
              <w:tc>
                <w:tcPr>
                  <w:tcW w:w="1846" w:type="pct"/>
                  <w:tcMar>
                    <w:top w:w="0" w:type="dxa"/>
                    <w:left w:w="57" w:type="dxa"/>
                    <w:bottom w:w="0" w:type="dxa"/>
                    <w:right w:w="57" w:type="dxa"/>
                  </w:tcMar>
                  <w:vAlign w:val="center"/>
                </w:tcPr>
                <w:p w14:paraId="113F5A3D">
                  <w:pPr>
                    <w:keepNext w:val="0"/>
                    <w:keepLines w:val="0"/>
                    <w:pageBreakBefore w:val="0"/>
                    <w:widowControl w:val="0"/>
                    <w:kinsoku/>
                    <w:wordWrap/>
                    <w:overflowPunct/>
                    <w:topLinePunct w:val="0"/>
                    <w:autoSpaceDE/>
                    <w:autoSpaceDN/>
                    <w:bidi w:val="0"/>
                    <w:adjustRightInd w:val="0"/>
                    <w:snapToGrid/>
                    <w:spacing w:line="240" w:lineRule="auto"/>
                    <w:ind w:firstLine="420"/>
                    <w:textAlignment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项目皮带运输系统廊道采用彩钢瓦进行封闭，破碎站、砂料堆场设置为彩钢瓦大棚内，三面围挡+顶棚，仅预留出入口，项目破碎、筛分、制砂粉尘经收集后进入1台布袋除尘器处理通过15m高的排气筒排放，露天采区采取湿式凿岩。</w:t>
                  </w:r>
                </w:p>
                <w:p w14:paraId="16FE5B88">
                  <w:pPr>
                    <w:keepNext w:val="0"/>
                    <w:keepLines w:val="0"/>
                    <w:pageBreakBefore w:val="0"/>
                    <w:widowControl w:val="0"/>
                    <w:kinsoku/>
                    <w:wordWrap/>
                    <w:overflowPunct/>
                    <w:topLinePunct w:val="0"/>
                    <w:autoSpaceDE/>
                    <w:autoSpaceDN/>
                    <w:bidi w:val="0"/>
                    <w:adjustRightInd w:val="0"/>
                    <w:snapToGrid/>
                    <w:spacing w:line="240" w:lineRule="auto"/>
                    <w:ind w:firstLine="420"/>
                    <w:textAlignment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项目实行分区作业，分为露天开采区、工业场地区、办公生活区。</w:t>
                  </w:r>
                </w:p>
              </w:tc>
              <w:tc>
                <w:tcPr>
                  <w:tcW w:w="446" w:type="pct"/>
                  <w:tcMar>
                    <w:top w:w="0" w:type="dxa"/>
                    <w:left w:w="57" w:type="dxa"/>
                    <w:bottom w:w="0" w:type="dxa"/>
                    <w:right w:w="57" w:type="dxa"/>
                  </w:tcMar>
                  <w:vAlign w:val="center"/>
                </w:tcPr>
                <w:p w14:paraId="786C241E">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A05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2706" w:type="pct"/>
                  <w:tcMar>
                    <w:top w:w="0" w:type="dxa"/>
                    <w:left w:w="57" w:type="dxa"/>
                    <w:bottom w:w="0" w:type="dxa"/>
                    <w:right w:w="57" w:type="dxa"/>
                  </w:tcMar>
                  <w:vAlign w:val="center"/>
                </w:tcPr>
                <w:p w14:paraId="4F5D6822">
                  <w:pPr>
                    <w:adjustRightInd w:val="0"/>
                    <w:spacing w:line="240" w:lineRule="auto"/>
                    <w:ind w:firstLine="420"/>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第二百八十七条　化工园区和化工项目、矿山开采区、尾矿库、危险废物处置场、垃圾填埋场等的运营、管理单位，应当采取防渗漏等措施，并建设地下水水质监测井进行监测，防止地下水污染。</w:t>
                  </w:r>
                </w:p>
              </w:tc>
              <w:tc>
                <w:tcPr>
                  <w:tcW w:w="1846" w:type="pct"/>
                  <w:tcMar>
                    <w:top w:w="0" w:type="dxa"/>
                    <w:left w:w="57" w:type="dxa"/>
                    <w:bottom w:w="0" w:type="dxa"/>
                    <w:right w:w="57" w:type="dxa"/>
                  </w:tcMar>
                  <w:vAlign w:val="center"/>
                </w:tcPr>
                <w:p w14:paraId="098AB1D5">
                  <w:pPr>
                    <w:adjustRightInd w:val="0"/>
                    <w:spacing w:line="240" w:lineRule="auto"/>
                    <w:ind w:firstLine="420"/>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项目为沙岩矿露天开采，不会产生有害污染物，雨天淋滤水通过开采区底部四周排水沟，收集到沉砂池，非雨天用于矿区洒水降尘，不外排。因此，项目露天开采不会造成地下水污染</w:t>
                  </w:r>
                </w:p>
              </w:tc>
              <w:tc>
                <w:tcPr>
                  <w:tcW w:w="446" w:type="pct"/>
                  <w:tcMar>
                    <w:top w:w="0" w:type="dxa"/>
                    <w:left w:w="57" w:type="dxa"/>
                    <w:bottom w:w="0" w:type="dxa"/>
                    <w:right w:w="57" w:type="dxa"/>
                  </w:tcMar>
                  <w:vAlign w:val="center"/>
                </w:tcPr>
                <w:p w14:paraId="6EC839D3">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99C1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706" w:type="pct"/>
                  <w:tcMar>
                    <w:top w:w="0" w:type="dxa"/>
                    <w:left w:w="57" w:type="dxa"/>
                    <w:bottom w:w="0" w:type="dxa"/>
                    <w:right w:w="57" w:type="dxa"/>
                  </w:tcMar>
                  <w:vAlign w:val="center"/>
                </w:tcPr>
                <w:p w14:paraId="55919766">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第四百一十九条　建设和运行污水集中处理设施、固体废物处置设施，应当依照法律法规规定和相关标准的要求，采取有效措施防止土壤污染。</w:t>
                  </w:r>
                </w:p>
              </w:tc>
              <w:tc>
                <w:tcPr>
                  <w:tcW w:w="1846" w:type="pct"/>
                  <w:tcMar>
                    <w:top w:w="0" w:type="dxa"/>
                    <w:left w:w="57" w:type="dxa"/>
                    <w:bottom w:w="0" w:type="dxa"/>
                    <w:right w:w="57" w:type="dxa"/>
                  </w:tcMar>
                  <w:vAlign w:val="center"/>
                </w:tcPr>
                <w:p w14:paraId="22B72D23">
                  <w:pPr>
                    <w:adjustRightInd w:val="0"/>
                    <w:spacing w:line="240" w:lineRule="auto"/>
                    <w:ind w:firstLine="420"/>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项目收集雨水的沉砂池进行一般防渗，危废暂存间进行重点防渗。</w:t>
                  </w:r>
                </w:p>
              </w:tc>
              <w:tc>
                <w:tcPr>
                  <w:tcW w:w="446" w:type="pct"/>
                  <w:tcMar>
                    <w:top w:w="0" w:type="dxa"/>
                    <w:left w:w="57" w:type="dxa"/>
                    <w:bottom w:w="0" w:type="dxa"/>
                    <w:right w:w="57" w:type="dxa"/>
                  </w:tcMar>
                  <w:vAlign w:val="center"/>
                </w:tcPr>
                <w:p w14:paraId="6DC3ACE0">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7210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706" w:type="pct"/>
                  <w:tcMar>
                    <w:top w:w="0" w:type="dxa"/>
                    <w:left w:w="57" w:type="dxa"/>
                    <w:bottom w:w="0" w:type="dxa"/>
                    <w:right w:w="57" w:type="dxa"/>
                  </w:tcMar>
                  <w:vAlign w:val="center"/>
                </w:tcPr>
                <w:p w14:paraId="7EFCD8D4">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第四百二十八条　对开发建设过程中剥离的表土，应当单独收集和存放，符合条件的应当优先用于土地复垦、土壤改良、造地和绿化等。</w:t>
                  </w:r>
                </w:p>
              </w:tc>
              <w:tc>
                <w:tcPr>
                  <w:tcW w:w="1846" w:type="pct"/>
                  <w:tcMar>
                    <w:top w:w="0" w:type="dxa"/>
                    <w:left w:w="57" w:type="dxa"/>
                    <w:bottom w:w="0" w:type="dxa"/>
                    <w:right w:w="57" w:type="dxa"/>
                  </w:tcMar>
                  <w:vAlign w:val="center"/>
                </w:tcPr>
                <w:p w14:paraId="0EE5B7A7">
                  <w:pPr>
                    <w:adjustRightInd w:val="0"/>
                    <w:spacing w:line="240" w:lineRule="auto"/>
                    <w:ind w:firstLine="420"/>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项目剥离表土暂存于矿界西侧临时表土堆场，用于采空区覆土，进行植被恢复。</w:t>
                  </w:r>
                </w:p>
              </w:tc>
              <w:tc>
                <w:tcPr>
                  <w:tcW w:w="446" w:type="pct"/>
                  <w:tcMar>
                    <w:top w:w="0" w:type="dxa"/>
                    <w:left w:w="57" w:type="dxa"/>
                    <w:bottom w:w="0" w:type="dxa"/>
                    <w:right w:w="57" w:type="dxa"/>
                  </w:tcMar>
                  <w:vAlign w:val="center"/>
                </w:tcPr>
                <w:p w14:paraId="2985B06C">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3CA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2706" w:type="pct"/>
                  <w:tcMar>
                    <w:top w:w="0" w:type="dxa"/>
                    <w:left w:w="57" w:type="dxa"/>
                    <w:bottom w:w="0" w:type="dxa"/>
                    <w:right w:w="57" w:type="dxa"/>
                  </w:tcMar>
                  <w:vAlign w:val="center"/>
                </w:tcPr>
                <w:p w14:paraId="7F26C3DC">
                  <w:pPr>
                    <w:adjustRightInd w:val="0"/>
                    <w:spacing w:line="240" w:lineRule="auto"/>
                    <w:ind w:firstLine="420"/>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第四百九十六条　矿产资源的勘查、开采，应当采用有利于保护生态环境和防止固体废物污染的勘查、开采方法和工艺技术，减少尾矿、煤矸石、废石等矿业固体废物的产生量和贮存量。</w:t>
                  </w:r>
                </w:p>
                <w:p w14:paraId="7D255AAB">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尾矿、煤矸石、废石等矿业固体废物贮存设施停止使用后，矿山企业应当按照国家有关生态环境保护等规定进行封场，防止造成环境污染和生态破坏。</w:t>
                  </w:r>
                </w:p>
              </w:tc>
              <w:tc>
                <w:tcPr>
                  <w:tcW w:w="1846" w:type="pct"/>
                  <w:tcMar>
                    <w:top w:w="0" w:type="dxa"/>
                    <w:left w:w="57" w:type="dxa"/>
                    <w:bottom w:w="0" w:type="dxa"/>
                    <w:right w:w="57" w:type="dxa"/>
                  </w:tcMar>
                  <w:vAlign w:val="center"/>
                </w:tcPr>
                <w:p w14:paraId="64BFF360">
                  <w:pPr>
                    <w:adjustRightInd w:val="0"/>
                    <w:spacing w:line="240" w:lineRule="auto"/>
                    <w:ind w:firstLine="420"/>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项目为建筑石料用砂岩矿开采，采用湿式凿岩，破碎站全封闭，砂料堆场顶棚+三面围挡，项目不设尾矿库，剥离表土暂存于临时表土堆场，用于采空区覆土，进行植被恢复。</w:t>
                  </w:r>
                </w:p>
              </w:tc>
              <w:tc>
                <w:tcPr>
                  <w:tcW w:w="446" w:type="pct"/>
                  <w:tcMar>
                    <w:top w:w="0" w:type="dxa"/>
                    <w:left w:w="57" w:type="dxa"/>
                    <w:bottom w:w="0" w:type="dxa"/>
                    <w:right w:w="57" w:type="dxa"/>
                  </w:tcMar>
                  <w:vAlign w:val="center"/>
                </w:tcPr>
                <w:p w14:paraId="3E51E50D">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E98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2706" w:type="pct"/>
                  <w:tcMar>
                    <w:top w:w="0" w:type="dxa"/>
                    <w:left w:w="57" w:type="dxa"/>
                    <w:bottom w:w="0" w:type="dxa"/>
                    <w:right w:w="57" w:type="dxa"/>
                  </w:tcMar>
                  <w:vAlign w:val="center"/>
                </w:tcPr>
                <w:p w14:paraId="3A31A415">
                  <w:pPr>
                    <w:adjustRightInd w:val="0"/>
                    <w:spacing w:line="240" w:lineRule="auto"/>
                    <w:ind w:firstLine="420"/>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第五百零六条　产生生活垃圾的单位、家庭和个人应当依法履行生活垃圾源头减量和分类投放义务，承担生活垃圾产生者责任。</w:t>
                  </w:r>
                </w:p>
                <w:p w14:paraId="795474F0">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任何单位和个人都应当依法在指定的地点分类投放生活垃圾。禁止随意倾倒、堆放、丢弃、抛撒、遗撒或者焚烧生活垃圾。</w:t>
                  </w:r>
                </w:p>
              </w:tc>
              <w:tc>
                <w:tcPr>
                  <w:tcW w:w="1846" w:type="pct"/>
                  <w:tcMar>
                    <w:top w:w="0" w:type="dxa"/>
                    <w:left w:w="57" w:type="dxa"/>
                    <w:bottom w:w="0" w:type="dxa"/>
                    <w:right w:w="57" w:type="dxa"/>
                  </w:tcMar>
                  <w:vAlign w:val="center"/>
                </w:tcPr>
                <w:p w14:paraId="5FFA7400">
                  <w:pPr>
                    <w:adjustRightInd w:val="0"/>
                    <w:spacing w:line="240" w:lineRule="auto"/>
                    <w:ind w:firstLine="420"/>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项目产生生活垃圾集中收集后运送至村镇垃圾收集点，由环卫部门清运处置。</w:t>
                  </w:r>
                </w:p>
              </w:tc>
              <w:tc>
                <w:tcPr>
                  <w:tcW w:w="446" w:type="pct"/>
                  <w:tcMar>
                    <w:top w:w="0" w:type="dxa"/>
                    <w:left w:w="57" w:type="dxa"/>
                    <w:bottom w:w="0" w:type="dxa"/>
                    <w:right w:w="57" w:type="dxa"/>
                  </w:tcMar>
                  <w:vAlign w:val="center"/>
                </w:tcPr>
                <w:p w14:paraId="22355ACC">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4F90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2706" w:type="pct"/>
                  <w:tcMar>
                    <w:top w:w="0" w:type="dxa"/>
                    <w:left w:w="57" w:type="dxa"/>
                    <w:bottom w:w="0" w:type="dxa"/>
                    <w:right w:w="57" w:type="dxa"/>
                  </w:tcMar>
                  <w:vAlign w:val="center"/>
                </w:tcPr>
                <w:p w14:paraId="15DE8099">
                  <w:pPr>
                    <w:keepNext w:val="0"/>
                    <w:keepLines w:val="0"/>
                    <w:pageBreakBefore w:val="0"/>
                    <w:widowControl w:val="0"/>
                    <w:kinsoku/>
                    <w:wordWrap/>
                    <w:overflowPunct/>
                    <w:topLinePunct w:val="0"/>
                    <w:autoSpaceDE/>
                    <w:autoSpaceDN/>
                    <w:bidi w:val="0"/>
                    <w:adjustRightInd w:val="0"/>
                    <w:snapToGrid/>
                    <w:spacing w:line="240" w:lineRule="auto"/>
                    <w:ind w:left="0" w:leftChars="0" w:firstLine="420" w:firstLineChars="200"/>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第五百一十八条　县级以上地方人民政府环境卫生主管部门负责建筑垃圾污染防治工作，建立健全建筑垃圾全过程管理制度，按照规定实行联单管理，规范建筑垃圾产生、收集、贮存、运输、利用、处置行为，推进综合利用，加强建筑垃圾处置等设施、场所建设，保障处置安全，防止污染环境。建筑垃圾管理的具体办法由国务院住房城乡建设主管部门制定。</w:t>
                  </w:r>
                </w:p>
                <w:p w14:paraId="4F9FB715">
                  <w:pPr>
                    <w:keepNext w:val="0"/>
                    <w:keepLines w:val="0"/>
                    <w:pageBreakBefore w:val="0"/>
                    <w:widowControl w:val="0"/>
                    <w:kinsoku/>
                    <w:wordWrap/>
                    <w:overflowPunct/>
                    <w:topLinePunct w:val="0"/>
                    <w:autoSpaceDE/>
                    <w:autoSpaceDN/>
                    <w:bidi w:val="0"/>
                    <w:adjustRightInd w:val="0"/>
                    <w:snapToGrid/>
                    <w:spacing w:line="240" w:lineRule="auto"/>
                    <w:ind w:left="0" w:leftChars="0" w:firstLine="420" w:firstLineChars="20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任何单位和个人不得擅自倾倒、堆放、丢弃、抛撒、遗撒或者焚烧建筑垃圾。</w:t>
                  </w:r>
                </w:p>
              </w:tc>
              <w:tc>
                <w:tcPr>
                  <w:tcW w:w="1846" w:type="pct"/>
                  <w:tcMar>
                    <w:top w:w="0" w:type="dxa"/>
                    <w:left w:w="57" w:type="dxa"/>
                    <w:bottom w:w="0" w:type="dxa"/>
                    <w:right w:w="57" w:type="dxa"/>
                  </w:tcMar>
                  <w:vAlign w:val="center"/>
                </w:tcPr>
                <w:p w14:paraId="1F593ACB">
                  <w:pPr>
                    <w:adjustRightInd w:val="0"/>
                    <w:spacing w:line="240" w:lineRule="auto"/>
                    <w:ind w:firstLine="420"/>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项目施工期建筑垃圾，清运至建筑垃圾处置点。</w:t>
                  </w:r>
                </w:p>
              </w:tc>
              <w:tc>
                <w:tcPr>
                  <w:tcW w:w="446" w:type="pct"/>
                  <w:tcMar>
                    <w:top w:w="0" w:type="dxa"/>
                    <w:left w:w="57" w:type="dxa"/>
                    <w:bottom w:w="0" w:type="dxa"/>
                    <w:right w:w="57" w:type="dxa"/>
                  </w:tcMar>
                  <w:vAlign w:val="center"/>
                </w:tcPr>
                <w:p w14:paraId="18B8DC69">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AB9A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706" w:type="pct"/>
                  <w:tcMar>
                    <w:top w:w="0" w:type="dxa"/>
                    <w:left w:w="57" w:type="dxa"/>
                    <w:bottom w:w="0" w:type="dxa"/>
                    <w:right w:w="57" w:type="dxa"/>
                  </w:tcMar>
                  <w:vAlign w:val="center"/>
                </w:tcPr>
                <w:p w14:paraId="4BBBA69B">
                  <w:pPr>
                    <w:adjustRightInd w:val="0"/>
                    <w:spacing w:line="240" w:lineRule="auto"/>
                    <w:ind w:firstLine="420"/>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第五百三十三条　产生危险废物的单位，应当按照国家规定和生态环境保护标准的要求贮存、利用、处置危险废物。</w:t>
                  </w:r>
                </w:p>
                <w:p w14:paraId="58523183">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任何单位和个人不得擅自倾倒、堆放、丢弃、抛撒、遗撒或者焚烧危险废物。</w:t>
                  </w:r>
                </w:p>
              </w:tc>
              <w:tc>
                <w:tcPr>
                  <w:tcW w:w="1846" w:type="pct"/>
                  <w:tcMar>
                    <w:top w:w="0" w:type="dxa"/>
                    <w:left w:w="57" w:type="dxa"/>
                    <w:bottom w:w="0" w:type="dxa"/>
                    <w:right w:w="57" w:type="dxa"/>
                  </w:tcMar>
                  <w:vAlign w:val="center"/>
                </w:tcPr>
                <w:p w14:paraId="7F367604">
                  <w:pPr>
                    <w:adjustRightInd w:val="0"/>
                    <w:spacing w:line="240" w:lineRule="auto"/>
                    <w:ind w:firstLine="420"/>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项目废机油等危险废物暂存于危废暂存间，委托有资质单位清运处置。</w:t>
                  </w:r>
                </w:p>
              </w:tc>
              <w:tc>
                <w:tcPr>
                  <w:tcW w:w="446" w:type="pct"/>
                  <w:tcMar>
                    <w:top w:w="0" w:type="dxa"/>
                    <w:left w:w="57" w:type="dxa"/>
                    <w:bottom w:w="0" w:type="dxa"/>
                    <w:right w:w="57" w:type="dxa"/>
                  </w:tcMar>
                  <w:vAlign w:val="center"/>
                </w:tcPr>
                <w:p w14:paraId="037F88BA">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021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706" w:type="pct"/>
                  <w:tcMar>
                    <w:top w:w="0" w:type="dxa"/>
                    <w:left w:w="57" w:type="dxa"/>
                    <w:bottom w:w="0" w:type="dxa"/>
                    <w:right w:w="57" w:type="dxa"/>
                  </w:tcMar>
                  <w:vAlign w:val="center"/>
                </w:tcPr>
                <w:p w14:paraId="5F71F28D">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第七百七十一条　矿产资源的勘查、开采以及矿区生态修复，应当坚持开发利用与保护并重，实现绿色发展。国家鼓励、支持矿业绿色低碳转型发展，加强绿色矿山建设。</w:t>
                  </w:r>
                </w:p>
              </w:tc>
              <w:tc>
                <w:tcPr>
                  <w:tcW w:w="1846" w:type="pct"/>
                  <w:tcMar>
                    <w:top w:w="0" w:type="dxa"/>
                    <w:left w:w="57" w:type="dxa"/>
                    <w:bottom w:w="0" w:type="dxa"/>
                    <w:right w:w="57" w:type="dxa"/>
                  </w:tcMar>
                  <w:vAlign w:val="center"/>
                </w:tcPr>
                <w:p w14:paraId="747865A7">
                  <w:pPr>
                    <w:adjustRightInd w:val="0"/>
                    <w:spacing w:line="240" w:lineRule="auto"/>
                    <w:ind w:firstLine="420"/>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项目开采区实行“边开采边恢复”制度，剥离表土用于采空区覆土，进行植被恢复。</w:t>
                  </w:r>
                </w:p>
              </w:tc>
              <w:tc>
                <w:tcPr>
                  <w:tcW w:w="446" w:type="pct"/>
                  <w:tcMar>
                    <w:top w:w="0" w:type="dxa"/>
                    <w:left w:w="57" w:type="dxa"/>
                    <w:bottom w:w="0" w:type="dxa"/>
                    <w:right w:w="57" w:type="dxa"/>
                  </w:tcMar>
                  <w:vAlign w:val="center"/>
                </w:tcPr>
                <w:p w14:paraId="3C1608B6">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933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jc w:val="center"/>
              </w:trPr>
              <w:tc>
                <w:tcPr>
                  <w:tcW w:w="2706" w:type="pct"/>
                  <w:tcMar>
                    <w:top w:w="0" w:type="dxa"/>
                    <w:left w:w="57" w:type="dxa"/>
                    <w:bottom w:w="0" w:type="dxa"/>
                    <w:right w:w="57" w:type="dxa"/>
                  </w:tcMar>
                  <w:vAlign w:val="center"/>
                </w:tcPr>
                <w:p w14:paraId="600B7860">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第七百七十五条　开采矿产资源，应当采取合理的开采顺序、开采方法；采取有效措施保护地下水资源，并优先使用矿井水；避免、减少对矿区森林、草原、耕地、湿地、江河湖泊、海洋等生态系统的破坏；加强对尾矿库建设、运行、闭库等活动的管理，防范生态环境风险。</w:t>
                  </w:r>
                </w:p>
              </w:tc>
              <w:tc>
                <w:tcPr>
                  <w:tcW w:w="1846" w:type="pct"/>
                  <w:tcMar>
                    <w:top w:w="0" w:type="dxa"/>
                    <w:left w:w="57" w:type="dxa"/>
                    <w:bottom w:w="0" w:type="dxa"/>
                    <w:right w:w="57" w:type="dxa"/>
                  </w:tcMar>
                  <w:vAlign w:val="center"/>
                </w:tcPr>
                <w:p w14:paraId="004D64EE">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项目为建筑石料用砂岩矿开采，采用湿式凿岩，由上而下分台阶进行开采，采区实行“边开采边恢复”制度；项目不会产生有害污染物，雨天淋滤水通过开采区底部四周排水沟，收集到沉砂池，非雨天用于矿区洒水降尘，不外排；项目不超矿权范围进行开采；项目不设尾矿库，剥离表土暂存于临时表土堆场，用于采空区覆土，进行植被恢复。</w:t>
                  </w:r>
                </w:p>
              </w:tc>
              <w:tc>
                <w:tcPr>
                  <w:tcW w:w="446" w:type="pct"/>
                  <w:tcMar>
                    <w:top w:w="0" w:type="dxa"/>
                    <w:left w:w="57" w:type="dxa"/>
                    <w:bottom w:w="0" w:type="dxa"/>
                    <w:right w:w="57" w:type="dxa"/>
                  </w:tcMar>
                  <w:vAlign w:val="center"/>
                </w:tcPr>
                <w:p w14:paraId="0635039C">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236B1705">
            <w:pPr>
              <w:spacing w:before="156" w:beforeLines="50"/>
              <w:ind w:firstLine="480"/>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bidi="ar"/>
              </w:rPr>
              <w:t>根据上表分析，本项目的建设符合《</w:t>
            </w:r>
            <w:r>
              <w:rPr>
                <w:rFonts w:hint="eastAsia" w:cs="Times New Roman"/>
                <w:color w:val="auto"/>
                <w:highlight w:val="none"/>
                <w:lang w:val="en-US" w:eastAsia="zh-CN"/>
              </w:rPr>
              <w:t>中华人民共和国生态环境法典</w:t>
            </w:r>
            <w:r>
              <w:rPr>
                <w:rFonts w:hint="default" w:ascii="Times New Roman" w:hAnsi="Times New Roman" w:cs="Times New Roman"/>
                <w:color w:val="auto"/>
                <w:highlight w:val="none"/>
                <w:lang w:bidi="ar"/>
              </w:rPr>
              <w:t>》中的</w:t>
            </w:r>
            <w:r>
              <w:rPr>
                <w:rFonts w:hint="eastAsia" w:cs="Times New Roman"/>
                <w:color w:val="auto"/>
                <w:highlight w:val="none"/>
                <w:lang w:val="en-US" w:eastAsia="zh-CN" w:bidi="ar"/>
              </w:rPr>
              <w:t>相关法律规定</w:t>
            </w:r>
            <w:r>
              <w:rPr>
                <w:rFonts w:hint="default" w:ascii="Times New Roman" w:hAnsi="Times New Roman" w:cs="Times New Roman"/>
                <w:color w:val="auto"/>
                <w:highlight w:val="none"/>
                <w:lang w:bidi="ar"/>
              </w:rPr>
              <w:t>。</w:t>
            </w:r>
          </w:p>
          <w:p w14:paraId="49A5BDE8">
            <w:pPr>
              <w:pStyle w:val="10"/>
              <w:numPr>
                <w:ilvl w:val="0"/>
                <w:numId w:val="0"/>
              </w:numPr>
              <w:ind w:firstLine="482" w:firstLineChars="200"/>
              <w:rPr>
                <w:rFonts w:hint="eastAsia" w:ascii="Times New Roman" w:hAnsi="Times New Roman" w:eastAsia="宋体" w:cs="Times New Roman"/>
                <w:b/>
                <w:bCs/>
                <w:color w:val="auto"/>
                <w:kern w:val="2"/>
                <w:sz w:val="24"/>
                <w:szCs w:val="22"/>
                <w:highlight w:val="none"/>
                <w:lang w:val="en-US" w:eastAsia="zh-CN" w:bidi="ar"/>
              </w:rPr>
            </w:pPr>
            <w:r>
              <w:rPr>
                <w:rFonts w:hint="eastAsia" w:ascii="Times New Roman" w:hAnsi="Times New Roman" w:eastAsia="宋体" w:cs="Times New Roman"/>
                <w:b/>
                <w:bCs/>
                <w:color w:val="auto"/>
                <w:kern w:val="2"/>
                <w:sz w:val="24"/>
                <w:szCs w:val="22"/>
                <w:lang w:val="en-US" w:eastAsia="zh-CN" w:bidi="ar"/>
              </w:rPr>
              <w:t>12、</w:t>
            </w:r>
            <w:r>
              <w:rPr>
                <w:rFonts w:hint="eastAsia" w:ascii="Times New Roman" w:hAnsi="Times New Roman" w:eastAsia="宋体" w:cs="Times New Roman"/>
                <w:b/>
                <w:bCs/>
                <w:color w:val="auto"/>
                <w:kern w:val="2"/>
                <w:sz w:val="24"/>
                <w:szCs w:val="22"/>
                <w:highlight w:val="none"/>
                <w:lang w:val="en-US" w:eastAsia="zh-CN" w:bidi="ar"/>
              </w:rPr>
              <w:t>与《昆明市空气质量持续改善行动实施方案》相关符合性分析</w:t>
            </w:r>
          </w:p>
          <w:p w14:paraId="35D0D665">
            <w:pPr>
              <w:pStyle w:val="1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本项目与《</w:t>
            </w:r>
            <w:r>
              <w:rPr>
                <w:rFonts w:hint="default" w:ascii="Times New Roman" w:hAnsi="Times New Roman" w:cs="Times New Roman"/>
                <w:color w:val="auto"/>
                <w:highlight w:val="none"/>
                <w:lang w:val="en-US" w:eastAsia="zh-CN"/>
              </w:rPr>
              <w:t>昆明市空气质量持续改善行动实施方案</w:t>
            </w:r>
            <w:r>
              <w:rPr>
                <w:rFonts w:hint="default" w:ascii="Times New Roman" w:hAnsi="Times New Roman" w:cs="Times New Roman"/>
                <w:color w:val="auto"/>
                <w:highlight w:val="none"/>
              </w:rPr>
              <w:t>》符合性分析见表1-1</w:t>
            </w:r>
            <w:r>
              <w:rPr>
                <w:rFonts w:hint="eastAsia" w:cs="Times New Roman"/>
                <w:color w:val="auto"/>
                <w:highlight w:val="none"/>
                <w:lang w:val="en-US" w:eastAsia="zh-CN"/>
              </w:rPr>
              <w:t>6</w:t>
            </w:r>
            <w:r>
              <w:rPr>
                <w:rFonts w:hint="default" w:ascii="Times New Roman" w:hAnsi="Times New Roman" w:cs="Times New Roman"/>
                <w:color w:val="auto"/>
                <w:highlight w:val="none"/>
              </w:rPr>
              <w:t>所示。</w:t>
            </w:r>
          </w:p>
          <w:p w14:paraId="39F73AA0">
            <w:pPr>
              <w:autoSpaceDE w:val="0"/>
              <w:autoSpaceDN w:val="0"/>
              <w:adjustRightInd w:val="0"/>
              <w:spacing w:line="240" w:lineRule="auto"/>
              <w:ind w:firstLine="0" w:firstLineChars="0"/>
              <w:jc w:val="center"/>
              <w:rPr>
                <w:rFonts w:hint="default" w:ascii="Times New Roman" w:hAnsi="Times New Roman" w:cs="Times New Roman"/>
                <w:b/>
                <w:bCs/>
                <w:snapToGrid w:val="0"/>
                <w:color w:val="auto"/>
                <w:kern w:val="0"/>
                <w:sz w:val="21"/>
                <w:szCs w:val="21"/>
                <w:highlight w:val="none"/>
              </w:rPr>
            </w:pPr>
            <w:r>
              <w:rPr>
                <w:rFonts w:hint="default" w:ascii="Times New Roman" w:hAnsi="Times New Roman" w:cs="Times New Roman"/>
                <w:b/>
                <w:bCs/>
                <w:snapToGrid w:val="0"/>
                <w:color w:val="auto"/>
                <w:kern w:val="0"/>
                <w:sz w:val="21"/>
                <w:szCs w:val="21"/>
                <w:highlight w:val="none"/>
              </w:rPr>
              <w:t>表1-1</w:t>
            </w:r>
            <w:r>
              <w:rPr>
                <w:rFonts w:hint="eastAsia" w:cs="Times New Roman"/>
                <w:b/>
                <w:bCs/>
                <w:snapToGrid w:val="0"/>
                <w:color w:val="auto"/>
                <w:kern w:val="0"/>
                <w:sz w:val="21"/>
                <w:szCs w:val="21"/>
                <w:highlight w:val="none"/>
                <w:lang w:val="en-US" w:eastAsia="zh-CN"/>
              </w:rPr>
              <w:t>6</w:t>
            </w:r>
            <w:r>
              <w:rPr>
                <w:rFonts w:hint="default" w:ascii="Times New Roman" w:hAnsi="Times New Roman" w:cs="Times New Roman"/>
                <w:b/>
                <w:bCs/>
                <w:snapToGrid w:val="0"/>
                <w:color w:val="auto"/>
                <w:kern w:val="0"/>
                <w:sz w:val="21"/>
                <w:szCs w:val="21"/>
                <w:highlight w:val="none"/>
              </w:rPr>
              <w:t xml:space="preserve"> 本项目与《</w:t>
            </w:r>
            <w:r>
              <w:rPr>
                <w:rFonts w:hint="default" w:ascii="Times New Roman" w:hAnsi="Times New Roman" w:cs="Times New Roman"/>
                <w:b/>
                <w:bCs/>
                <w:snapToGrid w:val="0"/>
                <w:color w:val="auto"/>
                <w:kern w:val="0"/>
                <w:sz w:val="21"/>
                <w:szCs w:val="21"/>
                <w:highlight w:val="none"/>
                <w:lang w:val="en-US" w:eastAsia="zh-CN"/>
              </w:rPr>
              <w:t>昆明市空气质量持续改善行动实施方案</w:t>
            </w:r>
            <w:r>
              <w:rPr>
                <w:rFonts w:hint="default" w:ascii="Times New Roman" w:hAnsi="Times New Roman" w:cs="Times New Roman"/>
                <w:b/>
                <w:bCs/>
                <w:snapToGrid w:val="0"/>
                <w:color w:val="auto"/>
                <w:kern w:val="0"/>
                <w:sz w:val="21"/>
                <w:szCs w:val="21"/>
                <w:highlight w:val="none"/>
              </w:rPr>
              <w:t>》符合性分析一览表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3"/>
              <w:gridCol w:w="2875"/>
              <w:gridCol w:w="695"/>
            </w:tblGrid>
            <w:tr w14:paraId="1A01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706" w:type="pct"/>
                  <w:tcMar>
                    <w:top w:w="0" w:type="dxa"/>
                    <w:left w:w="57" w:type="dxa"/>
                    <w:bottom w:w="0" w:type="dxa"/>
                    <w:right w:w="57" w:type="dxa"/>
                  </w:tcMar>
                  <w:vAlign w:val="center"/>
                </w:tcPr>
                <w:p w14:paraId="03E57C2C">
                  <w:pPr>
                    <w:adjustRightInd w:val="0"/>
                    <w:spacing w:line="240" w:lineRule="auto"/>
                    <w:ind w:firstLine="0" w:firstLineChars="0"/>
                    <w:jc w:val="center"/>
                    <w:textAlignment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方案内容</w:t>
                  </w:r>
                </w:p>
              </w:tc>
              <w:tc>
                <w:tcPr>
                  <w:tcW w:w="1846" w:type="pct"/>
                  <w:tcMar>
                    <w:top w:w="0" w:type="dxa"/>
                    <w:left w:w="57" w:type="dxa"/>
                    <w:bottom w:w="0" w:type="dxa"/>
                    <w:right w:w="57" w:type="dxa"/>
                  </w:tcMar>
                  <w:vAlign w:val="center"/>
                </w:tcPr>
                <w:p w14:paraId="3A9011F1">
                  <w:pPr>
                    <w:adjustRightInd w:val="0"/>
                    <w:spacing w:line="240" w:lineRule="auto"/>
                    <w:ind w:firstLine="0" w:firstLineChars="0"/>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本项目情况</w:t>
                  </w:r>
                </w:p>
              </w:tc>
              <w:tc>
                <w:tcPr>
                  <w:tcW w:w="446" w:type="pct"/>
                  <w:tcMar>
                    <w:top w:w="0" w:type="dxa"/>
                    <w:left w:w="57" w:type="dxa"/>
                    <w:bottom w:w="0" w:type="dxa"/>
                    <w:right w:w="57" w:type="dxa"/>
                  </w:tcMar>
                  <w:vAlign w:val="center"/>
                </w:tcPr>
                <w:p w14:paraId="68269AAC">
                  <w:pPr>
                    <w:adjustRightInd w:val="0"/>
                    <w:spacing w:line="240" w:lineRule="auto"/>
                    <w:ind w:firstLine="0" w:firstLineChars="0"/>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符合性</w:t>
                  </w:r>
                </w:p>
              </w:tc>
            </w:tr>
            <w:tr w14:paraId="0341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2706" w:type="pct"/>
                  <w:tcMar>
                    <w:top w:w="0" w:type="dxa"/>
                    <w:left w:w="57" w:type="dxa"/>
                    <w:bottom w:w="0" w:type="dxa"/>
                    <w:right w:w="57" w:type="dxa"/>
                  </w:tcMar>
                  <w:vAlign w:val="center"/>
                </w:tcPr>
                <w:p w14:paraId="515AAB51">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一、 目标任务</w:t>
                  </w:r>
                </w:p>
                <w:p w14:paraId="234416FE">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2025年，全市PM2.5平均浓度控制在24微克/立方米以内，空气质量优良天数比率达到99.1％，不出现重度及以上污染天气，各县（市）区空气质量持续改善，氮氧化物、VOCs减排量达到国家要求。</w:t>
                  </w:r>
                </w:p>
              </w:tc>
              <w:tc>
                <w:tcPr>
                  <w:tcW w:w="1846" w:type="pct"/>
                  <w:tcMar>
                    <w:top w:w="0" w:type="dxa"/>
                    <w:left w:w="57" w:type="dxa"/>
                    <w:bottom w:w="0" w:type="dxa"/>
                    <w:right w:w="57" w:type="dxa"/>
                  </w:tcMar>
                  <w:vAlign w:val="center"/>
                </w:tcPr>
                <w:p w14:paraId="359511DA">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根据《2024年度昆明市生态环境状况公报》，2024年昆明市主城区外所辖的8个县（市）、区环境空气质量总体保持良好，各项污染物平均浓度均达到《环境空气质量标准》（GB3095-20</w:t>
                  </w:r>
                  <w:r>
                    <w:rPr>
                      <w:rFonts w:hint="eastAsia" w:cs="Times New Roman"/>
                      <w:color w:val="auto"/>
                      <w:sz w:val="21"/>
                      <w:szCs w:val="21"/>
                      <w:highlight w:val="none"/>
                      <w:lang w:val="en-US" w:eastAsia="zh-CN"/>
                    </w:rPr>
                    <w:t>12</w:t>
                  </w:r>
                  <w:r>
                    <w:rPr>
                      <w:rFonts w:hint="default" w:ascii="Times New Roman" w:hAnsi="Times New Roman" w:cs="Times New Roman"/>
                      <w:color w:val="auto"/>
                      <w:sz w:val="21"/>
                      <w:szCs w:val="21"/>
                      <w:highlight w:val="none"/>
                    </w:rPr>
                    <w:t>）二级标准；空气优良天数比例范围为97.50%~100%，与2023年相比，石林县、富民县、宜良县、东川区、寻甸县、嵩明县、禄劝县空气优良天数比例均有提高。本项目在建设运营过程中加强环境管理，严格落实设计及环评提出的各项废气污染防治措施，项目正常排放条件下废气污染物对环境的影响可接受。</w:t>
                  </w:r>
                </w:p>
              </w:tc>
              <w:tc>
                <w:tcPr>
                  <w:tcW w:w="446" w:type="pct"/>
                  <w:tcMar>
                    <w:top w:w="0" w:type="dxa"/>
                    <w:left w:w="57" w:type="dxa"/>
                    <w:bottom w:w="0" w:type="dxa"/>
                    <w:right w:w="57" w:type="dxa"/>
                  </w:tcMar>
                  <w:vAlign w:val="center"/>
                </w:tcPr>
                <w:p w14:paraId="1A4DDA6D">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CE8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706" w:type="pct"/>
                  <w:tcMar>
                    <w:top w:w="0" w:type="dxa"/>
                    <w:left w:w="57" w:type="dxa"/>
                    <w:bottom w:w="0" w:type="dxa"/>
                    <w:right w:w="57" w:type="dxa"/>
                  </w:tcMar>
                  <w:vAlign w:val="center"/>
                </w:tcPr>
                <w:p w14:paraId="0DB99684">
                  <w:pPr>
                    <w:adjustRightInd w:val="0"/>
                    <w:spacing w:line="240" w:lineRule="auto"/>
                    <w:ind w:firstLine="420"/>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二、 优化产业结构，促进产业产品绿色升级</w:t>
                  </w:r>
                </w:p>
                <w:p w14:paraId="2E016B5B">
                  <w:pPr>
                    <w:adjustRightInd w:val="0"/>
                    <w:spacing w:line="240" w:lineRule="auto"/>
                    <w:ind w:firstLine="420"/>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一）坚决遏制“两高一低”项目盲目上马。完成生态保护红线、环境质量底线、资源利用上线、环境准入清单编制并运用。新改扩建“两高一低”项目要严格落实国家、省、市产业规划、产业政策、生态环境分区管控、环境影响评价、规划环评、项目环评、节能审查、产能置换、重点污染物总量控制、污染物排放区域削减、碳排放达峰目标等相关要求，原则上采用清洁运输方式。</w:t>
                  </w:r>
                </w:p>
              </w:tc>
              <w:tc>
                <w:tcPr>
                  <w:tcW w:w="1846" w:type="pct"/>
                  <w:tcMar>
                    <w:top w:w="0" w:type="dxa"/>
                    <w:left w:w="57" w:type="dxa"/>
                    <w:bottom w:w="0" w:type="dxa"/>
                    <w:right w:w="57" w:type="dxa"/>
                  </w:tcMar>
                  <w:vAlign w:val="center"/>
                </w:tcPr>
                <w:p w14:paraId="5AD095A3">
                  <w:pPr>
                    <w:adjustRightInd w:val="0"/>
                    <w:spacing w:line="240" w:lineRule="auto"/>
                    <w:ind w:firstLine="420"/>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项目不属于“两高一低”项目，项目废水不外排，固废处置100%，废气达标排放，运输车辆离场进行清洗和覆盖篷布。</w:t>
                  </w:r>
                </w:p>
              </w:tc>
              <w:tc>
                <w:tcPr>
                  <w:tcW w:w="446" w:type="pct"/>
                  <w:tcMar>
                    <w:top w:w="0" w:type="dxa"/>
                    <w:left w:w="57" w:type="dxa"/>
                    <w:bottom w:w="0" w:type="dxa"/>
                    <w:right w:w="57" w:type="dxa"/>
                  </w:tcMar>
                  <w:vAlign w:val="center"/>
                </w:tcPr>
                <w:p w14:paraId="15166391">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9BB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2706" w:type="pct"/>
                  <w:tcMar>
                    <w:top w:w="0" w:type="dxa"/>
                    <w:left w:w="57" w:type="dxa"/>
                    <w:bottom w:w="0" w:type="dxa"/>
                    <w:right w:w="57" w:type="dxa"/>
                  </w:tcMar>
                  <w:vAlign w:val="center"/>
                </w:tcPr>
                <w:p w14:paraId="75419D34">
                  <w:pPr>
                    <w:adjustRightInd w:val="0"/>
                    <w:spacing w:line="240" w:lineRule="auto"/>
                    <w:ind w:firstLine="420"/>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五、 提升面源污染治理精细化管理水平</w:t>
                  </w:r>
                </w:p>
                <w:p w14:paraId="392A3B13">
                  <w:pPr>
                    <w:adjustRightInd w:val="0"/>
                    <w:spacing w:line="240" w:lineRule="auto"/>
                    <w:ind w:firstLine="420"/>
                    <w:textAlignment w:val="center"/>
                    <w:rPr>
                      <w:rFonts w:hint="default"/>
                      <w:color w:val="auto"/>
                      <w:lang w:val="en-US" w:eastAsia="zh-CN"/>
                    </w:rPr>
                  </w:pPr>
                  <w:r>
                    <w:rPr>
                      <w:rFonts w:hint="default" w:ascii="Times New Roman" w:hAnsi="Times New Roman" w:cs="Times New Roman"/>
                      <w:color w:val="auto"/>
                      <w:sz w:val="21"/>
                      <w:szCs w:val="21"/>
                      <w:highlight w:val="none"/>
                      <w:lang w:val="en-US" w:eastAsia="zh-CN"/>
                    </w:rPr>
                    <w:t>（十四）深化扬尘污染综合治理管控。大力推进道路、建筑施工工地、码头、工矿企业堆场扬尘治理。严格落实施工扬尘监管，落实建筑施工工地“六个百分之百”要求，加强自动冲洗、自动喷淋、雾炮、洒水等扬尘防控作业。</w:t>
                  </w:r>
                </w:p>
              </w:tc>
              <w:tc>
                <w:tcPr>
                  <w:tcW w:w="1846" w:type="pct"/>
                  <w:tcMar>
                    <w:top w:w="0" w:type="dxa"/>
                    <w:left w:w="57" w:type="dxa"/>
                    <w:bottom w:w="0" w:type="dxa"/>
                    <w:right w:w="57" w:type="dxa"/>
                  </w:tcMar>
                  <w:vAlign w:val="center"/>
                </w:tcPr>
                <w:p w14:paraId="42CB2C98">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项目为建筑石料用砂岩矿开采，采用湿式凿岩，对产生的大气污染防治采取洒水降尘、加工生产设备配有布袋除尘设施、堆场设置顶棚和三面围挡、运输车辆采用篷布遮盖。</w:t>
                  </w:r>
                </w:p>
              </w:tc>
              <w:tc>
                <w:tcPr>
                  <w:tcW w:w="446" w:type="pct"/>
                  <w:tcMar>
                    <w:top w:w="0" w:type="dxa"/>
                    <w:left w:w="57" w:type="dxa"/>
                    <w:bottom w:w="0" w:type="dxa"/>
                    <w:right w:w="57" w:type="dxa"/>
                  </w:tcMar>
                  <w:vAlign w:val="center"/>
                </w:tcPr>
                <w:p w14:paraId="153F24AB">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5F90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2706" w:type="pct"/>
                  <w:tcMar>
                    <w:top w:w="0" w:type="dxa"/>
                    <w:left w:w="57" w:type="dxa"/>
                    <w:bottom w:w="0" w:type="dxa"/>
                    <w:right w:w="57" w:type="dxa"/>
                  </w:tcMar>
                  <w:vAlign w:val="center"/>
                </w:tcPr>
                <w:p w14:paraId="2762828C">
                  <w:pPr>
                    <w:adjustRightInd w:val="0"/>
                    <w:spacing w:line="240" w:lineRule="auto"/>
                    <w:ind w:firstLine="420"/>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（十五）加强矿山生态环境综合整治。新建矿山原则上同步建设铁路专用线或采用其他清洁运输方式。对限期整改仍不达标的矿山，根据安全生产、水土保持、生态环境等要求依法关闭。</w:t>
                  </w:r>
                </w:p>
              </w:tc>
              <w:tc>
                <w:tcPr>
                  <w:tcW w:w="1846" w:type="pct"/>
                  <w:tcMar>
                    <w:top w:w="0" w:type="dxa"/>
                    <w:left w:w="57" w:type="dxa"/>
                    <w:bottom w:w="0" w:type="dxa"/>
                    <w:right w:w="57" w:type="dxa"/>
                  </w:tcMar>
                  <w:vAlign w:val="center"/>
                </w:tcPr>
                <w:p w14:paraId="66299EC0">
                  <w:pPr>
                    <w:adjustRightInd w:val="0"/>
                    <w:spacing w:line="240" w:lineRule="auto"/>
                    <w:ind w:firstLine="420"/>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项目为建筑石料用砂岩矿开采，为现有矿山升级改造，采用自卸汽车进行运输，运输道路非雨天进行洒水降尘。</w:t>
                  </w:r>
                </w:p>
              </w:tc>
              <w:tc>
                <w:tcPr>
                  <w:tcW w:w="446" w:type="pct"/>
                  <w:tcMar>
                    <w:top w:w="0" w:type="dxa"/>
                    <w:left w:w="57" w:type="dxa"/>
                    <w:bottom w:w="0" w:type="dxa"/>
                    <w:right w:w="57" w:type="dxa"/>
                  </w:tcMar>
                  <w:vAlign w:val="center"/>
                </w:tcPr>
                <w:p w14:paraId="584AA470">
                  <w:pPr>
                    <w:adjustRightInd w:val="0"/>
                    <w:spacing w:line="240" w:lineRule="auto"/>
                    <w:ind w:firstLine="0" w:firstLineChars="0"/>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556B410F">
            <w:pPr>
              <w:spacing w:before="156" w:beforeLines="50"/>
              <w:ind w:firstLine="480"/>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bidi="ar"/>
              </w:rPr>
              <w:t>根据上表分析，本项目的建设符合《</w:t>
            </w:r>
            <w:r>
              <w:rPr>
                <w:rFonts w:hint="default" w:ascii="Times New Roman" w:hAnsi="Times New Roman" w:cs="Times New Roman"/>
                <w:color w:val="auto"/>
                <w:highlight w:val="none"/>
                <w:lang w:val="en-US" w:eastAsia="zh-CN"/>
              </w:rPr>
              <w:t>昆明市空气质量持续改善行动实施方案</w:t>
            </w:r>
            <w:r>
              <w:rPr>
                <w:rFonts w:hint="default" w:ascii="Times New Roman" w:hAnsi="Times New Roman" w:cs="Times New Roman"/>
                <w:color w:val="auto"/>
                <w:highlight w:val="none"/>
                <w:lang w:bidi="ar"/>
              </w:rPr>
              <w:t>》中的</w:t>
            </w:r>
            <w:r>
              <w:rPr>
                <w:rFonts w:hint="eastAsia" w:cs="Times New Roman"/>
                <w:color w:val="auto"/>
                <w:highlight w:val="none"/>
                <w:lang w:val="en-US" w:eastAsia="zh-CN" w:bidi="ar"/>
              </w:rPr>
              <w:t>相关规定</w:t>
            </w:r>
            <w:r>
              <w:rPr>
                <w:rFonts w:hint="default" w:ascii="Times New Roman" w:hAnsi="Times New Roman" w:cs="Times New Roman"/>
                <w:color w:val="auto"/>
                <w:highlight w:val="none"/>
                <w:lang w:bidi="ar"/>
              </w:rPr>
              <w:t>。</w:t>
            </w:r>
          </w:p>
          <w:p w14:paraId="558F50D2">
            <w:pPr>
              <w:ind w:firstLine="0" w:firstLineChars="0"/>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六、选址符合性分析</w:t>
            </w:r>
          </w:p>
          <w:p w14:paraId="761C754F">
            <w:pPr>
              <w:adjustRightInd w:val="0"/>
              <w:ind w:firstLine="480"/>
              <w:rPr>
                <w:rFonts w:hint="default" w:ascii="Times New Roman" w:hAnsi="Times New Roman" w:cs="Times New Roman"/>
                <w:color w:val="auto"/>
                <w:szCs w:val="24"/>
                <w:highlight w:val="none"/>
              </w:rPr>
            </w:pPr>
            <w:r>
              <w:rPr>
                <w:rFonts w:hint="default" w:ascii="Times New Roman" w:hAnsi="Times New Roman" w:cs="Times New Roman"/>
                <w:color w:val="auto"/>
                <w:kern w:val="0"/>
                <w:szCs w:val="24"/>
                <w:highlight w:val="none"/>
              </w:rPr>
              <w:t>本项</w:t>
            </w:r>
            <w:r>
              <w:rPr>
                <w:rFonts w:hint="default" w:ascii="Times New Roman" w:hAnsi="Times New Roman" w:cs="Times New Roman"/>
                <w:color w:val="auto"/>
                <w:szCs w:val="24"/>
                <w:highlight w:val="none"/>
              </w:rPr>
              <w:t>目位于</w:t>
            </w:r>
            <w:r>
              <w:rPr>
                <w:rFonts w:hint="default" w:ascii="Times New Roman" w:hAnsi="Times New Roman" w:cs="Times New Roman"/>
                <w:color w:val="auto"/>
                <w:szCs w:val="24"/>
                <w:highlight w:val="none"/>
                <w:lang w:eastAsia="zh-CN"/>
              </w:rPr>
              <w:t>寻甸县柯渡镇乐朗村委会</w:t>
            </w:r>
            <w:r>
              <w:rPr>
                <w:rFonts w:hint="default" w:ascii="Times New Roman" w:hAnsi="Times New Roman" w:cs="Times New Roman"/>
                <w:color w:val="auto"/>
                <w:szCs w:val="24"/>
                <w:highlight w:val="none"/>
              </w:rPr>
              <w:t>，项目选址合理性分析如下：</w:t>
            </w:r>
          </w:p>
          <w:p w14:paraId="3CCD3C8E">
            <w:pPr>
              <w:adjustRightInd w:val="0"/>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本项目为建筑石料用</w:t>
            </w:r>
            <w:r>
              <w:rPr>
                <w:rFonts w:hint="default" w:ascii="Times New Roman" w:hAnsi="Times New Roman" w:cs="Times New Roman"/>
                <w:color w:val="auto"/>
                <w:szCs w:val="24"/>
                <w:highlight w:val="none"/>
                <w:lang w:val="en-US" w:eastAsia="zh-CN"/>
              </w:rPr>
              <w:t>砂</w:t>
            </w:r>
            <w:r>
              <w:rPr>
                <w:rFonts w:hint="default" w:ascii="Times New Roman" w:hAnsi="Times New Roman" w:cs="Times New Roman"/>
                <w:color w:val="auto"/>
                <w:szCs w:val="24"/>
                <w:highlight w:val="none"/>
              </w:rPr>
              <w:t>岩矿开采加工，开采的</w:t>
            </w:r>
            <w:r>
              <w:rPr>
                <w:rFonts w:hint="default" w:ascii="Times New Roman" w:hAnsi="Times New Roman" w:cs="Times New Roman"/>
                <w:color w:val="auto"/>
                <w:szCs w:val="24"/>
                <w:highlight w:val="none"/>
                <w:lang w:eastAsia="zh-CN"/>
              </w:rPr>
              <w:t>砂岩矿</w:t>
            </w:r>
            <w:r>
              <w:rPr>
                <w:rFonts w:hint="default" w:ascii="Times New Roman" w:hAnsi="Times New Roman" w:cs="Times New Roman"/>
                <w:color w:val="auto"/>
                <w:szCs w:val="24"/>
                <w:highlight w:val="none"/>
                <w:lang w:val="en-US" w:eastAsia="zh-CN"/>
              </w:rPr>
              <w:t>经</w:t>
            </w:r>
            <w:r>
              <w:rPr>
                <w:rFonts w:hint="default" w:ascii="Times New Roman" w:hAnsi="Times New Roman" w:cs="Times New Roman"/>
                <w:color w:val="auto"/>
                <w:szCs w:val="24"/>
                <w:highlight w:val="none"/>
              </w:rPr>
              <w:t>破碎站破碎后</w:t>
            </w:r>
            <w:r>
              <w:rPr>
                <w:rFonts w:hint="default" w:ascii="Times New Roman" w:hAnsi="Times New Roman" w:cs="Times New Roman"/>
                <w:color w:val="auto"/>
                <w:szCs w:val="24"/>
                <w:highlight w:val="none"/>
                <w:lang w:val="en-US" w:eastAsia="zh-CN"/>
              </w:rPr>
              <w:t>外售</w:t>
            </w:r>
            <w:r>
              <w:rPr>
                <w:rFonts w:hint="default" w:ascii="Times New Roman" w:hAnsi="Times New Roman" w:cs="Times New Roman"/>
                <w:color w:val="auto"/>
                <w:szCs w:val="24"/>
                <w:highlight w:val="none"/>
              </w:rPr>
              <w:t>。</w:t>
            </w:r>
          </w:p>
          <w:p w14:paraId="2898D9F2">
            <w:pPr>
              <w:adjustRightInd w:val="0"/>
              <w:ind w:firstLine="480"/>
              <w:rPr>
                <w:rFonts w:hint="default" w:ascii="Times New Roman" w:hAnsi="Times New Roman" w:cs="Times New Roman"/>
                <w:color w:val="auto"/>
                <w:kern w:val="0"/>
                <w:szCs w:val="24"/>
                <w:highlight w:val="none"/>
              </w:rPr>
            </w:pPr>
            <w:r>
              <w:rPr>
                <w:rFonts w:hint="default" w:ascii="Times New Roman" w:hAnsi="Times New Roman" w:cs="Times New Roman"/>
                <w:color w:val="auto"/>
                <w:kern w:val="0"/>
                <w:szCs w:val="24"/>
                <w:highlight w:val="none"/>
              </w:rPr>
              <w:t>根据现场调查，</w:t>
            </w:r>
            <w:r>
              <w:rPr>
                <w:rFonts w:hint="default" w:ascii="Times New Roman" w:hAnsi="Times New Roman" w:cs="Times New Roman"/>
                <w:color w:val="auto"/>
                <w:kern w:val="0"/>
                <w:szCs w:val="21"/>
                <w:highlight w:val="none"/>
              </w:rPr>
              <w:t>项目厂界外200m范围内无声环境敏感点</w:t>
            </w:r>
            <w:r>
              <w:rPr>
                <w:rFonts w:hint="default" w:ascii="Times New Roman" w:hAnsi="Times New Roman" w:cs="Times New Roman"/>
                <w:color w:val="auto"/>
                <w:kern w:val="0"/>
                <w:szCs w:val="24"/>
                <w:highlight w:val="none"/>
              </w:rPr>
              <w:t>，</w:t>
            </w:r>
            <w:r>
              <w:rPr>
                <w:rFonts w:hint="default" w:ascii="Times New Roman" w:hAnsi="Times New Roman" w:cs="Times New Roman"/>
                <w:color w:val="auto"/>
                <w:kern w:val="0"/>
                <w:szCs w:val="21"/>
                <w:highlight w:val="none"/>
              </w:rPr>
              <w:t>厂界外500m范围内无自然保护区、风景名胜区、居民区等环境保护目标</w:t>
            </w:r>
            <w:r>
              <w:rPr>
                <w:rFonts w:hint="default" w:ascii="Times New Roman" w:hAnsi="Times New Roman" w:cs="Times New Roman"/>
                <w:color w:val="auto"/>
                <w:kern w:val="0"/>
                <w:szCs w:val="24"/>
                <w:highlight w:val="none"/>
              </w:rPr>
              <w:t>。根据项目影响分析，本项目运营期废气、噪声可达标排放，无废水外排，固体废物处置率100%。项目建设对周边环境影响较小。在采取相应措施后，环境风险较小，不会改变该区域环境功能区划。</w:t>
            </w:r>
          </w:p>
          <w:p w14:paraId="0AEDE1E6">
            <w:pPr>
              <w:ind w:firstLine="480"/>
              <w:rPr>
                <w:rFonts w:hint="default" w:ascii="Times New Roman" w:hAnsi="Times New Roman" w:cs="Times New Roman"/>
                <w:color w:val="auto"/>
                <w:kern w:val="0"/>
                <w:szCs w:val="24"/>
                <w:highlight w:val="none"/>
              </w:rPr>
            </w:pPr>
            <w:r>
              <w:rPr>
                <w:rFonts w:hint="default" w:ascii="Times New Roman" w:hAnsi="Times New Roman" w:cs="Times New Roman"/>
                <w:color w:val="auto"/>
                <w:highlight w:val="none"/>
              </w:rPr>
              <w:t>根据《</w:t>
            </w:r>
            <w:r>
              <w:rPr>
                <w:rFonts w:hint="default" w:ascii="Times New Roman" w:hAnsi="Times New Roman" w:cs="Times New Roman"/>
                <w:color w:val="auto"/>
                <w:highlight w:val="none"/>
                <w:lang w:val="en-US" w:eastAsia="zh-CN"/>
              </w:rPr>
              <w:t>寻甸回族彝族自治县自然资源局关于</w:t>
            </w:r>
            <w:r>
              <w:rPr>
                <w:rFonts w:hint="default" w:ascii="Times New Roman" w:hAnsi="Times New Roman" w:cs="Times New Roman"/>
                <w:color w:val="auto"/>
                <w:highlight w:val="none"/>
              </w:rPr>
              <w:t>云南省寻甸县柯渡黄龙溏普通建筑材料用砂岩矿</w:t>
            </w:r>
            <w:r>
              <w:rPr>
                <w:rFonts w:hint="default" w:ascii="Times New Roman" w:hAnsi="Times New Roman" w:cs="Times New Roman"/>
                <w:color w:val="auto"/>
                <w:highlight w:val="none"/>
                <w:lang w:val="en-US" w:eastAsia="zh-CN"/>
              </w:rPr>
              <w:t>采矿权新立</w:t>
            </w:r>
            <w:r>
              <w:rPr>
                <w:rFonts w:hint="eastAsia" w:cs="Times New Roman"/>
                <w:color w:val="auto"/>
                <w:highlight w:val="none"/>
                <w:lang w:val="en-US" w:eastAsia="zh-CN"/>
              </w:rPr>
              <w:t>联勘联审</w:t>
            </w:r>
            <w:r>
              <w:rPr>
                <w:rFonts w:hint="default" w:ascii="Times New Roman" w:hAnsi="Times New Roman" w:cs="Times New Roman"/>
                <w:color w:val="auto"/>
                <w:highlight w:val="none"/>
                <w:lang w:val="en-US" w:eastAsia="zh-CN"/>
              </w:rPr>
              <w:t>及相关规划等有关情况审查意见</w:t>
            </w:r>
            <w:r>
              <w:rPr>
                <w:rFonts w:hint="default" w:ascii="Times New Roman" w:hAnsi="Times New Roman" w:cs="Times New Roman"/>
                <w:color w:val="auto"/>
                <w:highlight w:val="none"/>
              </w:rPr>
              <w:t>》（附件</w:t>
            </w:r>
            <w:r>
              <w:rPr>
                <w:rFonts w:hint="eastAsia" w:cs="Times New Roman"/>
                <w:color w:val="auto"/>
                <w:highlight w:val="none"/>
                <w:lang w:val="en-US" w:eastAsia="zh-CN"/>
              </w:rPr>
              <w:t>9</w:t>
            </w:r>
            <w:r>
              <w:rPr>
                <w:rFonts w:hint="default" w:ascii="Times New Roman" w:hAnsi="Times New Roman" w:cs="Times New Roman"/>
                <w:color w:val="auto"/>
                <w:highlight w:val="none"/>
              </w:rPr>
              <w:t>），本项目范围不在生态保护红线范围内、符合生态红线管控要求，不在自然保护区、国家公园、三江并流世界自然遗产地、风景名胜区、森林公园、水资源保护区、地质公园、地质遗迹、建设项目压覆区等重要地区范围内。同时根据符合性分析可知，本项目与《云南寻甸产业园区外工业项目管理工作方案》（寻政办发〔2024〕34号）、《昆明市生态环境分区管控动态更新方案（2023年）》、《云南省人民政府关于促进非煤矿山转型升级的实施意见》（云政发〔2015〕38号）、《云南省全面加强非煤矿山安全生产工作若干措施》（云政办发〔2024〕44号）、</w:t>
            </w:r>
            <w:r>
              <w:rPr>
                <w:rFonts w:hint="default" w:ascii="Times New Roman" w:hAnsi="Times New Roman" w:cs="Times New Roman"/>
                <w:color w:val="auto"/>
                <w:kern w:val="0"/>
                <w:szCs w:val="21"/>
                <w:highlight w:val="none"/>
              </w:rPr>
              <w:t>《加强砂石开采行业环境监管工作的通知》（云环通〔2016〕172号）、</w:t>
            </w:r>
            <w:r>
              <w:rPr>
                <w:rFonts w:hint="default" w:ascii="Times New Roman" w:hAnsi="Times New Roman" w:cs="Times New Roman"/>
                <w:color w:val="auto"/>
                <w:kern w:val="0"/>
                <w:highlight w:val="none"/>
              </w:rPr>
              <w:t>《矿山生态环境保护与污染防治技术政策》（环发〔2005〕109）、</w:t>
            </w:r>
            <w:r>
              <w:rPr>
                <w:rFonts w:hint="default" w:ascii="Times New Roman" w:hAnsi="Times New Roman" w:cs="Times New Roman"/>
                <w:color w:val="auto"/>
                <w:highlight w:val="none"/>
              </w:rPr>
              <w:t>《砂石行业绿色矿山建设规范》、</w:t>
            </w:r>
            <w:r>
              <w:rPr>
                <w:rFonts w:hint="default" w:ascii="Times New Roman" w:hAnsi="Times New Roman" w:cs="Times New Roman"/>
                <w:color w:val="auto"/>
                <w:kern w:val="0"/>
                <w:highlight w:val="none"/>
              </w:rPr>
              <w:t>《关于加快建设绿色矿山的实施意见的通知》（云国土资〔2017〕137号）</w:t>
            </w:r>
            <w:r>
              <w:rPr>
                <w:rFonts w:hint="default" w:ascii="Times New Roman" w:hAnsi="Times New Roman" w:cs="Times New Roman"/>
                <w:color w:val="auto"/>
                <w:szCs w:val="24"/>
                <w:highlight w:val="none"/>
              </w:rPr>
              <w:t>、</w:t>
            </w:r>
            <w:r>
              <w:rPr>
                <w:rFonts w:hint="default" w:ascii="Times New Roman" w:hAnsi="Times New Roman" w:cs="Times New Roman"/>
                <w:color w:val="auto"/>
                <w:highlight w:val="none"/>
              </w:rPr>
              <w:t>《昆明市大气污染防治条例》、《云南省生物多样性保护条例》、《云南省生物多样性保护战略与行动计划（2024-2030年）》、《长江经济带发展负面清单指南实施细则（试行2022年版）》、《云南省长江经济带发展负面清单指南实施细则（试行，2022年版）》、</w:t>
            </w:r>
            <w:r>
              <w:rPr>
                <w:rFonts w:hint="default" w:ascii="Times New Roman" w:hAnsi="Times New Roman" w:cs="Times New Roman"/>
                <w:color w:val="auto"/>
                <w:highlight w:val="none"/>
                <w:lang w:bidi="ar"/>
              </w:rPr>
              <w:t>《寻甸回族彝族自治县国土空间总体规划（2021-2035年）》</w:t>
            </w:r>
            <w:r>
              <w:rPr>
                <w:rFonts w:hint="eastAsia" w:cs="Times New Roman"/>
                <w:color w:val="auto"/>
                <w:highlight w:val="none"/>
                <w:lang w:eastAsia="zh-CN" w:bidi="ar"/>
              </w:rPr>
              <w:t>、《</w:t>
            </w:r>
            <w:r>
              <w:rPr>
                <w:rFonts w:hint="eastAsia" w:cs="Times New Roman"/>
                <w:color w:val="auto"/>
                <w:highlight w:val="none"/>
                <w:lang w:val="en-US" w:eastAsia="zh-CN" w:bidi="ar"/>
              </w:rPr>
              <w:t>中华人民共和国生态法典</w:t>
            </w:r>
            <w:r>
              <w:rPr>
                <w:rFonts w:hint="eastAsia" w:cs="Times New Roman"/>
                <w:color w:val="auto"/>
                <w:highlight w:val="none"/>
                <w:lang w:eastAsia="zh-CN" w:bidi="ar"/>
              </w:rPr>
              <w:t>》、</w:t>
            </w:r>
            <w:r>
              <w:rPr>
                <w:rFonts w:hint="default" w:ascii="Times New Roman" w:hAnsi="Times New Roman" w:cs="Times New Roman"/>
                <w:color w:val="auto"/>
                <w:highlight w:val="none"/>
                <w:lang w:bidi="ar"/>
              </w:rPr>
              <w:t>《</w:t>
            </w:r>
            <w:r>
              <w:rPr>
                <w:rFonts w:hint="default" w:ascii="Times New Roman" w:hAnsi="Times New Roman" w:cs="Times New Roman"/>
                <w:color w:val="auto"/>
                <w:highlight w:val="none"/>
                <w:lang w:val="en-US" w:eastAsia="zh-CN"/>
              </w:rPr>
              <w:t>昆明市空气质量持续改善行动实施方案</w:t>
            </w:r>
            <w:r>
              <w:rPr>
                <w:rFonts w:hint="default" w:ascii="Times New Roman" w:hAnsi="Times New Roman" w:cs="Times New Roman"/>
                <w:color w:val="auto"/>
                <w:highlight w:val="none"/>
                <w:lang w:bidi="ar"/>
              </w:rPr>
              <w:t>》</w:t>
            </w:r>
            <w:r>
              <w:rPr>
                <w:rFonts w:hint="default" w:ascii="Times New Roman" w:hAnsi="Times New Roman" w:cs="Times New Roman"/>
                <w:color w:val="auto"/>
                <w:highlight w:val="none"/>
              </w:rPr>
              <w:t>等相符。</w:t>
            </w:r>
          </w:p>
          <w:p w14:paraId="0DFC9203">
            <w:pPr>
              <w:ind w:firstLine="480"/>
              <w:rPr>
                <w:rFonts w:hint="default" w:ascii="Times New Roman" w:hAnsi="Times New Roman" w:cs="Times New Roman"/>
                <w:color w:val="auto"/>
                <w:kern w:val="0"/>
                <w:szCs w:val="24"/>
                <w:highlight w:val="none"/>
              </w:rPr>
            </w:pPr>
            <w:r>
              <w:rPr>
                <w:rFonts w:hint="default" w:ascii="Times New Roman" w:hAnsi="Times New Roman" w:cs="Times New Roman"/>
                <w:color w:val="auto"/>
                <w:kern w:val="0"/>
                <w:szCs w:val="24"/>
                <w:highlight w:val="none"/>
              </w:rPr>
              <w:t>综上，本项目选址可行。</w:t>
            </w:r>
          </w:p>
        </w:tc>
      </w:tr>
    </w:tbl>
    <w:p w14:paraId="4685DB3D">
      <w:pPr>
        <w:pStyle w:val="4"/>
        <w:ind w:left="142" w:hanging="142" w:hangingChars="47"/>
        <w:jc w:val="center"/>
        <w:rPr>
          <w:color w:val="auto"/>
          <w:highlight w:val="none"/>
        </w:rPr>
      </w:pPr>
      <w:r>
        <w:rPr>
          <w:color w:val="auto"/>
          <w:highlight w:val="none"/>
        </w:rPr>
        <w:br w:type="page"/>
      </w:r>
      <w:bookmarkStart w:id="6" w:name="_Toc27476"/>
      <w:r>
        <w:rPr>
          <w:color w:val="auto"/>
          <w:highlight w:val="none"/>
        </w:rPr>
        <w:t>二、建设内容</w:t>
      </w:r>
      <w:bookmarkEnd w:id="6"/>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38"/>
        <w:gridCol w:w="8084"/>
      </w:tblGrid>
      <w:tr w14:paraId="6CF64F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6" w:type="pct"/>
            <w:vAlign w:val="center"/>
          </w:tcPr>
          <w:p w14:paraId="18389FBC">
            <w:pPr>
              <w:spacing w:line="240" w:lineRule="auto"/>
              <w:ind w:firstLine="0" w:firstLineChars="0"/>
              <w:jc w:val="center"/>
              <w:rPr>
                <w:b/>
                <w:bCs/>
                <w:color w:val="auto"/>
                <w:highlight w:val="none"/>
              </w:rPr>
            </w:pPr>
            <w:r>
              <w:rPr>
                <w:b/>
                <w:bCs/>
                <w:color w:val="auto"/>
                <w:highlight w:val="none"/>
              </w:rPr>
              <w:t>地理位置</w:t>
            </w:r>
          </w:p>
        </w:tc>
        <w:tc>
          <w:tcPr>
            <w:tcW w:w="4743" w:type="pct"/>
            <w:vAlign w:val="center"/>
          </w:tcPr>
          <w:p w14:paraId="7DF57B5F">
            <w:pPr>
              <w:ind w:firstLine="48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云南省寻甸县柯渡黄龙溏普通建筑材料用砂岩矿</w:t>
            </w:r>
            <w:r>
              <w:rPr>
                <w:rFonts w:hint="eastAsia" w:ascii="Times New Roman" w:hAnsi="Times New Roman" w:eastAsia="宋体" w:cs="Times New Roman"/>
                <w:color w:val="auto"/>
                <w:highlight w:val="none"/>
                <w:lang w:val="en-US" w:eastAsia="zh-CN"/>
              </w:rPr>
              <w:t>为昆明达泽商贸有限公司附属矿山，</w:t>
            </w:r>
            <w:r>
              <w:rPr>
                <w:rFonts w:hint="eastAsia" w:ascii="Times New Roman" w:hAnsi="Times New Roman" w:eastAsia="宋体" w:cs="Times New Roman"/>
                <w:color w:val="auto"/>
                <w:highlight w:val="none"/>
              </w:rPr>
              <w:t>矿区位于寻甸县260°方向，直线距离47.2</w:t>
            </w:r>
            <w:r>
              <w:rPr>
                <w:rFonts w:hint="eastAsia" w:ascii="Times New Roman" w:hAnsi="Times New Roman" w:eastAsia="宋体" w:cs="Times New Roman"/>
                <w:color w:val="auto"/>
                <w:highlight w:val="none"/>
                <w:lang w:eastAsia="zh-CN"/>
              </w:rPr>
              <w:t>km</w:t>
            </w:r>
            <w:r>
              <w:rPr>
                <w:rFonts w:hint="eastAsia" w:ascii="Times New Roman" w:hAnsi="Times New Roman" w:eastAsia="宋体" w:cs="Times New Roman"/>
                <w:color w:val="auto"/>
                <w:highlight w:val="none"/>
              </w:rPr>
              <w:t>，公路里程约120</w:t>
            </w:r>
            <w:r>
              <w:rPr>
                <w:rFonts w:hint="eastAsia" w:ascii="Times New Roman" w:hAnsi="Times New Roman" w:eastAsia="宋体" w:cs="Times New Roman"/>
                <w:color w:val="auto"/>
                <w:highlight w:val="none"/>
                <w:lang w:eastAsia="zh-CN"/>
              </w:rPr>
              <w:t>km</w:t>
            </w:r>
            <w:r>
              <w:rPr>
                <w:rFonts w:hint="eastAsia" w:ascii="Times New Roman" w:hAnsi="Times New Roman" w:eastAsia="宋体" w:cs="Times New Roman"/>
                <w:color w:val="auto"/>
                <w:highlight w:val="none"/>
              </w:rPr>
              <w:t>。地处寻甸县柯渡镇乐朗村委会稗子田村境内，矿区地理极值坐标(西安80三度带)为东经102°46′47″～102°46′56″、北纬：25°29′27″～25°29′34″。</w:t>
            </w:r>
          </w:p>
          <w:p w14:paraId="7E17AA89">
            <w:pPr>
              <w:ind w:firstLine="480"/>
              <w:rPr>
                <w:color w:val="auto"/>
                <w:highlight w:val="none"/>
              </w:rPr>
            </w:pPr>
            <w:r>
              <w:rPr>
                <w:color w:val="auto"/>
                <w:highlight w:val="none"/>
              </w:rPr>
              <w:t>根据环评现场踏勘，项目周边环境以山地为主。项目地理位置图见附图1。</w:t>
            </w:r>
          </w:p>
        </w:tc>
      </w:tr>
      <w:tr w14:paraId="0CCFF8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6" w:type="pct"/>
            <w:vAlign w:val="center"/>
          </w:tcPr>
          <w:p w14:paraId="404CBE19">
            <w:pPr>
              <w:spacing w:line="240" w:lineRule="auto"/>
              <w:ind w:firstLine="0" w:firstLineChars="0"/>
              <w:jc w:val="center"/>
              <w:rPr>
                <w:b/>
                <w:bCs/>
                <w:color w:val="auto"/>
                <w:highlight w:val="none"/>
              </w:rPr>
            </w:pPr>
            <w:r>
              <w:rPr>
                <w:b/>
                <w:bCs/>
                <w:color w:val="auto"/>
                <w:highlight w:val="none"/>
              </w:rPr>
              <w:t>项目组成及规模</w:t>
            </w:r>
          </w:p>
        </w:tc>
        <w:tc>
          <w:tcPr>
            <w:tcW w:w="4743" w:type="pct"/>
            <w:vAlign w:val="center"/>
          </w:tcPr>
          <w:p w14:paraId="5B25946E">
            <w:pPr>
              <w:spacing w:before="156" w:beforeLines="50"/>
              <w:ind w:firstLine="482"/>
              <w:rPr>
                <w:b/>
                <w:bCs/>
                <w:color w:val="auto"/>
                <w:highlight w:val="none"/>
              </w:rPr>
            </w:pPr>
            <w:r>
              <w:rPr>
                <w:rFonts w:hint="eastAsia"/>
                <w:b/>
                <w:bCs/>
                <w:color w:val="auto"/>
                <w:highlight w:val="none"/>
              </w:rPr>
              <w:t>一、项目由来</w:t>
            </w:r>
          </w:p>
          <w:p w14:paraId="663A670F">
            <w:pPr>
              <w:ind w:firstLine="480"/>
              <w:rPr>
                <w:rFonts w:hint="eastAsia" w:ascii="Times New Roman" w:hAnsi="Times New Roman"/>
                <w:caps w:val="0"/>
                <w:smallCaps w:val="0"/>
                <w:color w:val="auto"/>
                <w:highlight w:val="none"/>
                <w:lang w:val="en-US" w:eastAsia="zh-CN"/>
              </w:rPr>
            </w:pPr>
            <w:r>
              <w:rPr>
                <w:rFonts w:hint="eastAsia" w:ascii="Times New Roman" w:hAnsi="Times New Roman" w:eastAsia="宋体" w:cs="Times New Roman"/>
                <w:color w:val="auto"/>
                <w:highlight w:val="none"/>
                <w:lang w:eastAsia="zh-CN"/>
              </w:rPr>
              <w:t>云南省寻甸县柯渡黄龙溏普通建筑材料用砂岩矿50万t/a扩建项目</w:t>
            </w:r>
            <w:r>
              <w:rPr>
                <w:rFonts w:hint="eastAsia" w:ascii="Times New Roman" w:hAnsi="Times New Roman" w:eastAsia="宋体" w:cs="Times New Roman"/>
                <w:color w:val="auto"/>
                <w:highlight w:val="none"/>
                <w:lang w:val="en-US" w:eastAsia="zh-CN"/>
              </w:rPr>
              <w:t>为现有</w:t>
            </w:r>
            <w:r>
              <w:rPr>
                <w:rFonts w:hint="eastAsia" w:ascii="Times New Roman" w:hAnsi="Times New Roman" w:eastAsia="宋体" w:cs="Times New Roman"/>
                <w:color w:val="auto"/>
                <w:highlight w:val="none"/>
              </w:rPr>
              <w:t>昆明达泽商贸有限公司寻甸县柯渡黄龙溏采砂场新建项目</w:t>
            </w:r>
            <w:r>
              <w:rPr>
                <w:color w:val="auto"/>
                <w:highlight w:val="none"/>
              </w:rPr>
              <w:t>（以下简称</w:t>
            </w:r>
            <w:r>
              <w:rPr>
                <w:rFonts w:hint="eastAsia"/>
                <w:color w:val="auto"/>
                <w:highlight w:val="none"/>
              </w:rPr>
              <w:t>“</w:t>
            </w:r>
            <w:r>
              <w:rPr>
                <w:rFonts w:hint="eastAsia"/>
                <w:color w:val="auto"/>
                <w:highlight w:val="none"/>
                <w:lang w:val="en-US" w:eastAsia="zh-CN"/>
              </w:rPr>
              <w:t>现有项目</w:t>
            </w:r>
            <w:r>
              <w:rPr>
                <w:rFonts w:hint="eastAsia"/>
                <w:color w:val="auto"/>
                <w:highlight w:val="none"/>
              </w:rPr>
              <w:t>”</w:t>
            </w:r>
            <w:r>
              <w:rPr>
                <w:color w:val="auto"/>
                <w:highlight w:val="none"/>
              </w:rPr>
              <w:t>）</w:t>
            </w:r>
            <w:r>
              <w:rPr>
                <w:rFonts w:hint="eastAsia" w:ascii="Times New Roman" w:hAnsi="Times New Roman" w:eastAsia="宋体" w:cs="Times New Roman"/>
                <w:color w:val="auto"/>
                <w:highlight w:val="none"/>
                <w:lang w:val="en-US" w:eastAsia="zh-CN"/>
              </w:rPr>
              <w:t>的扩建，现有项目为露天</w:t>
            </w:r>
            <w:r>
              <w:rPr>
                <w:rFonts w:ascii="Times New Roman" w:hAnsi="Times New Roman"/>
                <w:caps w:val="0"/>
                <w:smallCaps w:val="0"/>
                <w:color w:val="auto"/>
                <w:highlight w:val="none"/>
              </w:rPr>
              <w:t>开采</w:t>
            </w:r>
            <w:r>
              <w:rPr>
                <w:rFonts w:hint="eastAsia" w:ascii="Times New Roman" w:hAnsi="Times New Roman"/>
                <w:caps w:val="0"/>
                <w:smallCaps w:val="0"/>
                <w:color w:val="auto"/>
                <w:highlight w:val="none"/>
              </w:rPr>
              <w:t>普通建筑材料用砂岩</w:t>
            </w:r>
            <w:r>
              <w:rPr>
                <w:rFonts w:ascii="Times New Roman" w:hAnsi="Times New Roman"/>
                <w:caps w:val="0"/>
                <w:smallCaps w:val="0"/>
                <w:color w:val="auto"/>
                <w:highlight w:val="none"/>
              </w:rPr>
              <w:t>矿</w:t>
            </w:r>
            <w:r>
              <w:rPr>
                <w:rFonts w:hint="eastAsia" w:ascii="Times New Roman" w:hAnsi="Times New Roman"/>
                <w:caps w:val="0"/>
                <w:smallCaps w:val="0"/>
                <w:color w:val="auto"/>
                <w:highlight w:val="none"/>
              </w:rPr>
              <w:t>，</w:t>
            </w:r>
            <w:r>
              <w:rPr>
                <w:rFonts w:ascii="Times New Roman" w:hAnsi="Times New Roman"/>
                <w:caps w:val="0"/>
                <w:smallCaps w:val="0"/>
                <w:color w:val="auto"/>
                <w:highlight w:val="none"/>
              </w:rPr>
              <w:t>开采规模</w:t>
            </w:r>
            <w:r>
              <w:rPr>
                <w:rFonts w:hint="eastAsia" w:ascii="Times New Roman" w:hAnsi="Times New Roman"/>
                <w:caps w:val="0"/>
                <w:smallCaps w:val="0"/>
                <w:color w:val="auto"/>
                <w:highlight w:val="none"/>
              </w:rPr>
              <w:t>10</w:t>
            </w:r>
            <w:r>
              <w:rPr>
                <w:rFonts w:ascii="Times New Roman" w:hAnsi="Times New Roman"/>
                <w:caps w:val="0"/>
                <w:smallCaps w:val="0"/>
                <w:color w:val="auto"/>
                <w:highlight w:val="none"/>
              </w:rPr>
              <w:t>万</w:t>
            </w:r>
            <w:r>
              <w:rPr>
                <w:rFonts w:hint="eastAsia" w:ascii="Times New Roman" w:hAnsi="Times New Roman"/>
                <w:caps w:val="0"/>
                <w:smallCaps w:val="0"/>
                <w:color w:val="auto"/>
                <w:highlight w:val="none"/>
              </w:rPr>
              <w:t>t</w:t>
            </w:r>
            <w:r>
              <w:rPr>
                <w:rFonts w:ascii="Times New Roman" w:hAnsi="Times New Roman"/>
                <w:caps w:val="0"/>
                <w:smallCaps w:val="0"/>
                <w:color w:val="auto"/>
                <w:highlight w:val="none"/>
              </w:rPr>
              <w:t>/a</w:t>
            </w:r>
            <w:r>
              <w:rPr>
                <w:rFonts w:hint="eastAsia" w:ascii="Times New Roman" w:hAnsi="Times New Roman"/>
                <w:caps w:val="0"/>
                <w:smallCaps w:val="0"/>
                <w:color w:val="auto"/>
                <w:highlight w:val="none"/>
                <w:lang w:eastAsia="zh-CN"/>
              </w:rPr>
              <w:t>，</w:t>
            </w:r>
            <w:r>
              <w:rPr>
                <w:rFonts w:hint="eastAsia" w:ascii="Times New Roman" w:hAnsi="Times New Roman"/>
                <w:caps w:val="0"/>
                <w:smallCaps w:val="0"/>
                <w:color w:val="auto"/>
                <w:highlight w:val="none"/>
                <w:lang w:val="en-US" w:eastAsia="zh-CN"/>
              </w:rPr>
              <w:t>开采标高2210～2160</w:t>
            </w:r>
            <w:r>
              <w:rPr>
                <w:rFonts w:hint="default" w:ascii="Times New Roman" w:hAnsi="Times New Roman" w:cs="Times New Roman"/>
                <w:caps w:val="0"/>
                <w:smallCaps w:val="0"/>
                <w:color w:val="auto"/>
                <w:highlight w:val="none"/>
                <w:lang w:val="en-US" w:eastAsia="zh-CN"/>
              </w:rPr>
              <w:t>m，</w:t>
            </w:r>
            <w:r>
              <w:rPr>
                <w:rFonts w:hint="default" w:ascii="Times New Roman" w:hAnsi="Times New Roman" w:cs="Times New Roman"/>
                <w:color w:val="auto"/>
                <w:szCs w:val="28"/>
                <w:highlight w:val="none"/>
              </w:rPr>
              <w:t>矿区面积为0.0399</w:t>
            </w:r>
            <w:r>
              <w:rPr>
                <w:rFonts w:hint="default" w:ascii="Times New Roman" w:hAnsi="Times New Roman" w:cs="Times New Roman"/>
                <w:color w:val="auto"/>
                <w:szCs w:val="28"/>
                <w:highlight w:val="none"/>
                <w:lang w:eastAsia="zh-CN"/>
              </w:rPr>
              <w:t>km</w:t>
            </w:r>
            <w:r>
              <w:rPr>
                <w:rFonts w:hint="default" w:ascii="Times New Roman" w:hAnsi="Times New Roman" w:cs="Times New Roman"/>
                <w:color w:val="auto"/>
                <w:szCs w:val="28"/>
                <w:highlight w:val="none"/>
                <w:vertAlign w:val="superscript"/>
              </w:rPr>
              <w:t>2</w:t>
            </w:r>
            <w:r>
              <w:rPr>
                <w:rFonts w:hint="default" w:ascii="Times New Roman" w:hAnsi="Times New Roman" w:cs="Times New Roman"/>
                <w:caps w:val="0"/>
                <w:smallCaps w:val="0"/>
                <w:color w:val="auto"/>
                <w:highlight w:val="none"/>
                <w:lang w:val="en-US" w:eastAsia="zh-CN"/>
              </w:rPr>
              <w:t>。</w:t>
            </w:r>
          </w:p>
          <w:p w14:paraId="66D9F522">
            <w:pPr>
              <w:ind w:firstLine="48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根据《云南省人民政府办公厅关于印发〈云南省全面加强非煤矿山安全生产工作若干措施〉的通知》（云政办发〔2024〕44号）中严格非煤矿山市场准入的要求（将现有采石（砂）场最小开采规模提高到50万t/a，达不到该标准要求的，给予3年过渡期实施升级改造，到2026年底仍达不到标准要求的，由属地县级政府积极引导退出）。为此2025年7月昆明达泽商贸有限公司填报了云南省寻甸县柯渡黄龙溏普通建筑材料用砂岩矿50万t/a扩建项目备案，并于</w:t>
            </w:r>
            <w:r>
              <w:rPr>
                <w:rFonts w:ascii="Times New Roman" w:hAnsi="Times New Roman" w:eastAsia="宋体" w:cs="Times New Roman"/>
                <w:color w:val="auto"/>
                <w:highlight w:val="none"/>
                <w:lang w:val="en-US"/>
              </w:rPr>
              <w:t>202</w:t>
            </w:r>
            <w:r>
              <w:rPr>
                <w:rFonts w:hint="eastAsia" w:ascii="Times New Roman" w:hAnsi="Times New Roman" w:eastAsia="宋体" w:cs="Times New Roman"/>
                <w:color w:val="auto"/>
                <w:highlight w:val="none"/>
                <w:lang w:val="en-US" w:eastAsia="zh-CN"/>
              </w:rPr>
              <w:t>5</w:t>
            </w:r>
            <w:r>
              <w:rPr>
                <w:rFonts w:ascii="Times New Roman" w:hAnsi="Times New Roman" w:eastAsia="宋体" w:cs="Times New Roman"/>
                <w:color w:val="auto"/>
                <w:highlight w:val="none"/>
                <w:lang w:val="en-US"/>
              </w:rPr>
              <w:t>年</w:t>
            </w:r>
            <w:r>
              <w:rPr>
                <w:rFonts w:hint="eastAsia" w:ascii="Times New Roman" w:hAnsi="Times New Roman" w:eastAsia="宋体" w:cs="Times New Roman"/>
                <w:color w:val="auto"/>
                <w:highlight w:val="none"/>
                <w:lang w:val="en-US" w:eastAsia="zh-CN"/>
              </w:rPr>
              <w:t>08</w:t>
            </w:r>
            <w:r>
              <w:rPr>
                <w:rFonts w:ascii="Times New Roman" w:hAnsi="Times New Roman" w:eastAsia="宋体" w:cs="Times New Roman"/>
                <w:color w:val="auto"/>
                <w:highlight w:val="none"/>
                <w:lang w:val="en-US"/>
              </w:rPr>
              <w:t>月</w:t>
            </w:r>
            <w:r>
              <w:rPr>
                <w:rFonts w:hint="eastAsia" w:ascii="Times New Roman" w:hAnsi="Times New Roman" w:eastAsia="宋体" w:cs="Times New Roman"/>
                <w:color w:val="auto"/>
                <w:highlight w:val="none"/>
                <w:lang w:val="en-US" w:eastAsia="zh-CN"/>
              </w:rPr>
              <w:t>28</w:t>
            </w:r>
            <w:r>
              <w:rPr>
                <w:rFonts w:ascii="Times New Roman" w:hAnsi="Times New Roman" w:eastAsia="宋体" w:cs="Times New Roman"/>
                <w:color w:val="auto"/>
                <w:highlight w:val="none"/>
                <w:lang w:val="en-US"/>
              </w:rPr>
              <w:t>日取得寻甸回族彝族自治县发展和改革局</w:t>
            </w:r>
            <w:r>
              <w:rPr>
                <w:rFonts w:hint="eastAsia" w:ascii="Times New Roman" w:hAnsi="Times New Roman" w:eastAsia="宋体" w:cs="Times New Roman"/>
                <w:color w:val="auto"/>
                <w:highlight w:val="none"/>
                <w:lang w:val="en-US"/>
              </w:rPr>
              <w:t>出具</w:t>
            </w:r>
            <w:r>
              <w:rPr>
                <w:rFonts w:ascii="Times New Roman" w:hAnsi="Times New Roman" w:eastAsia="宋体" w:cs="Times New Roman"/>
                <w:color w:val="auto"/>
                <w:highlight w:val="none"/>
                <w:lang w:val="en-US"/>
              </w:rPr>
              <w:t>的</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eastAsia="zh-CN"/>
              </w:rPr>
              <w:t>云南省寻甸县柯渡黄龙溏普通建筑材料用砂岩矿50万t/a扩建项目</w:t>
            </w:r>
            <w:r>
              <w:rPr>
                <w:rFonts w:hint="eastAsia" w:ascii="Times New Roman" w:hAnsi="Times New Roman" w:eastAsia="宋体" w:cs="Times New Roman"/>
                <w:color w:val="auto"/>
                <w:highlight w:val="none"/>
                <w:lang w:val="en-US" w:eastAsia="zh-CN"/>
              </w:rPr>
              <w:t>》投资备案证</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项目代码</w:t>
            </w:r>
            <w:r>
              <w:rPr>
                <w:rFonts w:hint="eastAsia" w:ascii="Times New Roman" w:hAnsi="Times New Roman" w:eastAsia="宋体" w:cs="Times New Roman"/>
                <w:color w:val="auto"/>
                <w:highlight w:val="none"/>
                <w:lang w:val="en-US" w:eastAsia="zh-CN"/>
              </w:rPr>
              <w:t>2508-530129-04-01-381161，生产规模由原来的</w:t>
            </w:r>
            <w:r>
              <w:rPr>
                <w:rFonts w:hint="eastAsia" w:ascii="Times New Roman" w:hAnsi="Times New Roman"/>
                <w:caps w:val="0"/>
                <w:smallCaps w:val="0"/>
                <w:color w:val="auto"/>
                <w:highlight w:val="none"/>
              </w:rPr>
              <w:t>10</w:t>
            </w:r>
            <w:r>
              <w:rPr>
                <w:rFonts w:ascii="Times New Roman" w:hAnsi="Times New Roman"/>
                <w:caps w:val="0"/>
                <w:smallCaps w:val="0"/>
                <w:color w:val="auto"/>
                <w:highlight w:val="none"/>
              </w:rPr>
              <w:t>万</w:t>
            </w:r>
            <w:r>
              <w:rPr>
                <w:rFonts w:hint="eastAsia" w:ascii="Times New Roman" w:hAnsi="Times New Roman"/>
                <w:caps w:val="0"/>
                <w:smallCaps w:val="0"/>
                <w:color w:val="auto"/>
                <w:highlight w:val="none"/>
              </w:rPr>
              <w:t>t</w:t>
            </w:r>
            <w:r>
              <w:rPr>
                <w:rFonts w:ascii="Times New Roman" w:hAnsi="Times New Roman"/>
                <w:caps w:val="0"/>
                <w:smallCaps w:val="0"/>
                <w:color w:val="auto"/>
                <w:highlight w:val="none"/>
              </w:rPr>
              <w:t>/a</w:t>
            </w:r>
            <w:r>
              <w:rPr>
                <w:rFonts w:hint="eastAsia" w:ascii="Times New Roman" w:hAnsi="Times New Roman" w:eastAsia="宋体" w:cs="Times New Roman"/>
                <w:color w:val="auto"/>
                <w:highlight w:val="none"/>
                <w:lang w:val="en-US" w:eastAsia="zh-CN"/>
              </w:rPr>
              <w:t>扩大到50万t/a，矿区开采范围、开采方式等不变。</w:t>
            </w:r>
          </w:p>
          <w:p w14:paraId="257E84FF">
            <w:pPr>
              <w:ind w:firstLine="480"/>
              <w:rPr>
                <w:color w:val="auto"/>
                <w:highlight w:val="none"/>
              </w:rPr>
            </w:pPr>
            <w:r>
              <w:rPr>
                <w:rFonts w:ascii="Times New Roman" w:hAnsi="Times New Roman" w:eastAsia="宋体" w:cs="Times New Roman"/>
                <w:color w:val="auto"/>
                <w:highlight w:val="none"/>
              </w:rPr>
              <w:t>根据《中华人民共和国环境保护法》</w:t>
            </w:r>
            <w:r>
              <w:rPr>
                <w:color w:val="auto"/>
                <w:highlight w:val="none"/>
              </w:rPr>
              <w:t>、《中华人民共和国环境影响评价法》和《国务院关于修改〈建设项目环境保护管理条例〉的决定》的规定，本项目应开展环境影响评价工作。根据《建设项目环境影响评价分类管理名录》（2021年版），本项目属于</w:t>
            </w:r>
            <w:r>
              <w:rPr>
                <w:rFonts w:hint="eastAsia"/>
                <w:color w:val="auto"/>
                <w:highlight w:val="none"/>
              </w:rPr>
              <w:t>“</w:t>
            </w:r>
            <w:r>
              <w:rPr>
                <w:color w:val="auto"/>
                <w:highlight w:val="none"/>
              </w:rPr>
              <w:t>八-非金属矿采选业10</w:t>
            </w:r>
            <w:r>
              <w:rPr>
                <w:rFonts w:hint="eastAsia"/>
                <w:color w:val="auto"/>
                <w:highlight w:val="none"/>
              </w:rPr>
              <w:t>”</w:t>
            </w:r>
            <w:r>
              <w:rPr>
                <w:color w:val="auto"/>
                <w:highlight w:val="none"/>
              </w:rPr>
              <w:t>中</w:t>
            </w:r>
            <w:r>
              <w:rPr>
                <w:rFonts w:hint="eastAsia"/>
                <w:color w:val="auto"/>
                <w:highlight w:val="none"/>
              </w:rPr>
              <w:t>“</w:t>
            </w:r>
            <w:r>
              <w:rPr>
                <w:color w:val="auto"/>
                <w:highlight w:val="none"/>
              </w:rPr>
              <w:t>11土砂石开采101（不含河道采砂项目）</w:t>
            </w:r>
            <w:r>
              <w:rPr>
                <w:rFonts w:hint="eastAsia"/>
                <w:color w:val="auto"/>
                <w:highlight w:val="none"/>
              </w:rPr>
              <w:t>”，</w:t>
            </w:r>
            <w:r>
              <w:rPr>
                <w:color w:val="auto"/>
                <w:highlight w:val="none"/>
              </w:rPr>
              <w:t>项目不涉及第三条（一）中的全部区域；</w:t>
            </w:r>
            <w:r>
              <w:rPr>
                <w:rFonts w:hint="eastAsia"/>
                <w:color w:val="auto"/>
                <w:highlight w:val="none"/>
                <w:lang w:val="en-US" w:eastAsia="zh-CN"/>
              </w:rPr>
              <w:t xml:space="preserve"> 不涉及</w:t>
            </w:r>
            <w:r>
              <w:rPr>
                <w:color w:val="auto"/>
                <w:highlight w:val="none"/>
              </w:rPr>
              <w:t>第三条（二）中的除（一）外的生态保护红线管控范围，基本草原，重要水生生物的自然产卵场、索饵场、越冬场和洄游通道，沙化土地封禁保护区等敏感区，因此需编制</w:t>
            </w:r>
            <w:r>
              <w:rPr>
                <w:rFonts w:hint="eastAsia"/>
                <w:color w:val="auto"/>
                <w:highlight w:val="none"/>
                <w:lang w:val="en-US" w:eastAsia="zh-CN"/>
              </w:rPr>
              <w:t>生态</w:t>
            </w:r>
            <w:r>
              <w:rPr>
                <w:color w:val="auto"/>
                <w:highlight w:val="none"/>
              </w:rPr>
              <w:t>环境影响报告表。</w:t>
            </w:r>
          </w:p>
          <w:p w14:paraId="1B0F37F2">
            <w:pPr>
              <w:ind w:firstLine="480"/>
              <w:rPr>
                <w:rFonts w:hint="eastAsia" w:ascii="Times New Roman" w:hAnsi="Times New Roman" w:eastAsia="宋体" w:cs="Times New Roman"/>
                <w:color w:val="auto"/>
                <w:szCs w:val="24"/>
                <w:highlight w:val="none"/>
                <w:lang w:eastAsia="zh-CN"/>
              </w:rPr>
            </w:pPr>
            <w:r>
              <w:rPr>
                <w:color w:val="auto"/>
                <w:highlight w:val="none"/>
              </w:rPr>
              <w:t>受</w:t>
            </w:r>
            <w:r>
              <w:rPr>
                <w:rFonts w:hint="eastAsia" w:ascii="Times New Roman" w:hAnsi="Times New Roman" w:eastAsia="宋体" w:cs="Times New Roman"/>
                <w:color w:val="auto"/>
                <w:highlight w:val="none"/>
                <w:lang w:val="en-US" w:eastAsia="zh-CN"/>
              </w:rPr>
              <w:t>昆明达泽商贸有限公司</w:t>
            </w:r>
            <w:r>
              <w:rPr>
                <w:color w:val="auto"/>
                <w:highlight w:val="none"/>
              </w:rPr>
              <w:t>（以下简称</w:t>
            </w:r>
            <w:r>
              <w:rPr>
                <w:rFonts w:hint="eastAsia"/>
                <w:color w:val="auto"/>
                <w:highlight w:val="none"/>
              </w:rPr>
              <w:t>“</w:t>
            </w:r>
            <w:r>
              <w:rPr>
                <w:color w:val="auto"/>
                <w:highlight w:val="none"/>
              </w:rPr>
              <w:t>建设单位</w:t>
            </w:r>
            <w:r>
              <w:rPr>
                <w:rFonts w:hint="eastAsia"/>
                <w:color w:val="auto"/>
                <w:highlight w:val="none"/>
              </w:rPr>
              <w:t>”</w:t>
            </w:r>
            <w:r>
              <w:rPr>
                <w:color w:val="auto"/>
                <w:highlight w:val="none"/>
              </w:rPr>
              <w:t>）委托，我公司承担了</w:t>
            </w:r>
            <w:r>
              <w:rPr>
                <w:rFonts w:hint="eastAsia"/>
                <w:color w:val="auto"/>
                <w:szCs w:val="24"/>
                <w:highlight w:val="none"/>
                <w:lang w:eastAsia="zh-CN"/>
              </w:rPr>
              <w:t>云南省寻甸县柯渡黄龙溏普通建筑材料用砂岩矿50万t/a扩建项目</w:t>
            </w:r>
            <w:r>
              <w:rPr>
                <w:color w:val="auto"/>
                <w:highlight w:val="none"/>
              </w:rPr>
              <w:t>环评文件的编制工作，接受委托后我公司立即组织有关人员进行现场踏勘并收集了相关资料，按照国家的环评导则及其他相关规定，编制完成了《</w:t>
            </w:r>
            <w:r>
              <w:rPr>
                <w:rFonts w:hint="eastAsia"/>
                <w:color w:val="auto"/>
                <w:szCs w:val="24"/>
                <w:highlight w:val="none"/>
                <w:lang w:eastAsia="zh-CN"/>
              </w:rPr>
              <w:t>云南省寻甸县柯渡黄龙溏普通建筑材料用砂岩矿50万t/a扩建项目</w:t>
            </w:r>
            <w:r>
              <w:rPr>
                <w:rFonts w:hint="eastAsia"/>
                <w:color w:val="auto"/>
                <w:szCs w:val="24"/>
                <w:highlight w:val="none"/>
                <w:lang w:val="en-US" w:eastAsia="zh-CN"/>
              </w:rPr>
              <w:t>生态</w:t>
            </w:r>
            <w:r>
              <w:rPr>
                <w:color w:val="auto"/>
                <w:highlight w:val="none"/>
              </w:rPr>
              <w:t>环境影响报告表》，供建设单位上报审批，作为今后开展环境保护工作的依据</w:t>
            </w:r>
            <w:r>
              <w:rPr>
                <w:rFonts w:hint="eastAsia" w:ascii="Times New Roman" w:hAnsi="Times New Roman" w:eastAsia="宋体" w:cs="Times New Roman"/>
                <w:color w:val="auto"/>
                <w:szCs w:val="24"/>
                <w:highlight w:val="none"/>
                <w:lang w:eastAsia="zh-CN"/>
              </w:rPr>
              <w:t>。</w:t>
            </w:r>
          </w:p>
          <w:p w14:paraId="62E1647E">
            <w:pPr>
              <w:ind w:firstLine="482"/>
              <w:rPr>
                <w:b/>
                <w:bCs/>
                <w:color w:val="auto"/>
                <w:highlight w:val="none"/>
              </w:rPr>
            </w:pPr>
            <w:r>
              <w:rPr>
                <w:rFonts w:hint="eastAsia"/>
                <w:b/>
                <w:bCs/>
                <w:color w:val="auto"/>
                <w:highlight w:val="none"/>
              </w:rPr>
              <w:t>二</w:t>
            </w:r>
            <w:r>
              <w:rPr>
                <w:b/>
                <w:bCs/>
                <w:color w:val="auto"/>
                <w:highlight w:val="none"/>
              </w:rPr>
              <w:t>、</w:t>
            </w:r>
            <w:r>
              <w:rPr>
                <w:rFonts w:hint="eastAsia"/>
                <w:b/>
                <w:bCs/>
                <w:color w:val="auto"/>
                <w:highlight w:val="none"/>
              </w:rPr>
              <w:t>现有项目</w:t>
            </w:r>
            <w:r>
              <w:rPr>
                <w:b/>
                <w:bCs/>
                <w:color w:val="auto"/>
                <w:highlight w:val="none"/>
              </w:rPr>
              <w:t>概况</w:t>
            </w:r>
          </w:p>
          <w:p w14:paraId="7BD929B0">
            <w:pPr>
              <w:ind w:firstLine="482"/>
              <w:rPr>
                <w:b/>
                <w:bCs/>
                <w:color w:val="auto"/>
                <w:highlight w:val="none"/>
              </w:rPr>
            </w:pPr>
            <w:r>
              <w:rPr>
                <w:rFonts w:hint="eastAsia"/>
                <w:b/>
                <w:bCs/>
                <w:color w:val="auto"/>
                <w:highlight w:val="none"/>
              </w:rPr>
              <w:t>1、现有项目</w:t>
            </w:r>
            <w:r>
              <w:rPr>
                <w:b/>
                <w:bCs/>
                <w:color w:val="auto"/>
                <w:highlight w:val="none"/>
              </w:rPr>
              <w:t>基本情况</w:t>
            </w:r>
          </w:p>
          <w:p w14:paraId="00C67C5E">
            <w:pPr>
              <w:ind w:firstLine="480"/>
              <w:rPr>
                <w:rFonts w:ascii="Times New Roman" w:hAnsi="Times New Roman"/>
                <w:caps w:val="0"/>
                <w:smallCaps w:val="0"/>
                <w:color w:val="auto"/>
                <w:highlight w:val="none"/>
              </w:rPr>
            </w:pPr>
            <w:r>
              <w:rPr>
                <w:rFonts w:ascii="Times New Roman" w:hAnsi="Times New Roman"/>
                <w:caps w:val="0"/>
                <w:smallCaps w:val="0"/>
                <w:color w:val="auto"/>
                <w:highlight w:val="none"/>
              </w:rPr>
              <w:t>项目名称：</w:t>
            </w:r>
            <w:r>
              <w:rPr>
                <w:rFonts w:hint="eastAsia" w:ascii="Times New Roman" w:hAnsi="Times New Roman"/>
                <w:caps w:val="0"/>
                <w:smallCaps w:val="0"/>
                <w:color w:val="auto"/>
                <w:highlight w:val="none"/>
              </w:rPr>
              <w:t>昆明达泽商贸有限公司寻甸县柯渡黄龙溏采砂场新建项目</w:t>
            </w:r>
          </w:p>
          <w:p w14:paraId="3F912290">
            <w:pPr>
              <w:ind w:firstLine="480"/>
              <w:rPr>
                <w:rFonts w:ascii="Times New Roman" w:hAnsi="Times New Roman"/>
                <w:caps w:val="0"/>
                <w:smallCaps w:val="0"/>
                <w:color w:val="auto"/>
                <w:highlight w:val="none"/>
              </w:rPr>
            </w:pPr>
            <w:r>
              <w:rPr>
                <w:rFonts w:ascii="Times New Roman" w:hAnsi="Times New Roman"/>
                <w:caps w:val="0"/>
                <w:smallCaps w:val="0"/>
                <w:color w:val="auto"/>
                <w:highlight w:val="none"/>
              </w:rPr>
              <w:t>建设单位：</w:t>
            </w:r>
            <w:r>
              <w:rPr>
                <w:rFonts w:hint="eastAsia" w:ascii="Times New Roman" w:hAnsi="Times New Roman"/>
                <w:caps w:val="0"/>
                <w:smallCaps w:val="0"/>
                <w:color w:val="auto"/>
                <w:highlight w:val="none"/>
              </w:rPr>
              <w:t>昆明达泽商贸有限公司</w:t>
            </w:r>
          </w:p>
          <w:p w14:paraId="3DE52296">
            <w:pPr>
              <w:ind w:firstLine="480"/>
              <w:rPr>
                <w:rFonts w:hint="default" w:ascii="Times New Roman" w:hAnsi="Times New Roman" w:eastAsia="宋体"/>
                <w:caps w:val="0"/>
                <w:smallCaps w:val="0"/>
                <w:color w:val="auto"/>
                <w:highlight w:val="none"/>
                <w:lang w:val="en-US" w:eastAsia="zh-CN"/>
              </w:rPr>
            </w:pPr>
            <w:r>
              <w:rPr>
                <w:rFonts w:ascii="Times New Roman" w:hAnsi="Times New Roman"/>
                <w:caps w:val="0"/>
                <w:smallCaps w:val="0"/>
                <w:color w:val="auto"/>
                <w:highlight w:val="none"/>
              </w:rPr>
              <w:t>建设地点：</w:t>
            </w:r>
            <w:r>
              <w:rPr>
                <w:rFonts w:hint="eastAsia" w:ascii="Times New Roman" w:hAnsi="Times New Roman"/>
                <w:caps w:val="0"/>
                <w:smallCaps w:val="0"/>
                <w:color w:val="auto"/>
                <w:highlight w:val="none"/>
              </w:rPr>
              <w:t>昆明市寻甸县柯渡镇</w:t>
            </w:r>
            <w:r>
              <w:rPr>
                <w:rFonts w:hint="eastAsia" w:ascii="Times New Roman" w:hAnsi="Times New Roman"/>
                <w:caps w:val="0"/>
                <w:smallCaps w:val="0"/>
                <w:color w:val="auto"/>
                <w:highlight w:val="none"/>
                <w:lang w:val="en-US" w:eastAsia="zh-CN"/>
              </w:rPr>
              <w:t>乐朗村委会</w:t>
            </w:r>
          </w:p>
          <w:p w14:paraId="789BC54B">
            <w:pPr>
              <w:ind w:firstLine="480"/>
              <w:rPr>
                <w:rFonts w:ascii="Times New Roman" w:hAnsi="Times New Roman"/>
                <w:caps w:val="0"/>
                <w:smallCaps w:val="0"/>
                <w:color w:val="auto"/>
                <w:highlight w:val="none"/>
              </w:rPr>
            </w:pPr>
            <w:r>
              <w:rPr>
                <w:rFonts w:hint="eastAsia" w:ascii="Times New Roman" w:hAnsi="Times New Roman"/>
                <w:caps w:val="0"/>
                <w:smallCaps w:val="0"/>
                <w:color w:val="auto"/>
                <w:highlight w:val="none"/>
              </w:rPr>
              <w:t>建设内容：</w:t>
            </w:r>
            <w:r>
              <w:rPr>
                <w:rFonts w:hint="eastAsia"/>
                <w:caps w:val="0"/>
                <w:smallCaps w:val="0"/>
                <w:color w:val="auto"/>
                <w:highlight w:val="none"/>
                <w:lang w:eastAsia="zh-CN"/>
              </w:rPr>
              <w:t>露天开采区</w:t>
            </w:r>
            <w:r>
              <w:rPr>
                <w:rFonts w:hint="eastAsia" w:ascii="Times New Roman" w:hAnsi="Times New Roman"/>
                <w:caps w:val="0"/>
                <w:smallCaps w:val="0"/>
                <w:color w:val="auto"/>
                <w:highlight w:val="none"/>
              </w:rPr>
              <w:t>、</w:t>
            </w:r>
            <w:r>
              <w:rPr>
                <w:rFonts w:hint="eastAsia"/>
                <w:caps w:val="0"/>
                <w:smallCaps w:val="0"/>
                <w:color w:val="auto"/>
                <w:highlight w:val="none"/>
                <w:lang w:eastAsia="zh-CN"/>
              </w:rPr>
              <w:t>办公生活区</w:t>
            </w:r>
            <w:r>
              <w:rPr>
                <w:rFonts w:hint="eastAsia" w:ascii="Times New Roman" w:hAnsi="Times New Roman"/>
                <w:caps w:val="0"/>
                <w:smallCaps w:val="0"/>
                <w:color w:val="auto"/>
                <w:highlight w:val="none"/>
              </w:rPr>
              <w:t>、工业场地和环保设施等；</w:t>
            </w:r>
          </w:p>
          <w:p w14:paraId="2F551751">
            <w:pPr>
              <w:ind w:firstLine="480"/>
              <w:rPr>
                <w:rFonts w:ascii="Times New Roman" w:hAnsi="Times New Roman"/>
                <w:caps w:val="0"/>
                <w:smallCaps w:val="0"/>
                <w:color w:val="auto"/>
                <w:highlight w:val="none"/>
              </w:rPr>
            </w:pPr>
            <w:r>
              <w:rPr>
                <w:rFonts w:ascii="Times New Roman" w:hAnsi="Times New Roman"/>
                <w:caps w:val="0"/>
                <w:smallCaps w:val="0"/>
                <w:color w:val="auto"/>
                <w:highlight w:val="none"/>
              </w:rPr>
              <w:t>开采方式：露天开采</w:t>
            </w:r>
          </w:p>
          <w:p w14:paraId="5288BF5C">
            <w:pPr>
              <w:ind w:firstLine="480"/>
              <w:rPr>
                <w:rFonts w:ascii="Times New Roman" w:hAnsi="Times New Roman"/>
                <w:caps w:val="0"/>
                <w:smallCaps w:val="0"/>
                <w:color w:val="auto"/>
                <w:highlight w:val="none"/>
              </w:rPr>
            </w:pPr>
            <w:r>
              <w:rPr>
                <w:rFonts w:ascii="Times New Roman" w:hAnsi="Times New Roman"/>
                <w:caps w:val="0"/>
                <w:smallCaps w:val="0"/>
                <w:color w:val="auto"/>
                <w:highlight w:val="none"/>
              </w:rPr>
              <w:t>工程规模：</w:t>
            </w:r>
            <w:r>
              <w:rPr>
                <w:rFonts w:hint="eastAsia" w:ascii="Times New Roman" w:hAnsi="Times New Roman"/>
                <w:caps w:val="0"/>
                <w:smallCaps w:val="0"/>
                <w:color w:val="auto"/>
                <w:highlight w:val="none"/>
              </w:rPr>
              <w:t>10</w:t>
            </w:r>
            <w:r>
              <w:rPr>
                <w:rFonts w:ascii="Times New Roman" w:hAnsi="Times New Roman"/>
                <w:caps w:val="0"/>
                <w:smallCaps w:val="0"/>
                <w:color w:val="auto"/>
                <w:highlight w:val="none"/>
              </w:rPr>
              <w:t>万t/a（</w:t>
            </w:r>
            <w:r>
              <w:rPr>
                <w:rFonts w:hint="eastAsia" w:ascii="Times New Roman" w:hAnsi="Times New Roman"/>
                <w:caps w:val="0"/>
                <w:smallCaps w:val="0"/>
                <w:color w:val="auto"/>
                <w:highlight w:val="none"/>
              </w:rPr>
              <w:t>4.032</w:t>
            </w:r>
            <w:r>
              <w:rPr>
                <w:rFonts w:ascii="Times New Roman" w:hAnsi="Times New Roman"/>
                <w:caps w:val="0"/>
                <w:smallCaps w:val="0"/>
                <w:color w:val="auto"/>
                <w:highlight w:val="none"/>
              </w:rPr>
              <w:t>万m</w:t>
            </w:r>
            <w:r>
              <w:rPr>
                <w:rFonts w:ascii="Times New Roman" w:hAnsi="Times New Roman"/>
                <w:caps w:val="0"/>
                <w:smallCaps w:val="0"/>
                <w:color w:val="auto"/>
                <w:highlight w:val="none"/>
                <w:vertAlign w:val="superscript"/>
              </w:rPr>
              <w:t>3</w:t>
            </w:r>
            <w:r>
              <w:rPr>
                <w:rFonts w:ascii="Times New Roman" w:hAnsi="Times New Roman"/>
                <w:caps w:val="0"/>
                <w:smallCaps w:val="0"/>
                <w:color w:val="auto"/>
                <w:highlight w:val="none"/>
              </w:rPr>
              <w:t>/a）</w:t>
            </w:r>
          </w:p>
          <w:p w14:paraId="3B77668D">
            <w:pPr>
              <w:ind w:firstLine="480"/>
              <w:rPr>
                <w:rFonts w:ascii="Times New Roman" w:hAnsi="Times New Roman"/>
                <w:caps w:val="0"/>
                <w:smallCaps w:val="0"/>
                <w:color w:val="auto"/>
                <w:highlight w:val="none"/>
              </w:rPr>
            </w:pPr>
            <w:r>
              <w:rPr>
                <w:rFonts w:ascii="Times New Roman" w:hAnsi="Times New Roman"/>
                <w:caps w:val="0"/>
                <w:smallCaps w:val="0"/>
                <w:color w:val="auto"/>
                <w:highlight w:val="none"/>
              </w:rPr>
              <w:t>矿山服务年限：</w:t>
            </w:r>
            <w:r>
              <w:rPr>
                <w:rFonts w:hint="eastAsia" w:ascii="Times New Roman" w:hAnsi="Times New Roman"/>
                <w:caps w:val="0"/>
                <w:smallCaps w:val="0"/>
                <w:color w:val="auto"/>
                <w:highlight w:val="none"/>
              </w:rPr>
              <w:t>7年</w:t>
            </w:r>
          </w:p>
          <w:p w14:paraId="561CF133">
            <w:pPr>
              <w:ind w:firstLine="480"/>
              <w:rPr>
                <w:rFonts w:ascii="Times New Roman" w:hAnsi="Times New Roman"/>
                <w:caps w:val="0"/>
                <w:smallCaps w:val="0"/>
                <w:color w:val="auto"/>
                <w:highlight w:val="none"/>
              </w:rPr>
            </w:pPr>
            <w:r>
              <w:rPr>
                <w:rFonts w:ascii="Times New Roman" w:hAnsi="Times New Roman"/>
                <w:caps w:val="0"/>
                <w:smallCaps w:val="0"/>
                <w:color w:val="auto"/>
                <w:highlight w:val="none"/>
              </w:rPr>
              <w:t>矿区</w:t>
            </w:r>
            <w:r>
              <w:rPr>
                <w:rFonts w:hint="eastAsia"/>
                <w:caps w:val="0"/>
                <w:smallCaps w:val="0"/>
                <w:color w:val="auto"/>
                <w:highlight w:val="none"/>
                <w:lang w:val="en-US" w:eastAsia="zh-CN"/>
              </w:rPr>
              <w:t>范围</w:t>
            </w:r>
            <w:r>
              <w:rPr>
                <w:rFonts w:ascii="Times New Roman" w:hAnsi="Times New Roman"/>
                <w:caps w:val="0"/>
                <w:smallCaps w:val="0"/>
                <w:color w:val="auto"/>
                <w:highlight w:val="none"/>
              </w:rPr>
              <w:t>：</w:t>
            </w:r>
            <w:r>
              <w:rPr>
                <w:rFonts w:hint="eastAsia" w:ascii="Times New Roman" w:hAnsi="Times New Roman" w:eastAsia="宋体" w:cs="Times New Roman"/>
                <w:color w:val="auto"/>
                <w:szCs w:val="24"/>
                <w:highlight w:val="none"/>
              </w:rPr>
              <w:t>由5个拐点圈定</w:t>
            </w:r>
            <w:r>
              <w:rPr>
                <w:rFonts w:hint="eastAsia" w:cs="Times New Roman"/>
                <w:color w:val="auto"/>
                <w:szCs w:val="24"/>
                <w:highlight w:val="none"/>
                <w:lang w:eastAsia="zh-CN"/>
              </w:rPr>
              <w:t>，</w:t>
            </w:r>
            <w:r>
              <w:rPr>
                <w:rFonts w:hint="eastAsia" w:cs="Times New Roman"/>
                <w:color w:val="auto"/>
                <w:szCs w:val="24"/>
                <w:highlight w:val="none"/>
                <w:lang w:val="en-US" w:eastAsia="zh-CN"/>
              </w:rPr>
              <w:t>矿区面积</w:t>
            </w:r>
            <w:r>
              <w:rPr>
                <w:rFonts w:hint="eastAsia" w:ascii="Times New Roman" w:hAnsi="Times New Roman"/>
                <w:caps w:val="0"/>
                <w:smallCaps w:val="0"/>
                <w:color w:val="auto"/>
                <w:highlight w:val="none"/>
              </w:rPr>
              <w:t>0.0399</w:t>
            </w:r>
            <w:r>
              <w:rPr>
                <w:rFonts w:ascii="Times New Roman" w:hAnsi="Times New Roman"/>
                <w:caps w:val="0"/>
                <w:smallCaps w:val="0"/>
                <w:color w:val="auto"/>
                <w:highlight w:val="none"/>
              </w:rPr>
              <w:t>km</w:t>
            </w:r>
            <w:r>
              <w:rPr>
                <w:rFonts w:ascii="Times New Roman" w:hAnsi="Times New Roman"/>
                <w:caps w:val="0"/>
                <w:smallCaps w:val="0"/>
                <w:color w:val="auto"/>
                <w:highlight w:val="none"/>
                <w:vertAlign w:val="superscript"/>
              </w:rPr>
              <w:t>2</w:t>
            </w:r>
          </w:p>
          <w:p w14:paraId="52843DC7">
            <w:pPr>
              <w:ind w:firstLine="480"/>
              <w:rPr>
                <w:rFonts w:hint="default" w:ascii="Times New Roman" w:hAnsi="Times New Roman" w:eastAsia="宋体"/>
                <w:caps w:val="0"/>
                <w:smallCaps w:val="0"/>
                <w:color w:val="auto"/>
                <w:highlight w:val="none"/>
                <w:lang w:val="en-US" w:eastAsia="zh-CN"/>
              </w:rPr>
            </w:pPr>
            <w:r>
              <w:rPr>
                <w:rFonts w:hint="eastAsia" w:ascii="Times New Roman" w:hAnsi="Times New Roman"/>
                <w:caps w:val="0"/>
                <w:smallCaps w:val="0"/>
                <w:color w:val="auto"/>
                <w:highlight w:val="none"/>
                <w:lang w:val="en-US" w:eastAsia="zh-CN"/>
              </w:rPr>
              <w:t xml:space="preserve">开采标高：标高2210～2160m </w:t>
            </w:r>
          </w:p>
          <w:p w14:paraId="78607967">
            <w:pPr>
              <w:ind w:firstLine="480"/>
              <w:rPr>
                <w:rFonts w:ascii="Times New Roman" w:hAnsi="Times New Roman"/>
                <w:caps w:val="0"/>
                <w:smallCaps w:val="0"/>
                <w:color w:val="auto"/>
                <w:highlight w:val="none"/>
              </w:rPr>
            </w:pPr>
            <w:r>
              <w:rPr>
                <w:rFonts w:ascii="Times New Roman" w:hAnsi="Times New Roman"/>
                <w:caps w:val="0"/>
                <w:smallCaps w:val="0"/>
                <w:color w:val="auto"/>
                <w:highlight w:val="none"/>
              </w:rPr>
              <w:t>工程性质：</w:t>
            </w:r>
            <w:r>
              <w:rPr>
                <w:rFonts w:hint="eastAsia" w:ascii="Times New Roman" w:hAnsi="Times New Roman"/>
                <w:caps w:val="0"/>
                <w:smallCaps w:val="0"/>
                <w:color w:val="auto"/>
                <w:highlight w:val="none"/>
              </w:rPr>
              <w:t>新</w:t>
            </w:r>
            <w:r>
              <w:rPr>
                <w:rFonts w:ascii="Times New Roman" w:hAnsi="Times New Roman"/>
                <w:caps w:val="0"/>
                <w:smallCaps w:val="0"/>
                <w:color w:val="auto"/>
                <w:highlight w:val="none"/>
              </w:rPr>
              <w:t>建</w:t>
            </w:r>
          </w:p>
          <w:p w14:paraId="613AF96E">
            <w:pPr>
              <w:ind w:firstLine="480"/>
              <w:rPr>
                <w:rFonts w:ascii="Times New Roman" w:hAnsi="Times New Roman"/>
                <w:caps w:val="0"/>
                <w:smallCaps w:val="0"/>
                <w:color w:val="auto"/>
                <w:highlight w:val="none"/>
              </w:rPr>
            </w:pPr>
            <w:r>
              <w:rPr>
                <w:rFonts w:ascii="Times New Roman" w:hAnsi="Times New Roman"/>
                <w:caps w:val="0"/>
                <w:smallCaps w:val="0"/>
                <w:color w:val="auto"/>
                <w:highlight w:val="none"/>
              </w:rPr>
              <w:t>项目总投资：</w:t>
            </w:r>
            <w:r>
              <w:rPr>
                <w:rFonts w:hint="eastAsia" w:ascii="Times New Roman" w:hAnsi="Times New Roman"/>
                <w:caps w:val="0"/>
                <w:smallCaps w:val="0"/>
                <w:color w:val="auto"/>
                <w:highlight w:val="none"/>
              </w:rPr>
              <w:t>3000</w:t>
            </w:r>
            <w:r>
              <w:rPr>
                <w:rFonts w:ascii="Times New Roman" w:hAnsi="Times New Roman"/>
                <w:caps w:val="0"/>
                <w:smallCaps w:val="0"/>
                <w:color w:val="auto"/>
                <w:highlight w:val="none"/>
              </w:rPr>
              <w:t>万元</w:t>
            </w:r>
            <w:r>
              <w:rPr>
                <w:rFonts w:hint="eastAsia" w:ascii="Times New Roman" w:hAnsi="Times New Roman"/>
                <w:caps w:val="0"/>
                <w:smallCaps w:val="0"/>
                <w:color w:val="auto"/>
                <w:highlight w:val="none"/>
              </w:rPr>
              <w:t>。</w:t>
            </w:r>
          </w:p>
          <w:p w14:paraId="61056323">
            <w:pPr>
              <w:ind w:firstLine="482"/>
              <w:rPr>
                <w:b/>
                <w:bCs/>
                <w:color w:val="auto"/>
                <w:highlight w:val="none"/>
              </w:rPr>
            </w:pPr>
            <w:r>
              <w:rPr>
                <w:rFonts w:hint="eastAsia"/>
                <w:b/>
                <w:bCs/>
                <w:color w:val="auto"/>
                <w:highlight w:val="none"/>
              </w:rPr>
              <w:t>2、现有项目环保手续情况</w:t>
            </w:r>
          </w:p>
          <w:p w14:paraId="7349EFFC">
            <w:pPr>
              <w:ind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（1）2021年1月委托北京文华东方环境科技有限公司编制完成《</w:t>
            </w:r>
            <w:r>
              <w:rPr>
                <w:rFonts w:hint="eastAsia" w:ascii="Times New Roman" w:hAnsi="Times New Roman" w:eastAsia="宋体" w:cs="Times New Roman"/>
                <w:color w:val="auto"/>
                <w:highlight w:val="none"/>
              </w:rPr>
              <w:t>昆明达泽商贸有限公司寻甸县柯渡黄龙溏采砂场新建项目</w:t>
            </w:r>
            <w:r>
              <w:rPr>
                <w:rFonts w:hint="eastAsia" w:ascii="Times New Roman" w:hAnsi="Times New Roman" w:eastAsia="宋体" w:cs="Times New Roman"/>
                <w:color w:val="auto"/>
                <w:highlight w:val="none"/>
                <w:lang w:val="en-US" w:eastAsia="zh-CN"/>
              </w:rPr>
              <w:t>环境影响评价报告书》。</w:t>
            </w:r>
          </w:p>
          <w:p w14:paraId="26B91A0C">
            <w:pPr>
              <w:ind w:firstLine="480"/>
              <w:rPr>
                <w:rFonts w:hint="eastAsia"/>
                <w:color w:val="auto"/>
                <w:szCs w:val="24"/>
                <w:highlight w:val="none"/>
              </w:rPr>
            </w:pPr>
            <w:r>
              <w:rPr>
                <w:rFonts w:hint="eastAsia" w:ascii="Times New Roman" w:hAnsi="Times New Roman" w:eastAsia="宋体" w:cs="Times New Roman"/>
                <w:color w:val="auto"/>
                <w:highlight w:val="none"/>
                <w:lang w:val="en-US" w:eastAsia="zh-CN"/>
              </w:rPr>
              <w:t>（2）2021年2月5日取得昆明市生态环境局寻甸分局关于对《</w:t>
            </w:r>
            <w:r>
              <w:rPr>
                <w:rFonts w:hint="eastAsia" w:ascii="Times New Roman" w:hAnsi="Times New Roman" w:eastAsia="宋体" w:cs="Times New Roman"/>
                <w:color w:val="auto"/>
                <w:highlight w:val="none"/>
              </w:rPr>
              <w:t>昆明达泽商贸有限公司寻甸县柯渡黄龙溏采砂场新建项目</w:t>
            </w:r>
            <w:r>
              <w:rPr>
                <w:rFonts w:hint="eastAsia" w:ascii="Times New Roman" w:hAnsi="Times New Roman" w:eastAsia="宋体" w:cs="Times New Roman"/>
                <w:color w:val="auto"/>
                <w:highlight w:val="none"/>
                <w:lang w:val="en-US" w:eastAsia="zh-CN"/>
              </w:rPr>
              <w:t>环境影响评价报告书》的批复（昆生环寻[2021]23号）。</w:t>
            </w:r>
          </w:p>
          <w:p w14:paraId="2628FA27">
            <w:pPr>
              <w:ind w:firstLine="482"/>
              <w:rPr>
                <w:b/>
                <w:bCs/>
                <w:color w:val="auto"/>
                <w:highlight w:val="none"/>
              </w:rPr>
            </w:pPr>
            <w:r>
              <w:rPr>
                <w:rFonts w:hint="eastAsia"/>
                <w:b/>
                <w:bCs/>
                <w:color w:val="auto"/>
                <w:highlight w:val="none"/>
              </w:rPr>
              <w:t>3、现有项目主要建设内容</w:t>
            </w:r>
          </w:p>
          <w:p w14:paraId="678D55D1">
            <w:pPr>
              <w:ind w:firstLine="480"/>
              <w:rPr>
                <w:rFonts w:hint="eastAsia" w:cs="Times New Roman"/>
                <w:color w:val="auto"/>
                <w:highlight w:val="none"/>
                <w:lang w:val="en-US" w:eastAsia="zh-CN"/>
              </w:rPr>
            </w:pPr>
            <w:r>
              <w:rPr>
                <w:rFonts w:hint="eastAsia"/>
                <w:color w:val="auto"/>
                <w:highlight w:val="none"/>
              </w:rPr>
              <w:t>根据现场踏勘及</w:t>
            </w:r>
            <w:r>
              <w:rPr>
                <w:rFonts w:hint="eastAsia"/>
                <w:color w:val="auto"/>
                <w:highlight w:val="none"/>
                <w:lang w:val="en-US" w:eastAsia="zh-CN"/>
              </w:rPr>
              <w:t>资料收集</w:t>
            </w:r>
            <w:r>
              <w:rPr>
                <w:rFonts w:hint="eastAsia"/>
                <w:color w:val="auto"/>
                <w:highlight w:val="none"/>
              </w:rPr>
              <w:t>，</w:t>
            </w:r>
            <w:r>
              <w:rPr>
                <w:rFonts w:hint="eastAsia"/>
                <w:color w:val="auto"/>
                <w:highlight w:val="none"/>
                <w:lang w:val="en-US" w:eastAsia="zh-CN"/>
              </w:rPr>
              <w:t>现有项目在取得环评批复后，</w:t>
            </w:r>
            <w:r>
              <w:rPr>
                <w:rFonts w:hint="eastAsia" w:ascii="Times New Roman" w:hAnsi="Times New Roman" w:eastAsia="宋体" w:cs="Times New Roman"/>
                <w:color w:val="auto"/>
                <w:highlight w:val="none"/>
                <w:lang w:val="en-US" w:eastAsia="zh-CN"/>
              </w:rPr>
              <w:t>由于矿权范围内林地、</w:t>
            </w:r>
            <w:r>
              <w:rPr>
                <w:rFonts w:hint="eastAsia" w:ascii="Times New Roman" w:hAnsi="Times New Roman" w:eastAsia="宋体" w:cs="Times New Roman"/>
                <w:color w:val="auto"/>
                <w:highlight w:val="none"/>
                <w:lang w:val="zh-TW" w:eastAsia="zh-CN"/>
              </w:rPr>
              <w:t>安全设施设计</w:t>
            </w:r>
            <w:r>
              <w:rPr>
                <w:rFonts w:hint="eastAsia" w:ascii="Times New Roman" w:hAnsi="Times New Roman" w:eastAsia="宋体" w:cs="Times New Roman"/>
                <w:color w:val="auto"/>
                <w:highlight w:val="none"/>
                <w:lang w:val="en-US" w:eastAsia="zh-CN"/>
              </w:rPr>
              <w:t>等手续还未办理完善，同时受市场经济环境不景气等因素影响，矿山</w:t>
            </w:r>
            <w:r>
              <w:rPr>
                <w:rFonts w:hint="eastAsia"/>
                <w:color w:val="auto"/>
                <w:highlight w:val="none"/>
                <w:lang w:val="en-US" w:eastAsia="zh-CN"/>
              </w:rPr>
              <w:t>取得环评批复后</w:t>
            </w:r>
            <w:r>
              <w:rPr>
                <w:rFonts w:hint="eastAsia" w:ascii="Times New Roman" w:hAnsi="Times New Roman" w:eastAsia="宋体" w:cs="Times New Roman"/>
                <w:color w:val="auto"/>
                <w:highlight w:val="none"/>
                <w:lang w:val="en-US" w:eastAsia="zh-CN"/>
              </w:rPr>
              <w:t>至2025年8月一直未进行基建</w:t>
            </w:r>
            <w:r>
              <w:rPr>
                <w:rFonts w:hint="eastAsia" w:ascii="Times New Roman" w:hAnsi="Times New Roman" w:cs="Times New Roman"/>
                <w:color w:val="auto"/>
                <w:highlight w:val="none"/>
                <w:lang w:val="en-US" w:eastAsia="zh-CN"/>
              </w:rPr>
              <w:t>及开采</w:t>
            </w:r>
            <w:r>
              <w:rPr>
                <w:rFonts w:hint="eastAsia" w:ascii="Times New Roman" w:hAnsi="Times New Roman" w:eastAsia="宋体" w:cs="Times New Roman"/>
                <w:color w:val="auto"/>
                <w:highlight w:val="none"/>
                <w:lang w:val="en-US" w:eastAsia="zh-CN"/>
              </w:rPr>
              <w:t>工作，建设单位于2025年8月完善林地手续的办理后，在矿权范围内进行了局部的剥离工作，</w:t>
            </w:r>
            <w:r>
              <w:rPr>
                <w:rFonts w:hint="eastAsia" w:ascii="Times New Roman" w:hAnsi="Times New Roman" w:cs="Times New Roman"/>
                <w:color w:val="auto"/>
                <w:highlight w:val="none"/>
                <w:lang w:val="en-US" w:eastAsia="zh-CN"/>
              </w:rPr>
              <w:t>矿山</w:t>
            </w:r>
            <w:r>
              <w:rPr>
                <w:rFonts w:hint="eastAsia" w:ascii="Times New Roman" w:hAnsi="Times New Roman" w:eastAsia="宋体" w:cs="Times New Roman"/>
                <w:color w:val="auto"/>
                <w:highlight w:val="none"/>
                <w:lang w:val="en-US" w:eastAsia="zh-CN"/>
              </w:rPr>
              <w:t>现</w:t>
            </w:r>
            <w:r>
              <w:rPr>
                <w:rFonts w:hint="eastAsia" w:cs="Times New Roman"/>
                <w:color w:val="auto"/>
                <w:highlight w:val="none"/>
                <w:lang w:val="en-US" w:eastAsia="zh-CN"/>
              </w:rPr>
              <w:t>在已剥离表土</w:t>
            </w:r>
            <w:r>
              <w:rPr>
                <w:rFonts w:hint="eastAsia" w:ascii="Times New Roman" w:hAnsi="Times New Roman" w:eastAsia="宋体" w:cs="Times New Roman"/>
                <w:color w:val="auto"/>
                <w:highlight w:val="none"/>
                <w:lang w:val="en-US" w:eastAsia="zh-CN"/>
              </w:rPr>
              <w:t>形成220</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val="en-US" w:eastAsia="zh-CN"/>
              </w:rPr>
              <w:t>m、2</w:t>
            </w:r>
            <w:r>
              <w:rPr>
                <w:rFonts w:hint="eastAsia" w:cs="Times New Roman"/>
                <w:color w:val="auto"/>
                <w:highlight w:val="none"/>
                <w:lang w:val="en-US" w:eastAsia="zh-CN"/>
              </w:rPr>
              <w:t>192</w:t>
            </w:r>
            <w:r>
              <w:rPr>
                <w:rFonts w:hint="eastAsia" w:ascii="Times New Roman" w:hAnsi="Times New Roman" w:eastAsia="宋体" w:cs="Times New Roman"/>
                <w:color w:val="auto"/>
                <w:highlight w:val="none"/>
                <w:lang w:val="en-US" w:eastAsia="zh-CN"/>
              </w:rPr>
              <w:t>m平台</w:t>
            </w:r>
            <w:r>
              <w:rPr>
                <w:rFonts w:hint="eastAsia" w:cs="Times New Roman"/>
                <w:color w:val="auto"/>
                <w:highlight w:val="none"/>
                <w:lang w:val="en-US" w:eastAsia="zh-CN"/>
              </w:rPr>
              <w:t>，工业场地区至露天采区已建设长130m的内部道路，其余建设内容均未建设。</w:t>
            </w:r>
          </w:p>
          <w:p w14:paraId="0D118210">
            <w:pPr>
              <w:ind w:firstLine="480"/>
              <w:rPr>
                <w:color w:val="auto"/>
                <w:highlight w:val="none"/>
              </w:rPr>
            </w:pPr>
            <w:r>
              <w:rPr>
                <w:rFonts w:hint="eastAsia"/>
                <w:color w:val="auto"/>
                <w:highlight w:val="none"/>
                <w:lang w:val="en-US" w:eastAsia="zh-CN"/>
              </w:rPr>
              <w:t>根据</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rPr>
              <w:t>昆明达泽商贸有限公司寻甸县柯渡黄龙溏采砂场新建项目</w:t>
            </w:r>
            <w:r>
              <w:rPr>
                <w:rFonts w:hint="eastAsia" w:ascii="Times New Roman" w:hAnsi="Times New Roman" w:eastAsia="宋体" w:cs="Times New Roman"/>
                <w:color w:val="auto"/>
                <w:highlight w:val="none"/>
                <w:lang w:val="en-US" w:eastAsia="zh-CN"/>
              </w:rPr>
              <w:t>环境影响报告书》及其批复，</w:t>
            </w:r>
            <w:r>
              <w:rPr>
                <w:rFonts w:hint="eastAsia"/>
                <w:color w:val="auto"/>
                <w:highlight w:val="none"/>
              </w:rPr>
              <w:t>现有项目主要建设内容及工程组成见下表2</w:t>
            </w:r>
            <w:r>
              <w:rPr>
                <w:color w:val="auto"/>
                <w:highlight w:val="none"/>
              </w:rPr>
              <w:t>-1</w:t>
            </w:r>
            <w:r>
              <w:rPr>
                <w:rFonts w:hint="eastAsia"/>
                <w:color w:val="auto"/>
                <w:highlight w:val="none"/>
              </w:rPr>
              <w:t>。</w:t>
            </w:r>
          </w:p>
          <w:p w14:paraId="5B61EB49">
            <w:pPr>
              <w:spacing w:line="240" w:lineRule="auto"/>
              <w:ind w:firstLine="0" w:firstLineChars="0"/>
              <w:jc w:val="center"/>
              <w:rPr>
                <w:color w:val="auto"/>
                <w:sz w:val="21"/>
                <w:szCs w:val="21"/>
                <w:highlight w:val="none"/>
              </w:rPr>
            </w:pPr>
            <w:r>
              <w:rPr>
                <w:b/>
                <w:color w:val="auto"/>
                <w:sz w:val="21"/>
                <w:szCs w:val="21"/>
                <w:highlight w:val="none"/>
              </w:rPr>
              <w:t xml:space="preserve">表2-1  </w:t>
            </w:r>
            <w:r>
              <w:rPr>
                <w:rFonts w:hint="eastAsia"/>
                <w:b/>
                <w:color w:val="auto"/>
                <w:sz w:val="21"/>
                <w:szCs w:val="21"/>
                <w:highlight w:val="none"/>
              </w:rPr>
              <w:t>现有</w:t>
            </w:r>
            <w:r>
              <w:rPr>
                <w:b/>
                <w:color w:val="auto"/>
                <w:sz w:val="21"/>
                <w:szCs w:val="21"/>
                <w:highlight w:val="none"/>
              </w:rPr>
              <w:t>项目建设内容一览表</w:t>
            </w:r>
          </w:p>
          <w:tbl>
            <w:tblPr>
              <w:tblStyle w:val="30"/>
              <w:tblW w:w="7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7"/>
              <w:gridCol w:w="703"/>
              <w:gridCol w:w="580"/>
              <w:gridCol w:w="104"/>
              <w:gridCol w:w="277"/>
              <w:gridCol w:w="4142"/>
              <w:gridCol w:w="1347"/>
            </w:tblGrid>
            <w:tr w14:paraId="30F22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blHeader/>
                <w:jc w:val="center"/>
              </w:trPr>
              <w:tc>
                <w:tcPr>
                  <w:tcW w:w="657" w:type="dxa"/>
                  <w:noWrap/>
                  <w:vAlign w:val="center"/>
                </w:tcPr>
                <w:p w14:paraId="44B7CA5E">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b/>
                      <w:caps w:val="0"/>
                      <w:smallCaps w:val="0"/>
                      <w:color w:val="auto"/>
                      <w:sz w:val="21"/>
                      <w:szCs w:val="21"/>
                      <w:highlight w:val="none"/>
                    </w:rPr>
                  </w:pPr>
                  <w:r>
                    <w:rPr>
                      <w:rFonts w:hint="eastAsia" w:ascii="Times New Roman" w:hAnsi="Times New Roman"/>
                      <w:b/>
                      <w:caps w:val="0"/>
                      <w:smallCaps w:val="0"/>
                      <w:color w:val="auto"/>
                      <w:sz w:val="21"/>
                      <w:szCs w:val="21"/>
                      <w:highlight w:val="none"/>
                    </w:rPr>
                    <w:t>项目内容</w:t>
                  </w:r>
                </w:p>
              </w:tc>
              <w:tc>
                <w:tcPr>
                  <w:tcW w:w="703" w:type="dxa"/>
                  <w:noWrap/>
                  <w:vAlign w:val="center"/>
                </w:tcPr>
                <w:p w14:paraId="0D60E2BA">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b/>
                      <w:caps w:val="0"/>
                      <w:smallCaps w:val="0"/>
                      <w:color w:val="auto"/>
                      <w:sz w:val="21"/>
                      <w:szCs w:val="21"/>
                      <w:highlight w:val="none"/>
                    </w:rPr>
                  </w:pPr>
                  <w:r>
                    <w:rPr>
                      <w:rFonts w:ascii="Times New Roman" w:hAnsi="Times New Roman"/>
                      <w:b/>
                      <w:caps w:val="0"/>
                      <w:smallCaps w:val="0"/>
                      <w:color w:val="auto"/>
                      <w:sz w:val="21"/>
                      <w:szCs w:val="21"/>
                      <w:highlight w:val="none"/>
                    </w:rPr>
                    <w:t>名称</w:t>
                  </w:r>
                </w:p>
              </w:tc>
              <w:tc>
                <w:tcPr>
                  <w:tcW w:w="5103" w:type="dxa"/>
                  <w:gridSpan w:val="4"/>
                  <w:noWrap/>
                  <w:vAlign w:val="center"/>
                </w:tcPr>
                <w:p w14:paraId="1B0522BB">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b/>
                      <w:caps w:val="0"/>
                      <w:smallCaps w:val="0"/>
                      <w:color w:val="auto"/>
                      <w:sz w:val="21"/>
                      <w:szCs w:val="21"/>
                      <w:highlight w:val="none"/>
                    </w:rPr>
                  </w:pPr>
                  <w:r>
                    <w:rPr>
                      <w:rFonts w:hint="eastAsia" w:ascii="Times New Roman" w:hAnsi="Times New Roman"/>
                      <w:b/>
                      <w:caps w:val="0"/>
                      <w:smallCaps w:val="0"/>
                      <w:color w:val="auto"/>
                      <w:sz w:val="21"/>
                      <w:szCs w:val="21"/>
                      <w:highlight w:val="none"/>
                    </w:rPr>
                    <w:t>项目组成</w:t>
                  </w:r>
                </w:p>
              </w:tc>
              <w:tc>
                <w:tcPr>
                  <w:tcW w:w="1347" w:type="dxa"/>
                  <w:noWrap/>
                  <w:vAlign w:val="center"/>
                </w:tcPr>
                <w:p w14:paraId="4FB40386">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b/>
                      <w:caps w:val="0"/>
                      <w:smallCaps w:val="0"/>
                      <w:color w:val="auto"/>
                      <w:sz w:val="21"/>
                      <w:szCs w:val="21"/>
                      <w:highlight w:val="none"/>
                      <w:lang w:val="en-US" w:eastAsia="zh-CN"/>
                    </w:rPr>
                  </w:pPr>
                  <w:r>
                    <w:rPr>
                      <w:rFonts w:hint="eastAsia"/>
                      <w:b/>
                      <w:caps w:val="0"/>
                      <w:smallCaps w:val="0"/>
                      <w:color w:val="auto"/>
                      <w:sz w:val="21"/>
                      <w:szCs w:val="21"/>
                      <w:highlight w:val="none"/>
                      <w:lang w:val="en-US" w:eastAsia="zh-CN"/>
                    </w:rPr>
                    <w:t>已建设情况</w:t>
                  </w:r>
                </w:p>
              </w:tc>
            </w:tr>
            <w:tr w14:paraId="7236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2" w:hRule="atLeast"/>
                <w:jc w:val="center"/>
              </w:trPr>
              <w:tc>
                <w:tcPr>
                  <w:tcW w:w="657" w:type="dxa"/>
                  <w:noWrap/>
                  <w:vAlign w:val="center"/>
                </w:tcPr>
                <w:p w14:paraId="572E4D65">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主体工程</w:t>
                  </w:r>
                </w:p>
              </w:tc>
              <w:tc>
                <w:tcPr>
                  <w:tcW w:w="703" w:type="dxa"/>
                  <w:noWrap/>
                  <w:vAlign w:val="center"/>
                </w:tcPr>
                <w:p w14:paraId="12C70FFB">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露天开采区</w:t>
                  </w:r>
                </w:p>
              </w:tc>
              <w:tc>
                <w:tcPr>
                  <w:tcW w:w="5103" w:type="dxa"/>
                  <w:gridSpan w:val="4"/>
                  <w:noWrap/>
                  <w:vAlign w:val="center"/>
                </w:tcPr>
                <w:p w14:paraId="4B3EEF06">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lang w:val="en-US" w:eastAsia="zh-CN"/>
                    </w:rPr>
                    <w:t>项目为新建项目，露天开采区位于整个项目区南部，矿区共设置2205</w:t>
                  </w:r>
                  <w:r>
                    <w:rPr>
                      <w:rFonts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lang w:val="en-US" w:eastAsia="zh-CN"/>
                    </w:rPr>
                    <w:t>、2200m、2195</w:t>
                  </w:r>
                  <w:r>
                    <w:rPr>
                      <w:rFonts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lang w:val="en-US" w:eastAsia="zh-CN"/>
                    </w:rPr>
                    <w:t>、2190</w:t>
                  </w:r>
                  <w:r>
                    <w:rPr>
                      <w:rFonts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lang w:val="en-US" w:eastAsia="zh-CN"/>
                    </w:rPr>
                    <w:t>、2185</w:t>
                  </w:r>
                  <w:r>
                    <w:rPr>
                      <w:rFonts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lang w:val="en-US" w:eastAsia="zh-CN"/>
                    </w:rPr>
                    <w:t>、2180</w:t>
                  </w:r>
                  <w:r>
                    <w:rPr>
                      <w:rFonts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lang w:val="en-US" w:eastAsia="zh-CN"/>
                    </w:rPr>
                    <w:t>、2175</w:t>
                  </w:r>
                  <w:r>
                    <w:rPr>
                      <w:rFonts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lang w:val="en-US" w:eastAsia="zh-CN"/>
                    </w:rPr>
                    <w:t>、2170</w:t>
                  </w:r>
                  <w:r>
                    <w:rPr>
                      <w:rFonts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lang w:val="en-US" w:eastAsia="zh-CN"/>
                    </w:rPr>
                    <w:t>、2165</w:t>
                  </w:r>
                  <w:r>
                    <w:rPr>
                      <w:rFonts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lang w:val="en-US" w:eastAsia="zh-CN"/>
                    </w:rPr>
                    <w:t>、2160</w:t>
                  </w:r>
                  <w:r>
                    <w:rPr>
                      <w:rFonts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lang w:eastAsia="zh-CN"/>
                    </w:rPr>
                    <w:t>，</w:t>
                  </w:r>
                  <w:r>
                    <w:rPr>
                      <w:rFonts w:hint="eastAsia" w:ascii="Times New Roman" w:hAnsi="Times New Roman"/>
                      <w:caps w:val="0"/>
                      <w:smallCaps w:val="0"/>
                      <w:color w:val="auto"/>
                      <w:sz w:val="21"/>
                      <w:szCs w:val="21"/>
                      <w:highlight w:val="none"/>
                      <w:lang w:val="en-US" w:eastAsia="zh-CN"/>
                    </w:rPr>
                    <w:t>10个台阶，采场顶部标高2205m，底部标高2160 m，最大采深48m，</w:t>
                  </w:r>
                  <w:r>
                    <w:rPr>
                      <w:rFonts w:hint="eastAsia"/>
                      <w:caps w:val="0"/>
                      <w:smallCaps w:val="0"/>
                      <w:color w:val="auto"/>
                      <w:sz w:val="21"/>
                      <w:szCs w:val="21"/>
                      <w:highlight w:val="none"/>
                      <w:lang w:val="en-US" w:eastAsia="zh-CN"/>
                    </w:rPr>
                    <w:t>露天开采区</w:t>
                  </w:r>
                  <w:r>
                    <w:rPr>
                      <w:rFonts w:hint="eastAsia" w:ascii="Times New Roman" w:hAnsi="Times New Roman"/>
                      <w:caps w:val="0"/>
                      <w:smallCaps w:val="0"/>
                      <w:color w:val="auto"/>
                      <w:sz w:val="21"/>
                      <w:szCs w:val="21"/>
                      <w:highlight w:val="none"/>
                      <w:lang w:val="en-US" w:eastAsia="zh-CN"/>
                    </w:rPr>
                    <w:t>上口尺寸(最大)250m×230m，</w:t>
                  </w:r>
                  <w:r>
                    <w:rPr>
                      <w:rFonts w:hint="eastAsia"/>
                      <w:caps w:val="0"/>
                      <w:smallCaps w:val="0"/>
                      <w:color w:val="auto"/>
                      <w:sz w:val="21"/>
                      <w:szCs w:val="21"/>
                      <w:highlight w:val="none"/>
                      <w:lang w:val="en-US" w:eastAsia="zh-CN"/>
                    </w:rPr>
                    <w:t>露天开采区</w:t>
                  </w:r>
                  <w:r>
                    <w:rPr>
                      <w:rFonts w:hint="eastAsia" w:ascii="Times New Roman" w:hAnsi="Times New Roman"/>
                      <w:caps w:val="0"/>
                      <w:smallCaps w:val="0"/>
                      <w:color w:val="auto"/>
                      <w:sz w:val="21"/>
                      <w:szCs w:val="21"/>
                      <w:highlight w:val="none"/>
                      <w:lang w:val="en-US" w:eastAsia="zh-CN"/>
                    </w:rPr>
                    <w:t>下口尺寸(最大)72m×43m。</w:t>
                  </w:r>
                </w:p>
              </w:tc>
              <w:tc>
                <w:tcPr>
                  <w:tcW w:w="1347" w:type="dxa"/>
                  <w:noWrap/>
                  <w:vAlign w:val="center"/>
                </w:tcPr>
                <w:p w14:paraId="4DEFD76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cs="Times New Roman"/>
                      <w:caps w:val="0"/>
                      <w:smallCaps w:val="0"/>
                      <w:color w:val="auto"/>
                      <w:sz w:val="21"/>
                      <w:szCs w:val="21"/>
                      <w:highlight w:val="none"/>
                      <w:lang w:val="en-US" w:eastAsia="zh-CN"/>
                    </w:rPr>
                    <w:t>矿山现在已剥离表土形成2200m、2192m平台</w:t>
                  </w:r>
                </w:p>
              </w:tc>
            </w:tr>
            <w:tr w14:paraId="747F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4" w:hRule="atLeast"/>
                <w:jc w:val="center"/>
              </w:trPr>
              <w:tc>
                <w:tcPr>
                  <w:tcW w:w="657" w:type="dxa"/>
                  <w:vMerge w:val="restart"/>
                  <w:noWrap/>
                  <w:vAlign w:val="center"/>
                </w:tcPr>
                <w:p w14:paraId="2D2A4C59">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辅助工程</w:t>
                  </w:r>
                </w:p>
              </w:tc>
              <w:tc>
                <w:tcPr>
                  <w:tcW w:w="703" w:type="dxa"/>
                  <w:vMerge w:val="restart"/>
                  <w:noWrap/>
                  <w:vAlign w:val="center"/>
                </w:tcPr>
                <w:p w14:paraId="3D8C65AE">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r>
                    <w:rPr>
                      <w:rFonts w:hint="eastAsia" w:ascii="Times New Roman" w:hAnsi="Times New Roman"/>
                      <w:caps w:val="0"/>
                      <w:smallCaps w:val="0"/>
                      <w:color w:val="auto"/>
                      <w:kern w:val="0"/>
                      <w:sz w:val="21"/>
                      <w:szCs w:val="21"/>
                      <w:highlight w:val="none"/>
                    </w:rPr>
                    <w:t>工业场地</w:t>
                  </w:r>
                </w:p>
              </w:tc>
              <w:tc>
                <w:tcPr>
                  <w:tcW w:w="580" w:type="dxa"/>
                  <w:noWrap/>
                  <w:vAlign w:val="center"/>
                </w:tcPr>
                <w:p w14:paraId="3A0AC1F1">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破碎站</w:t>
                  </w:r>
                </w:p>
              </w:tc>
              <w:tc>
                <w:tcPr>
                  <w:tcW w:w="4523" w:type="dxa"/>
                  <w:gridSpan w:val="3"/>
                  <w:noWrap/>
                  <w:vAlign w:val="center"/>
                </w:tcPr>
                <w:p w14:paraId="408A45CA">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lang w:val="en-US" w:eastAsia="zh-CN"/>
                    </w:rPr>
                    <w:t>项目破碎站设置于项目区北侧，位于矿点3附近，破碎站建筑面积为</w:t>
                  </w:r>
                  <w:r>
                    <w:rPr>
                      <w:rFonts w:hint="eastAsia" w:ascii="Times New Roman" w:hAnsi="Times New Roman"/>
                      <w:caps w:val="0"/>
                      <w:smallCaps w:val="0"/>
                      <w:color w:val="auto"/>
                      <w:sz w:val="21"/>
                      <w:szCs w:val="21"/>
                      <w:highlight w:val="none"/>
                    </w:rPr>
                    <w:t>400m</w:t>
                  </w:r>
                  <w:r>
                    <w:rPr>
                      <w:rFonts w:hint="eastAsia" w:ascii="Times New Roman" w:hAnsi="Times New Roman"/>
                      <w:caps w:val="0"/>
                      <w:smallCaps w:val="0"/>
                      <w:color w:val="auto"/>
                      <w:sz w:val="21"/>
                      <w:szCs w:val="21"/>
                      <w:highlight w:val="none"/>
                      <w:vertAlign w:val="superscript"/>
                    </w:rPr>
                    <w:t>2</w:t>
                  </w:r>
                  <w:r>
                    <w:rPr>
                      <w:rFonts w:hint="eastAsia" w:ascii="Times New Roman" w:hAnsi="Times New Roman"/>
                      <w:caps w:val="0"/>
                      <w:smallCaps w:val="0"/>
                      <w:color w:val="auto"/>
                      <w:sz w:val="21"/>
                      <w:szCs w:val="21"/>
                      <w:highlight w:val="none"/>
                    </w:rPr>
                    <w:t>，对矿石</w:t>
                  </w:r>
                  <w:r>
                    <w:rPr>
                      <w:rFonts w:hint="eastAsia" w:ascii="Times New Roman" w:hAnsi="Times New Roman"/>
                      <w:caps w:val="0"/>
                      <w:smallCaps w:val="0"/>
                      <w:color w:val="auto"/>
                      <w:sz w:val="21"/>
                      <w:szCs w:val="21"/>
                      <w:highlight w:val="none"/>
                      <w:lang w:val="en-US" w:eastAsia="zh-CN"/>
                    </w:rPr>
                    <w:t>按照粒径</w:t>
                  </w:r>
                  <w:r>
                    <w:rPr>
                      <w:rFonts w:hint="eastAsia" w:ascii="Times New Roman" w:hAnsi="Times New Roman"/>
                      <w:caps w:val="0"/>
                      <w:smallCaps w:val="0"/>
                      <w:color w:val="auto"/>
                      <w:sz w:val="21"/>
                      <w:szCs w:val="21"/>
                      <w:highlight w:val="none"/>
                    </w:rPr>
                    <w:t>进行</w:t>
                  </w:r>
                  <w:r>
                    <w:rPr>
                      <w:rFonts w:hint="eastAsia" w:ascii="Times New Roman" w:hAnsi="Times New Roman"/>
                      <w:caps w:val="0"/>
                      <w:smallCaps w:val="0"/>
                      <w:color w:val="auto"/>
                      <w:sz w:val="21"/>
                      <w:szCs w:val="21"/>
                      <w:highlight w:val="none"/>
                      <w:lang w:val="en-US" w:eastAsia="zh-CN"/>
                    </w:rPr>
                    <w:t>一级破碎+筛分+二级破碎+筛分+制砂工艺生产小于4mm的细砂，生产出来的细砂堆存于砂料堆场</w:t>
                  </w:r>
                  <w:r>
                    <w:rPr>
                      <w:rFonts w:hint="eastAsia" w:ascii="Times New Roman" w:hAnsi="Times New Roman"/>
                      <w:caps w:val="0"/>
                      <w:smallCaps w:val="0"/>
                      <w:color w:val="auto"/>
                      <w:sz w:val="21"/>
                      <w:szCs w:val="21"/>
                      <w:highlight w:val="none"/>
                    </w:rPr>
                    <w:t>。</w:t>
                  </w:r>
                </w:p>
              </w:tc>
              <w:tc>
                <w:tcPr>
                  <w:tcW w:w="1347" w:type="dxa"/>
                  <w:noWrap/>
                  <w:vAlign w:val="center"/>
                </w:tcPr>
                <w:p w14:paraId="17F2584F">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kern w:val="0"/>
                      <w:sz w:val="21"/>
                      <w:szCs w:val="21"/>
                      <w:highlight w:val="none"/>
                      <w:lang w:eastAsia="zh-CN"/>
                    </w:rPr>
                  </w:pPr>
                  <w:r>
                    <w:rPr>
                      <w:rFonts w:hint="eastAsia" w:ascii="Times New Roman" w:hAnsi="Times New Roman"/>
                      <w:caps w:val="0"/>
                      <w:smallCaps w:val="0"/>
                      <w:color w:val="auto"/>
                      <w:kern w:val="0"/>
                      <w:sz w:val="21"/>
                      <w:szCs w:val="21"/>
                      <w:highlight w:val="none"/>
                      <w:lang w:val="en-US" w:eastAsia="zh-CN"/>
                    </w:rPr>
                    <w:t>未建设</w:t>
                  </w:r>
                </w:p>
              </w:tc>
            </w:tr>
            <w:tr w14:paraId="006D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657" w:type="dxa"/>
                  <w:vMerge w:val="continue"/>
                  <w:noWrap/>
                  <w:vAlign w:val="center"/>
                </w:tcPr>
                <w:p w14:paraId="015609B6">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5DF03238">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p>
              </w:tc>
              <w:tc>
                <w:tcPr>
                  <w:tcW w:w="580" w:type="dxa"/>
                  <w:noWrap/>
                  <w:vAlign w:val="center"/>
                </w:tcPr>
                <w:p w14:paraId="5C9E86A8">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配电室</w:t>
                  </w:r>
                </w:p>
              </w:tc>
              <w:tc>
                <w:tcPr>
                  <w:tcW w:w="4523" w:type="dxa"/>
                  <w:gridSpan w:val="3"/>
                  <w:noWrap/>
                  <w:vAlign w:val="center"/>
                </w:tcPr>
                <w:p w14:paraId="7C4CF585">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olor w:val="auto"/>
                      <w:highlight w:val="none"/>
                      <w:lang w:val="en-US" w:eastAsia="zh-CN"/>
                    </w:rPr>
                  </w:pPr>
                  <w:r>
                    <w:rPr>
                      <w:rFonts w:hint="eastAsia" w:ascii="Times New Roman" w:hAnsi="Times New Roman"/>
                      <w:color w:val="auto"/>
                      <w:sz w:val="21"/>
                      <w:szCs w:val="21"/>
                      <w:highlight w:val="none"/>
                      <w:lang w:val="en-US" w:eastAsia="zh-CN"/>
                    </w:rPr>
                    <w:t>位于</w:t>
                  </w:r>
                  <w:r>
                    <w:rPr>
                      <w:rFonts w:hint="eastAsia"/>
                      <w:color w:val="auto"/>
                      <w:sz w:val="21"/>
                      <w:szCs w:val="21"/>
                      <w:highlight w:val="none"/>
                      <w:lang w:val="en-US" w:eastAsia="zh-CN"/>
                    </w:rPr>
                    <w:t>办公生活区</w:t>
                  </w:r>
                  <w:r>
                    <w:rPr>
                      <w:rFonts w:hint="eastAsia" w:ascii="Times New Roman" w:hAnsi="Times New Roman"/>
                      <w:color w:val="auto"/>
                      <w:sz w:val="21"/>
                      <w:szCs w:val="21"/>
                      <w:highlight w:val="none"/>
                      <w:lang w:val="en-US" w:eastAsia="zh-CN"/>
                    </w:rPr>
                    <w:t>东侧，</w:t>
                  </w:r>
                  <w:r>
                    <w:rPr>
                      <w:rFonts w:hint="eastAsia" w:ascii="Times New Roman" w:hAnsi="Times New Roman"/>
                      <w:color w:val="auto"/>
                      <w:sz w:val="21"/>
                      <w:szCs w:val="21"/>
                      <w:highlight w:val="none"/>
                    </w:rPr>
                    <w:t>建筑面积约</w:t>
                  </w:r>
                  <w:r>
                    <w:rPr>
                      <w:rFonts w:hint="eastAsia" w:ascii="Times New Roman" w:hAnsi="Times New Roman"/>
                      <w:color w:val="auto"/>
                      <w:sz w:val="21"/>
                      <w:szCs w:val="21"/>
                      <w:highlight w:val="none"/>
                      <w:lang w:val="en-US" w:eastAsia="zh-CN"/>
                    </w:rPr>
                    <w:t>55</w:t>
                  </w:r>
                  <w:r>
                    <w:rPr>
                      <w:rFonts w:hint="eastAsia" w:ascii="Times New Roman" w:hAnsi="Times New Roman"/>
                      <w:color w:val="auto"/>
                      <w:sz w:val="21"/>
                      <w:szCs w:val="21"/>
                      <w:highlight w:val="none"/>
                    </w:rPr>
                    <w:t>m</w:t>
                  </w:r>
                  <w:r>
                    <w:rPr>
                      <w:rFonts w:hint="eastAsia" w:ascii="Times New Roman" w:hAnsi="Times New Roman"/>
                      <w:color w:val="auto"/>
                      <w:sz w:val="21"/>
                      <w:szCs w:val="21"/>
                      <w:highlight w:val="none"/>
                      <w:vertAlign w:val="superscript"/>
                    </w:rPr>
                    <w:t>2</w:t>
                  </w:r>
                  <w:r>
                    <w:rPr>
                      <w:rFonts w:ascii="Times New Roman" w:hAnsi="Times New Roman"/>
                      <w:color w:val="auto"/>
                      <w:sz w:val="21"/>
                      <w:szCs w:val="21"/>
                      <w:highlight w:val="none"/>
                    </w:rPr>
                    <w:t>。</w:t>
                  </w:r>
                  <w:r>
                    <w:rPr>
                      <w:rFonts w:hint="eastAsia" w:ascii="Times New Roman" w:hAnsi="Times New Roman"/>
                      <w:color w:val="auto"/>
                      <w:sz w:val="21"/>
                      <w:szCs w:val="21"/>
                      <w:highlight w:val="none"/>
                      <w:lang w:val="en-US" w:eastAsia="zh-CN"/>
                    </w:rPr>
                    <w:t>主要给破碎站和员工办公生活供电。设置1台630KW和1台250KW变压器供生产生活用电。</w:t>
                  </w:r>
                </w:p>
              </w:tc>
              <w:tc>
                <w:tcPr>
                  <w:tcW w:w="1347" w:type="dxa"/>
                  <w:noWrap/>
                  <w:vAlign w:val="center"/>
                </w:tcPr>
                <w:p w14:paraId="16380511">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kern w:val="0"/>
                      <w:sz w:val="21"/>
                      <w:szCs w:val="21"/>
                      <w:highlight w:val="none"/>
                      <w:lang w:eastAsia="zh-CN"/>
                    </w:rPr>
                  </w:pPr>
                  <w:r>
                    <w:rPr>
                      <w:rFonts w:hint="eastAsia" w:ascii="Times New Roman" w:hAnsi="Times New Roman"/>
                      <w:caps w:val="0"/>
                      <w:smallCaps w:val="0"/>
                      <w:color w:val="auto"/>
                      <w:kern w:val="0"/>
                      <w:sz w:val="21"/>
                      <w:szCs w:val="21"/>
                      <w:highlight w:val="none"/>
                      <w:lang w:val="en-US" w:eastAsia="zh-CN"/>
                    </w:rPr>
                    <w:t>未建设</w:t>
                  </w:r>
                </w:p>
              </w:tc>
            </w:tr>
            <w:tr w14:paraId="351A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jc w:val="center"/>
              </w:trPr>
              <w:tc>
                <w:tcPr>
                  <w:tcW w:w="657" w:type="dxa"/>
                  <w:vMerge w:val="continue"/>
                  <w:noWrap/>
                  <w:vAlign w:val="center"/>
                </w:tcPr>
                <w:p w14:paraId="7F9DA42C">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6772B8A7">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p>
              </w:tc>
              <w:tc>
                <w:tcPr>
                  <w:tcW w:w="580" w:type="dxa"/>
                  <w:noWrap/>
                  <w:vAlign w:val="center"/>
                </w:tcPr>
                <w:p w14:paraId="13F731E9">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ascii="Times New Roman" w:hAnsi="Times New Roman"/>
                      <w:caps w:val="0"/>
                      <w:smallCaps w:val="0"/>
                      <w:color w:val="auto"/>
                      <w:sz w:val="21"/>
                      <w:szCs w:val="21"/>
                      <w:highlight w:val="none"/>
                    </w:rPr>
                  </w:pPr>
                  <w:r>
                    <w:rPr>
                      <w:rFonts w:hint="eastAsia" w:ascii="Times New Roman" w:hAnsi="Times New Roman"/>
                      <w:caps w:val="0"/>
                      <w:smallCaps w:val="0"/>
                      <w:color w:val="auto"/>
                      <w:kern w:val="0"/>
                      <w:sz w:val="21"/>
                      <w:szCs w:val="21"/>
                      <w:highlight w:val="none"/>
                    </w:rPr>
                    <w:t>砂料堆场</w:t>
                  </w:r>
                </w:p>
              </w:tc>
              <w:tc>
                <w:tcPr>
                  <w:tcW w:w="4523" w:type="dxa"/>
                  <w:gridSpan w:val="3"/>
                  <w:noWrap/>
                  <w:vAlign w:val="center"/>
                </w:tcPr>
                <w:p w14:paraId="3DBC3909">
                  <w:pPr>
                    <w:keepNext w:val="0"/>
                    <w:keepLines w:val="0"/>
                    <w:pageBreakBefore w:val="0"/>
                    <w:widowControl/>
                    <w:kinsoku/>
                    <w:wordWrap/>
                    <w:overflowPunct/>
                    <w:topLinePunct w:val="0"/>
                    <w:autoSpaceDE/>
                    <w:autoSpaceDN/>
                    <w:bidi w:val="0"/>
                    <w:spacing w:line="240" w:lineRule="auto"/>
                    <w:ind w:firstLine="0" w:firstLineChars="0"/>
                    <w:textAlignment w:val="auto"/>
                    <w:rPr>
                      <w:rFonts w:hint="eastAsia"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项目</w:t>
                  </w:r>
                  <w:r>
                    <w:rPr>
                      <w:rFonts w:hint="eastAsia" w:ascii="Times New Roman" w:hAnsi="Times New Roman"/>
                      <w:caps w:val="0"/>
                      <w:smallCaps w:val="0"/>
                      <w:color w:val="auto"/>
                      <w:sz w:val="21"/>
                      <w:szCs w:val="21"/>
                      <w:highlight w:val="none"/>
                      <w:lang w:val="en-US" w:eastAsia="zh-CN"/>
                    </w:rPr>
                    <w:t>砂料堆场位于项目区北侧，位于矿点2附近，紧邻破碎站，砂料堆场建筑面约3000m</w:t>
                  </w:r>
                  <w:r>
                    <w:rPr>
                      <w:rFonts w:hint="eastAsia" w:ascii="Times New Roman" w:hAnsi="Times New Roman"/>
                      <w:caps w:val="0"/>
                      <w:smallCaps w:val="0"/>
                      <w:color w:val="auto"/>
                      <w:sz w:val="21"/>
                      <w:szCs w:val="21"/>
                      <w:highlight w:val="none"/>
                      <w:vertAlign w:val="superscript"/>
                      <w:lang w:val="en-US" w:eastAsia="zh-CN"/>
                    </w:rPr>
                    <w:t>2</w:t>
                  </w:r>
                  <w:r>
                    <w:rPr>
                      <w:rFonts w:hint="eastAsia" w:ascii="Times New Roman" w:hAnsi="Times New Roman"/>
                      <w:caps w:val="0"/>
                      <w:smallCaps w:val="0"/>
                      <w:color w:val="auto"/>
                      <w:sz w:val="21"/>
                      <w:szCs w:val="21"/>
                      <w:highlight w:val="none"/>
                      <w:lang w:val="en-US" w:eastAsia="zh-CN"/>
                    </w:rPr>
                    <w:t>，采用三面围挡，上方设置顶棚，棚高7m，用于堆存项目破碎站生产出来的细砂产品。</w:t>
                  </w:r>
                </w:p>
              </w:tc>
              <w:tc>
                <w:tcPr>
                  <w:tcW w:w="1347" w:type="dxa"/>
                  <w:noWrap/>
                  <w:vAlign w:val="center"/>
                </w:tcPr>
                <w:p w14:paraId="1AFE9A0F">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kern w:val="0"/>
                      <w:sz w:val="21"/>
                      <w:szCs w:val="21"/>
                      <w:highlight w:val="none"/>
                      <w:lang w:eastAsia="zh-CN"/>
                    </w:rPr>
                  </w:pPr>
                  <w:r>
                    <w:rPr>
                      <w:rFonts w:hint="eastAsia" w:ascii="Times New Roman" w:hAnsi="Times New Roman"/>
                      <w:caps w:val="0"/>
                      <w:smallCaps w:val="0"/>
                      <w:color w:val="auto"/>
                      <w:kern w:val="0"/>
                      <w:sz w:val="21"/>
                      <w:szCs w:val="21"/>
                      <w:highlight w:val="none"/>
                      <w:lang w:val="en-US" w:eastAsia="zh-CN"/>
                    </w:rPr>
                    <w:t>未建设</w:t>
                  </w:r>
                </w:p>
              </w:tc>
            </w:tr>
            <w:tr w14:paraId="2417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7" w:type="dxa"/>
                  <w:vMerge w:val="continue"/>
                  <w:noWrap/>
                  <w:vAlign w:val="center"/>
                </w:tcPr>
                <w:p w14:paraId="72271D43">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noWrap/>
                  <w:vAlign w:val="center"/>
                </w:tcPr>
                <w:p w14:paraId="6DC02CC4">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kern w:val="0"/>
                      <w:sz w:val="21"/>
                      <w:szCs w:val="21"/>
                      <w:highlight w:val="none"/>
                      <w:lang w:eastAsia="zh-CN"/>
                    </w:rPr>
                  </w:pPr>
                  <w:r>
                    <w:rPr>
                      <w:rFonts w:hint="eastAsia" w:ascii="Times New Roman" w:hAnsi="Times New Roman"/>
                      <w:caps w:val="0"/>
                      <w:smallCaps w:val="0"/>
                      <w:color w:val="auto"/>
                      <w:sz w:val="21"/>
                      <w:szCs w:val="21"/>
                      <w:highlight w:val="none"/>
                      <w:lang w:eastAsia="zh-CN"/>
                    </w:rPr>
                    <w:t>排土场</w:t>
                  </w:r>
                </w:p>
              </w:tc>
              <w:tc>
                <w:tcPr>
                  <w:tcW w:w="5103" w:type="dxa"/>
                  <w:gridSpan w:val="4"/>
                  <w:noWrap/>
                  <w:vAlign w:val="center"/>
                </w:tcPr>
                <w:p w14:paraId="60E4E253">
                  <w:pPr>
                    <w:keepNext w:val="0"/>
                    <w:keepLines w:val="0"/>
                    <w:pageBreakBefore w:val="0"/>
                    <w:widowControl/>
                    <w:kinsoku/>
                    <w:wordWrap/>
                    <w:overflowPunct/>
                    <w:topLinePunct w:val="0"/>
                    <w:autoSpaceDE/>
                    <w:autoSpaceDN/>
                    <w:bidi w:val="0"/>
                    <w:spacing w:line="240" w:lineRule="auto"/>
                    <w:ind w:firstLine="0" w:firstLineChars="0"/>
                    <w:textAlignment w:val="auto"/>
                    <w:rPr>
                      <w:rFonts w:hint="eastAsia" w:ascii="Times New Roman" w:hAnsi="Times New Roman"/>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rPr>
                    <w:t>位于</w:t>
                  </w:r>
                  <w:r>
                    <w:rPr>
                      <w:rFonts w:hint="eastAsia" w:ascii="Times New Roman" w:hAnsi="Times New Roman"/>
                      <w:caps w:val="0"/>
                      <w:smallCaps w:val="0"/>
                      <w:color w:val="auto"/>
                      <w:sz w:val="21"/>
                      <w:szCs w:val="21"/>
                      <w:highlight w:val="none"/>
                      <w:lang w:val="en-US" w:eastAsia="zh-CN"/>
                    </w:rPr>
                    <w:t>项目区东北侧，工业场地下游，</w:t>
                  </w:r>
                  <w:r>
                    <w:rPr>
                      <w:rFonts w:hint="eastAsia" w:ascii="Times New Roman" w:hAnsi="Times New Roman"/>
                      <w:caps w:val="0"/>
                      <w:smallCaps w:val="0"/>
                      <w:color w:val="auto"/>
                      <w:sz w:val="21"/>
                      <w:szCs w:val="21"/>
                      <w:highlight w:val="none"/>
                    </w:rPr>
                    <w:t>占地面积为0.47hm</w:t>
                  </w:r>
                  <w:r>
                    <w:rPr>
                      <w:rFonts w:ascii="Times New Roman" w:hAnsi="Times New Roman"/>
                      <w:caps w:val="0"/>
                      <w:smallCaps w:val="0"/>
                      <w:color w:val="auto"/>
                      <w:sz w:val="21"/>
                      <w:szCs w:val="21"/>
                      <w:highlight w:val="none"/>
                      <w:vertAlign w:val="superscript"/>
                    </w:rPr>
                    <w:t>2</w:t>
                  </w:r>
                  <w:r>
                    <w:rPr>
                      <w:rFonts w:hint="eastAsia" w:ascii="Times New Roman" w:hAnsi="Times New Roman"/>
                      <w:caps w:val="0"/>
                      <w:smallCaps w:val="0"/>
                      <w:color w:val="auto"/>
                      <w:sz w:val="21"/>
                      <w:szCs w:val="21"/>
                      <w:highlight w:val="none"/>
                    </w:rPr>
                    <w:t>，</w:t>
                  </w:r>
                  <w:r>
                    <w:rPr>
                      <w:rFonts w:hint="eastAsia" w:ascii="Times New Roman" w:hAnsi="Times New Roman"/>
                      <w:caps w:val="0"/>
                      <w:smallCaps w:val="0"/>
                      <w:color w:val="auto"/>
                      <w:sz w:val="21"/>
                      <w:szCs w:val="21"/>
                      <w:highlight w:val="none"/>
                      <w:lang w:val="en-US" w:eastAsia="zh-CN"/>
                    </w:rPr>
                    <w:t>容积</w:t>
                  </w:r>
                  <w:r>
                    <w:rPr>
                      <w:rFonts w:hint="eastAsia" w:ascii="Times New Roman" w:hAnsi="Times New Roman"/>
                      <w:caps w:val="0"/>
                      <w:smallCaps w:val="0"/>
                      <w:color w:val="auto"/>
                      <w:sz w:val="21"/>
                      <w:szCs w:val="21"/>
                      <w:highlight w:val="none"/>
                    </w:rPr>
                    <w:t>为</w:t>
                  </w:r>
                  <w:r>
                    <w:rPr>
                      <w:rFonts w:hint="eastAsia" w:ascii="Times New Roman" w:hAnsi="Times New Roman"/>
                      <w:caps w:val="0"/>
                      <w:smallCaps w:val="0"/>
                      <w:color w:val="auto"/>
                      <w:sz w:val="21"/>
                      <w:szCs w:val="21"/>
                      <w:highlight w:val="none"/>
                      <w:lang w:val="en-US" w:eastAsia="zh-CN"/>
                    </w:rPr>
                    <w:t>2.21</w:t>
                  </w:r>
                  <w:r>
                    <w:rPr>
                      <w:rFonts w:hint="eastAsia" w:ascii="Times New Roman" w:hAnsi="Times New Roman"/>
                      <w:caps w:val="0"/>
                      <w:smallCaps w:val="0"/>
                      <w:color w:val="auto"/>
                      <w:sz w:val="21"/>
                      <w:szCs w:val="21"/>
                      <w:highlight w:val="none"/>
                    </w:rPr>
                    <w:t>万m</w:t>
                  </w:r>
                  <w:r>
                    <w:rPr>
                      <w:rFonts w:ascii="Times New Roman" w:hAnsi="Times New Roman"/>
                      <w:caps w:val="0"/>
                      <w:smallCaps w:val="0"/>
                      <w:color w:val="auto"/>
                      <w:sz w:val="21"/>
                      <w:szCs w:val="21"/>
                      <w:highlight w:val="none"/>
                      <w:vertAlign w:val="superscript"/>
                    </w:rPr>
                    <w:t>3</w:t>
                  </w:r>
                  <w:r>
                    <w:rPr>
                      <w:rFonts w:hint="eastAsia" w:ascii="Times New Roman" w:hAnsi="Times New Roman"/>
                      <w:caps w:val="0"/>
                      <w:smallCaps w:val="0"/>
                      <w:color w:val="auto"/>
                      <w:sz w:val="21"/>
                      <w:szCs w:val="21"/>
                      <w:highlight w:val="none"/>
                    </w:rPr>
                    <w:t>，</w:t>
                  </w:r>
                  <w:r>
                    <w:rPr>
                      <w:rFonts w:hint="eastAsia" w:ascii="Times New Roman" w:hAnsi="Times New Roman"/>
                      <w:caps w:val="0"/>
                      <w:smallCaps w:val="0"/>
                      <w:color w:val="auto"/>
                      <w:sz w:val="21"/>
                      <w:szCs w:val="21"/>
                      <w:highlight w:val="none"/>
                      <w:lang w:val="en-US" w:eastAsia="zh-CN"/>
                    </w:rPr>
                    <w:t>排土场设计堆土高程为2168—2178m，堆土高度10m。排土场下游新建浆砌石挡墙 39m，挡墙采用梯形结构，顶宽 0.7m，面坡 1：0.4，背坡 1：0.1，</w:t>
                  </w:r>
                  <w:r>
                    <w:rPr>
                      <w:rFonts w:hint="eastAsia"/>
                      <w:caps w:val="0"/>
                      <w:smallCaps w:val="0"/>
                      <w:color w:val="auto"/>
                      <w:sz w:val="21"/>
                      <w:szCs w:val="21"/>
                      <w:highlight w:val="none"/>
                      <w:lang w:val="en-US" w:eastAsia="zh-CN"/>
                    </w:rPr>
                    <w:t>排土场坝</w:t>
                  </w:r>
                  <w:r>
                    <w:rPr>
                      <w:rFonts w:hint="eastAsia" w:ascii="Times New Roman" w:hAnsi="Times New Roman"/>
                      <w:caps w:val="0"/>
                      <w:smallCaps w:val="0"/>
                      <w:color w:val="auto"/>
                      <w:sz w:val="21"/>
                      <w:szCs w:val="21"/>
                      <w:highlight w:val="none"/>
                      <w:lang w:val="en-US" w:eastAsia="zh-CN"/>
                    </w:rPr>
                    <w:t>高 3m，</w:t>
                  </w:r>
                  <w:r>
                    <w:rPr>
                      <w:rFonts w:hint="eastAsia"/>
                      <w:caps w:val="0"/>
                      <w:smallCaps w:val="0"/>
                      <w:color w:val="auto"/>
                      <w:sz w:val="21"/>
                      <w:szCs w:val="21"/>
                      <w:highlight w:val="none"/>
                      <w:lang w:val="en-US" w:eastAsia="zh-CN"/>
                    </w:rPr>
                    <w:t>坝长39m，</w:t>
                  </w:r>
                  <w:r>
                    <w:rPr>
                      <w:rFonts w:hint="eastAsia" w:ascii="Times New Roman" w:hAnsi="Times New Roman"/>
                      <w:caps w:val="0"/>
                      <w:smallCaps w:val="0"/>
                      <w:color w:val="auto"/>
                      <w:sz w:val="21"/>
                      <w:szCs w:val="21"/>
                      <w:highlight w:val="none"/>
                      <w:lang w:val="en-US" w:eastAsia="zh-CN"/>
                    </w:rPr>
                    <w:t>基础埋深 1m。</w:t>
                  </w:r>
                </w:p>
                <w:p w14:paraId="78AA7781">
                  <w:pPr>
                    <w:keepNext w:val="0"/>
                    <w:keepLines w:val="0"/>
                    <w:pageBreakBefore w:val="0"/>
                    <w:widowControl/>
                    <w:kinsoku/>
                    <w:wordWrap/>
                    <w:overflowPunct/>
                    <w:topLinePunct w:val="0"/>
                    <w:autoSpaceDE/>
                    <w:autoSpaceDN/>
                    <w:bidi w:val="0"/>
                    <w:spacing w:line="240" w:lineRule="auto"/>
                    <w:ind w:firstLine="0" w:firstLineChars="0"/>
                    <w:textAlignment w:val="auto"/>
                    <w:rPr>
                      <w:rFonts w:hint="eastAsia"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lang w:val="en-US" w:eastAsia="zh-CN"/>
                    </w:rPr>
                    <w:t>排土场</w:t>
                  </w:r>
                  <w:r>
                    <w:rPr>
                      <w:rFonts w:hint="eastAsia" w:ascii="Times New Roman" w:hAnsi="Times New Roman"/>
                      <w:caps w:val="0"/>
                      <w:smallCaps w:val="0"/>
                      <w:color w:val="auto"/>
                      <w:sz w:val="21"/>
                      <w:szCs w:val="21"/>
                      <w:highlight w:val="none"/>
                    </w:rPr>
                    <w:t>外围设置排水沟 157m，设计采用矩形断面，净断面尺寸 b×h（底宽×深）＝0.5×0.6m，沟底为 0.2m 的 C15 素混凝</w:t>
                  </w:r>
                </w:p>
                <w:p w14:paraId="60F14A4E">
                  <w:pPr>
                    <w:keepNext w:val="0"/>
                    <w:keepLines w:val="0"/>
                    <w:pageBreakBefore w:val="0"/>
                    <w:widowControl/>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土垫层，沟帮采用 M7.5 浆砌砖 0.36m 厚，M</w:t>
                  </w:r>
                  <w:r>
                    <w:rPr>
                      <w:rFonts w:hint="eastAsia" w:ascii="Times New Roman" w:hAnsi="Times New Roman"/>
                      <w:caps w:val="0"/>
                      <w:smallCaps w:val="0"/>
                      <w:color w:val="auto"/>
                      <w:sz w:val="21"/>
                      <w:szCs w:val="21"/>
                      <w:highlight w:val="none"/>
                      <w:vertAlign w:val="subscript"/>
                    </w:rPr>
                    <w:t>10</w:t>
                  </w:r>
                  <w:r>
                    <w:rPr>
                      <w:rFonts w:hint="eastAsia" w:ascii="Times New Roman" w:hAnsi="Times New Roman"/>
                      <w:caps w:val="0"/>
                      <w:smallCaps w:val="0"/>
                      <w:color w:val="auto"/>
                      <w:sz w:val="21"/>
                      <w:szCs w:val="21"/>
                      <w:highlight w:val="none"/>
                    </w:rPr>
                    <w:t xml:space="preserve"> 砂浆抹面2cm</w:t>
                  </w:r>
                  <w:r>
                    <w:rPr>
                      <w:rFonts w:hint="eastAsia" w:ascii="Times New Roman" w:hAnsi="Times New Roman"/>
                      <w:caps w:val="0"/>
                      <w:smallCaps w:val="0"/>
                      <w:color w:val="auto"/>
                      <w:sz w:val="21"/>
                      <w:szCs w:val="21"/>
                      <w:highlight w:val="none"/>
                      <w:lang w:eastAsia="zh-CN"/>
                    </w:rPr>
                    <w:t>。</w:t>
                  </w:r>
                </w:p>
              </w:tc>
              <w:tc>
                <w:tcPr>
                  <w:tcW w:w="1347" w:type="dxa"/>
                  <w:noWrap/>
                  <w:vAlign w:val="center"/>
                </w:tcPr>
                <w:p w14:paraId="332489F4">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cs="Times New Roman"/>
                      <w:caps w:val="0"/>
                      <w:smallCaps w:val="0"/>
                      <w:color w:val="auto"/>
                      <w:sz w:val="21"/>
                      <w:szCs w:val="21"/>
                      <w:highlight w:val="none"/>
                      <w:lang w:val="en-US" w:eastAsia="zh-CN"/>
                    </w:rPr>
                    <w:t>未建设</w:t>
                  </w:r>
                </w:p>
              </w:tc>
            </w:tr>
            <w:tr w14:paraId="058D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657" w:type="dxa"/>
                  <w:vMerge w:val="continue"/>
                  <w:noWrap/>
                  <w:vAlign w:val="center"/>
                </w:tcPr>
                <w:p w14:paraId="3320E254">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noWrap/>
                  <w:vAlign w:val="center"/>
                </w:tcPr>
                <w:p w14:paraId="2B576A1C">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kern w:val="0"/>
                      <w:sz w:val="21"/>
                      <w:szCs w:val="21"/>
                      <w:highlight w:val="none"/>
                      <w:lang w:eastAsia="zh-CN"/>
                    </w:rPr>
                  </w:pPr>
                  <w:r>
                    <w:rPr>
                      <w:rFonts w:hint="eastAsia"/>
                      <w:caps w:val="0"/>
                      <w:smallCaps w:val="0"/>
                      <w:color w:val="auto"/>
                      <w:kern w:val="0"/>
                      <w:sz w:val="21"/>
                      <w:szCs w:val="21"/>
                      <w:highlight w:val="none"/>
                      <w:lang w:eastAsia="zh-CN"/>
                    </w:rPr>
                    <w:t>办公生活区</w:t>
                  </w:r>
                </w:p>
              </w:tc>
              <w:tc>
                <w:tcPr>
                  <w:tcW w:w="5103" w:type="dxa"/>
                  <w:gridSpan w:val="4"/>
                  <w:noWrap/>
                  <w:vAlign w:val="center"/>
                </w:tcPr>
                <w:p w14:paraId="3F8844CD">
                  <w:pPr>
                    <w:keepNext w:val="0"/>
                    <w:keepLines w:val="0"/>
                    <w:pageBreakBefore w:val="0"/>
                    <w:widowControl/>
                    <w:kinsoku/>
                    <w:wordWrap/>
                    <w:overflowPunct/>
                    <w:topLinePunct w:val="0"/>
                    <w:autoSpaceDE/>
                    <w:autoSpaceDN/>
                    <w:bidi w:val="0"/>
                    <w:spacing w:line="240" w:lineRule="auto"/>
                    <w:ind w:firstLine="0" w:firstLineChars="0"/>
                    <w:textAlignment w:val="auto"/>
                    <w:rPr>
                      <w:rFonts w:hint="default" w:ascii="Times New Roman" w:hAnsi="Times New Roman" w:eastAsia="宋体"/>
                      <w:caps w:val="0"/>
                      <w:smallCaps w:val="0"/>
                      <w:color w:val="auto"/>
                      <w:sz w:val="21"/>
                      <w:szCs w:val="21"/>
                      <w:highlight w:val="none"/>
                      <w:lang w:val="en-US" w:eastAsia="zh-CN"/>
                    </w:rPr>
                  </w:pPr>
                  <w:r>
                    <w:rPr>
                      <w:rFonts w:hint="eastAsia"/>
                      <w:caps w:val="0"/>
                      <w:smallCaps w:val="0"/>
                      <w:color w:val="auto"/>
                      <w:sz w:val="21"/>
                      <w:szCs w:val="21"/>
                      <w:highlight w:val="none"/>
                      <w:lang w:eastAsia="zh-CN"/>
                    </w:rPr>
                    <w:t>办公生活区</w:t>
                  </w:r>
                  <w:r>
                    <w:rPr>
                      <w:rFonts w:hint="eastAsia" w:ascii="Times New Roman" w:hAnsi="Times New Roman"/>
                      <w:caps w:val="0"/>
                      <w:smallCaps w:val="0"/>
                      <w:color w:val="auto"/>
                      <w:sz w:val="21"/>
                      <w:szCs w:val="21"/>
                      <w:highlight w:val="none"/>
                      <w:lang w:val="en-US" w:eastAsia="zh-CN"/>
                    </w:rPr>
                    <w:t>位于西北侧，</w:t>
                  </w:r>
                  <w:r>
                    <w:rPr>
                      <w:rFonts w:hint="eastAsia" w:ascii="Times New Roman" w:hAnsi="Times New Roman"/>
                      <w:caps w:val="0"/>
                      <w:smallCaps w:val="0"/>
                      <w:color w:val="auto"/>
                      <w:sz w:val="21"/>
                      <w:szCs w:val="21"/>
                      <w:highlight w:val="none"/>
                    </w:rPr>
                    <w:t>为1栋1层的建筑物，</w:t>
                  </w:r>
                  <w:r>
                    <w:rPr>
                      <w:rFonts w:hint="eastAsia" w:ascii="Times New Roman" w:hAnsi="Times New Roman"/>
                      <w:caps w:val="0"/>
                      <w:smallCaps w:val="0"/>
                      <w:color w:val="auto"/>
                      <w:sz w:val="21"/>
                      <w:szCs w:val="21"/>
                      <w:highlight w:val="none"/>
                      <w:lang w:val="en-US" w:eastAsia="zh-CN"/>
                    </w:rPr>
                    <w:t>建筑面积</w:t>
                  </w:r>
                  <w:r>
                    <w:rPr>
                      <w:rFonts w:hint="eastAsia" w:ascii="Times New Roman" w:hAnsi="Times New Roman"/>
                      <w:caps w:val="0"/>
                      <w:smallCaps w:val="0"/>
                      <w:color w:val="auto"/>
                      <w:sz w:val="21"/>
                      <w:szCs w:val="21"/>
                      <w:highlight w:val="none"/>
                    </w:rPr>
                    <w:t>约</w:t>
                  </w:r>
                  <w:r>
                    <w:rPr>
                      <w:rFonts w:hint="eastAsia" w:ascii="Times New Roman" w:hAnsi="Times New Roman"/>
                      <w:caps w:val="0"/>
                      <w:smallCaps w:val="0"/>
                      <w:color w:val="auto"/>
                      <w:sz w:val="21"/>
                      <w:szCs w:val="21"/>
                      <w:highlight w:val="none"/>
                      <w:lang w:val="en-US" w:eastAsia="zh-CN"/>
                    </w:rPr>
                    <w:t>5</w:t>
                  </w:r>
                  <w:r>
                    <w:rPr>
                      <w:rFonts w:hint="eastAsia" w:ascii="Times New Roman" w:hAnsi="Times New Roman"/>
                      <w:caps w:val="0"/>
                      <w:smallCaps w:val="0"/>
                      <w:color w:val="auto"/>
                      <w:sz w:val="21"/>
                      <w:szCs w:val="21"/>
                      <w:highlight w:val="none"/>
                    </w:rPr>
                    <w:t>00m</w:t>
                  </w:r>
                  <w:r>
                    <w:rPr>
                      <w:rFonts w:hint="eastAsia" w:ascii="Times New Roman" w:hAnsi="Times New Roman"/>
                      <w:caps w:val="0"/>
                      <w:smallCaps w:val="0"/>
                      <w:color w:val="auto"/>
                      <w:sz w:val="21"/>
                      <w:szCs w:val="21"/>
                      <w:highlight w:val="none"/>
                      <w:vertAlign w:val="superscript"/>
                    </w:rPr>
                    <w:t>2</w:t>
                  </w:r>
                  <w:r>
                    <w:rPr>
                      <w:rFonts w:hint="eastAsia" w:ascii="Times New Roman" w:hAnsi="Times New Roman"/>
                      <w:caps w:val="0"/>
                      <w:smallCaps w:val="0"/>
                      <w:color w:val="auto"/>
                      <w:sz w:val="21"/>
                      <w:szCs w:val="21"/>
                      <w:highlight w:val="none"/>
                    </w:rPr>
                    <w:t>。</w:t>
                  </w:r>
                </w:p>
                <w:p w14:paraId="19CF7476">
                  <w:pPr>
                    <w:keepNext w:val="0"/>
                    <w:keepLines w:val="0"/>
                    <w:pageBreakBefore w:val="0"/>
                    <w:widowControl/>
                    <w:kinsoku/>
                    <w:wordWrap/>
                    <w:overflowPunct/>
                    <w:topLinePunct w:val="0"/>
                    <w:autoSpaceDE/>
                    <w:autoSpaceDN/>
                    <w:bidi w:val="0"/>
                    <w:spacing w:line="240" w:lineRule="auto"/>
                    <w:ind w:firstLine="0" w:firstLineChars="0"/>
                    <w:textAlignment w:val="auto"/>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从东到西依次布置办公室、值班室、食堂、休息室、机修间。</w:t>
                  </w:r>
                </w:p>
                <w:p w14:paraId="1A7D88FB">
                  <w:pPr>
                    <w:keepNext w:val="0"/>
                    <w:keepLines w:val="0"/>
                    <w:pageBreakBefore w:val="0"/>
                    <w:widowControl/>
                    <w:kinsoku/>
                    <w:wordWrap/>
                    <w:overflowPunct/>
                    <w:topLinePunct w:val="0"/>
                    <w:autoSpaceDE/>
                    <w:autoSpaceDN/>
                    <w:bidi w:val="0"/>
                    <w:spacing w:line="240" w:lineRule="auto"/>
                    <w:ind w:firstLine="0" w:firstLineChars="0"/>
                    <w:textAlignment w:val="auto"/>
                    <w:rPr>
                      <w:rFonts w:hint="eastAsia" w:ascii="Times New Roman" w:hAnsi="Times New Roman"/>
                      <w:caps w:val="0"/>
                      <w:smallCaps w:val="0"/>
                      <w:color w:val="auto"/>
                      <w:kern w:val="0"/>
                      <w:sz w:val="21"/>
                      <w:szCs w:val="21"/>
                      <w:highlight w:val="none"/>
                      <w:lang w:val="en-US" w:eastAsia="zh-CN"/>
                    </w:rPr>
                  </w:pPr>
                  <w:r>
                    <w:rPr>
                      <w:rFonts w:hint="eastAsia" w:ascii="Times New Roman" w:hAnsi="Times New Roman"/>
                      <w:caps w:val="0"/>
                      <w:smallCaps w:val="0"/>
                      <w:color w:val="auto"/>
                      <w:kern w:val="0"/>
                      <w:sz w:val="21"/>
                      <w:szCs w:val="21"/>
                      <w:highlight w:val="none"/>
                      <w:lang w:val="en-US" w:eastAsia="zh-CN"/>
                    </w:rPr>
                    <w:t>设置一个旱厕供员工入厕使用，旱厕占地面积约10m</w:t>
                  </w:r>
                  <w:r>
                    <w:rPr>
                      <w:rFonts w:hint="eastAsia" w:ascii="Times New Roman" w:hAnsi="Times New Roman"/>
                      <w:caps w:val="0"/>
                      <w:smallCaps w:val="0"/>
                      <w:color w:val="auto"/>
                      <w:kern w:val="0"/>
                      <w:sz w:val="21"/>
                      <w:szCs w:val="21"/>
                      <w:highlight w:val="none"/>
                      <w:vertAlign w:val="superscript"/>
                      <w:lang w:val="en-US" w:eastAsia="zh-CN"/>
                    </w:rPr>
                    <w:t>2</w:t>
                  </w:r>
                  <w:r>
                    <w:rPr>
                      <w:rFonts w:hint="eastAsia" w:ascii="Times New Roman" w:hAnsi="Times New Roman"/>
                      <w:caps w:val="0"/>
                      <w:smallCaps w:val="0"/>
                      <w:color w:val="auto"/>
                      <w:kern w:val="0"/>
                      <w:sz w:val="21"/>
                      <w:szCs w:val="21"/>
                      <w:highlight w:val="none"/>
                      <w:lang w:val="en-US" w:eastAsia="zh-CN"/>
                    </w:rPr>
                    <w:t>。</w:t>
                  </w:r>
                </w:p>
                <w:p w14:paraId="12D36BA6">
                  <w:pPr>
                    <w:keepNext w:val="0"/>
                    <w:keepLines w:val="0"/>
                    <w:pageBreakBefore w:val="0"/>
                    <w:widowControl/>
                    <w:kinsoku/>
                    <w:wordWrap/>
                    <w:overflowPunct/>
                    <w:topLinePunct w:val="0"/>
                    <w:autoSpaceDE/>
                    <w:autoSpaceDN/>
                    <w:bidi w:val="0"/>
                    <w:spacing w:line="240" w:lineRule="auto"/>
                    <w:ind w:firstLine="0" w:firstLineChars="0"/>
                    <w:textAlignment w:val="auto"/>
                    <w:rPr>
                      <w:rFonts w:hint="default" w:ascii="Times New Roman" w:hAnsi="Times New Roman" w:eastAsia="宋体"/>
                      <w:caps w:val="0"/>
                      <w:smallCaps w:val="0"/>
                      <w:color w:val="auto"/>
                      <w:kern w:val="0"/>
                      <w:sz w:val="21"/>
                      <w:szCs w:val="21"/>
                      <w:highlight w:val="none"/>
                      <w:vertAlign w:val="superscript"/>
                      <w:lang w:val="en-US" w:eastAsia="zh-CN"/>
                    </w:rPr>
                  </w:pPr>
                  <w:r>
                    <w:rPr>
                      <w:rFonts w:hint="eastAsia" w:ascii="Times New Roman" w:hAnsi="Times New Roman"/>
                      <w:caps w:val="0"/>
                      <w:smallCaps w:val="0"/>
                      <w:color w:val="auto"/>
                      <w:kern w:val="0"/>
                      <w:sz w:val="21"/>
                      <w:szCs w:val="21"/>
                      <w:highlight w:val="none"/>
                      <w:lang w:val="en-US" w:eastAsia="zh-CN"/>
                    </w:rPr>
                    <w:t>其余区域为空地，主要用作停车、员工休闲活动使用。</w:t>
                  </w:r>
                </w:p>
              </w:tc>
              <w:tc>
                <w:tcPr>
                  <w:tcW w:w="1347" w:type="dxa"/>
                  <w:noWrap/>
                  <w:vAlign w:val="center"/>
                </w:tcPr>
                <w:p w14:paraId="3F2B0570">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kern w:val="0"/>
                      <w:sz w:val="21"/>
                      <w:szCs w:val="21"/>
                      <w:highlight w:val="none"/>
                      <w:lang w:eastAsia="zh-CN"/>
                    </w:rPr>
                  </w:pPr>
                  <w:r>
                    <w:rPr>
                      <w:rFonts w:hint="eastAsia" w:ascii="Times New Roman" w:hAnsi="Times New Roman"/>
                      <w:caps w:val="0"/>
                      <w:smallCaps w:val="0"/>
                      <w:color w:val="auto"/>
                      <w:sz w:val="21"/>
                      <w:szCs w:val="21"/>
                      <w:highlight w:val="none"/>
                      <w:lang w:val="en-US" w:eastAsia="zh-CN"/>
                    </w:rPr>
                    <w:t>未建设</w:t>
                  </w:r>
                </w:p>
              </w:tc>
            </w:tr>
            <w:tr w14:paraId="709F7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657" w:type="dxa"/>
                  <w:vMerge w:val="continue"/>
                  <w:noWrap/>
                  <w:vAlign w:val="center"/>
                </w:tcPr>
                <w:p w14:paraId="0BCBB664">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noWrap/>
                  <w:vAlign w:val="center"/>
                </w:tcPr>
                <w:p w14:paraId="2411CA38">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r>
                    <w:rPr>
                      <w:rFonts w:hint="eastAsia" w:ascii="Times New Roman" w:hAnsi="Times New Roman"/>
                      <w:caps w:val="0"/>
                      <w:smallCaps w:val="0"/>
                      <w:color w:val="auto"/>
                      <w:kern w:val="0"/>
                      <w:sz w:val="21"/>
                      <w:szCs w:val="21"/>
                      <w:highlight w:val="none"/>
                    </w:rPr>
                    <w:t>高位水池</w:t>
                  </w:r>
                </w:p>
              </w:tc>
              <w:tc>
                <w:tcPr>
                  <w:tcW w:w="5103" w:type="dxa"/>
                  <w:gridSpan w:val="4"/>
                  <w:noWrap/>
                  <w:vAlign w:val="center"/>
                </w:tcPr>
                <w:p w14:paraId="62B4175D">
                  <w:pPr>
                    <w:keepNext w:val="0"/>
                    <w:keepLines w:val="0"/>
                    <w:pageBreakBefore w:val="0"/>
                    <w:widowControl/>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eastAsia" w:ascii="Times New Roman" w:hAnsi="Times New Roman"/>
                      <w:color w:val="auto"/>
                      <w:sz w:val="21"/>
                      <w:szCs w:val="21"/>
                      <w:highlight w:val="none"/>
                    </w:rPr>
                    <w:t>高位水池设于矿区</w:t>
                  </w:r>
                  <w:r>
                    <w:rPr>
                      <w:rFonts w:hint="eastAsia" w:ascii="Times New Roman" w:hAnsi="Times New Roman"/>
                      <w:color w:val="auto"/>
                      <w:sz w:val="21"/>
                      <w:szCs w:val="21"/>
                      <w:highlight w:val="none"/>
                      <w:lang w:val="en-US" w:eastAsia="zh-CN"/>
                    </w:rPr>
                    <w:t>北侧2210</w:t>
                  </w:r>
                  <w:r>
                    <w:rPr>
                      <w:rFonts w:hint="eastAsia" w:ascii="Times New Roman" w:hAnsi="Times New Roman"/>
                      <w:color w:val="auto"/>
                      <w:sz w:val="21"/>
                      <w:szCs w:val="21"/>
                      <w:highlight w:val="none"/>
                    </w:rPr>
                    <w:t>m标高处，距</w:t>
                  </w:r>
                  <w:r>
                    <w:rPr>
                      <w:rFonts w:hint="eastAsia" w:ascii="Times New Roman" w:hAnsi="Times New Roman"/>
                      <w:color w:val="auto"/>
                      <w:sz w:val="21"/>
                      <w:szCs w:val="21"/>
                      <w:highlight w:val="none"/>
                      <w:lang w:val="en-US" w:eastAsia="zh-CN"/>
                    </w:rPr>
                    <w:t>北部</w:t>
                  </w:r>
                  <w:r>
                    <w:rPr>
                      <w:rFonts w:hint="eastAsia" w:ascii="Times New Roman" w:hAnsi="Times New Roman"/>
                      <w:color w:val="auto"/>
                      <w:sz w:val="21"/>
                      <w:szCs w:val="21"/>
                      <w:highlight w:val="none"/>
                    </w:rPr>
                    <w:t>矿界约</w:t>
                  </w:r>
                  <w:r>
                    <w:rPr>
                      <w:rFonts w:hint="eastAsia" w:ascii="Times New Roman" w:hAnsi="Times New Roman"/>
                      <w:color w:val="auto"/>
                      <w:sz w:val="21"/>
                      <w:szCs w:val="21"/>
                      <w:highlight w:val="none"/>
                      <w:lang w:val="en-US" w:eastAsia="zh-CN"/>
                    </w:rPr>
                    <w:t>85</w:t>
                  </w:r>
                  <w:r>
                    <w:rPr>
                      <w:rFonts w:hint="eastAsia" w:ascii="Times New Roman" w:hAnsi="Times New Roman"/>
                      <w:color w:val="auto"/>
                      <w:sz w:val="21"/>
                      <w:szCs w:val="21"/>
                      <w:highlight w:val="none"/>
                    </w:rPr>
                    <w:t>m，容量约</w:t>
                  </w:r>
                  <w:r>
                    <w:rPr>
                      <w:rFonts w:hint="eastAsia" w:ascii="Times New Roman" w:hAnsi="Times New Roman"/>
                      <w:color w:val="auto"/>
                      <w:sz w:val="21"/>
                      <w:szCs w:val="21"/>
                      <w:highlight w:val="none"/>
                      <w:lang w:val="en-US" w:eastAsia="zh-CN"/>
                    </w:rPr>
                    <w:t>50</w:t>
                  </w:r>
                  <w:r>
                    <w:rPr>
                      <w:rFonts w:hint="eastAsia" w:ascii="Times New Roman" w:hAnsi="Times New Roman"/>
                      <w:color w:val="auto"/>
                      <w:sz w:val="21"/>
                      <w:szCs w:val="21"/>
                      <w:highlight w:val="none"/>
                    </w:rPr>
                    <w:t>m</w:t>
                  </w:r>
                  <w:r>
                    <w:rPr>
                      <w:rFonts w:hint="eastAsia" w:ascii="Times New Roman" w:hAnsi="Times New Roman"/>
                      <w:color w:val="auto"/>
                      <w:sz w:val="21"/>
                      <w:szCs w:val="21"/>
                      <w:highlight w:val="none"/>
                      <w:vertAlign w:val="superscript"/>
                    </w:rPr>
                    <w:t>3</w:t>
                  </w:r>
                  <w:r>
                    <w:rPr>
                      <w:rFonts w:hint="eastAsia" w:ascii="Times New Roman" w:hAnsi="Times New Roman"/>
                      <w:color w:val="auto"/>
                      <w:sz w:val="21"/>
                      <w:szCs w:val="21"/>
                      <w:highlight w:val="none"/>
                    </w:rPr>
                    <w:t>。用于满足矿山生产、生活及消防用水。</w:t>
                  </w:r>
                </w:p>
              </w:tc>
              <w:tc>
                <w:tcPr>
                  <w:tcW w:w="1347" w:type="dxa"/>
                  <w:noWrap/>
                  <w:vAlign w:val="center"/>
                </w:tcPr>
                <w:p w14:paraId="3D9C875A">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sz w:val="21"/>
                      <w:szCs w:val="21"/>
                      <w:highlight w:val="none"/>
                      <w:lang w:eastAsia="zh-CN"/>
                    </w:rPr>
                  </w:pPr>
                  <w:r>
                    <w:rPr>
                      <w:rFonts w:hint="eastAsia" w:ascii="Times New Roman" w:hAnsi="Times New Roman"/>
                      <w:caps w:val="0"/>
                      <w:smallCaps w:val="0"/>
                      <w:color w:val="auto"/>
                      <w:sz w:val="21"/>
                      <w:szCs w:val="21"/>
                      <w:highlight w:val="none"/>
                      <w:lang w:val="en-US" w:eastAsia="zh-CN"/>
                    </w:rPr>
                    <w:t>未建设</w:t>
                  </w:r>
                </w:p>
              </w:tc>
            </w:tr>
            <w:tr w14:paraId="15DA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57" w:type="dxa"/>
                  <w:vMerge w:val="continue"/>
                  <w:noWrap/>
                  <w:vAlign w:val="center"/>
                </w:tcPr>
                <w:p w14:paraId="13DE4E4C">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noWrap/>
                  <w:vAlign w:val="center"/>
                </w:tcPr>
                <w:p w14:paraId="3432EC86">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r>
                    <w:rPr>
                      <w:rFonts w:hint="eastAsia" w:ascii="Times New Roman" w:hAnsi="Times New Roman"/>
                      <w:caps w:val="0"/>
                      <w:smallCaps w:val="0"/>
                      <w:color w:val="auto"/>
                      <w:kern w:val="0"/>
                      <w:sz w:val="21"/>
                      <w:szCs w:val="21"/>
                      <w:highlight w:val="none"/>
                    </w:rPr>
                    <w:t>炸药库</w:t>
                  </w:r>
                </w:p>
              </w:tc>
              <w:tc>
                <w:tcPr>
                  <w:tcW w:w="5103" w:type="dxa"/>
                  <w:gridSpan w:val="4"/>
                  <w:noWrap/>
                  <w:vAlign w:val="center"/>
                </w:tcPr>
                <w:p w14:paraId="3A582BAE">
                  <w:pPr>
                    <w:keepNext w:val="0"/>
                    <w:keepLines w:val="0"/>
                    <w:pageBreakBefore w:val="0"/>
                    <w:widowControl/>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爆破器材由民爆公司提供并统一管理，矿区未设置炸药库。</w:t>
                  </w:r>
                </w:p>
              </w:tc>
              <w:tc>
                <w:tcPr>
                  <w:tcW w:w="1347" w:type="dxa"/>
                  <w:noWrap/>
                  <w:vAlign w:val="center"/>
                </w:tcPr>
                <w:p w14:paraId="28438768">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w:t>
                  </w:r>
                </w:p>
              </w:tc>
            </w:tr>
            <w:tr w14:paraId="1196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657" w:type="dxa"/>
                  <w:vMerge w:val="restart"/>
                  <w:noWrap/>
                  <w:vAlign w:val="center"/>
                </w:tcPr>
                <w:p w14:paraId="60E2E2B2">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公用工程</w:t>
                  </w:r>
                </w:p>
              </w:tc>
              <w:tc>
                <w:tcPr>
                  <w:tcW w:w="703" w:type="dxa"/>
                  <w:noWrap/>
                  <w:vAlign w:val="center"/>
                </w:tcPr>
                <w:p w14:paraId="345CFC57">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r>
                    <w:rPr>
                      <w:rFonts w:hint="eastAsia" w:ascii="Times New Roman" w:hAnsi="Times New Roman"/>
                      <w:caps w:val="0"/>
                      <w:smallCaps w:val="0"/>
                      <w:color w:val="auto"/>
                      <w:kern w:val="0"/>
                      <w:sz w:val="21"/>
                      <w:szCs w:val="21"/>
                      <w:highlight w:val="none"/>
                    </w:rPr>
                    <w:t>供电工程</w:t>
                  </w:r>
                </w:p>
              </w:tc>
              <w:tc>
                <w:tcPr>
                  <w:tcW w:w="5103" w:type="dxa"/>
                  <w:gridSpan w:val="4"/>
                  <w:noWrap/>
                  <w:vAlign w:val="center"/>
                </w:tcPr>
                <w:p w14:paraId="5D9A4BA4">
                  <w:pPr>
                    <w:keepNext w:val="0"/>
                    <w:keepLines w:val="0"/>
                    <w:pageBreakBefore w:val="0"/>
                    <w:widowControl/>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kern w:val="0"/>
                      <w:sz w:val="21"/>
                      <w:szCs w:val="21"/>
                      <w:highlight w:val="none"/>
                    </w:rPr>
                  </w:pPr>
                  <w:r>
                    <w:rPr>
                      <w:rFonts w:hint="eastAsia" w:ascii="Times New Roman" w:hAnsi="Times New Roman"/>
                      <w:color w:val="auto"/>
                      <w:sz w:val="21"/>
                      <w:szCs w:val="21"/>
                      <w:highlight w:val="none"/>
                    </w:rPr>
                    <w:t>矿山用电主要供破碎站、行政办公生活用电、机修车间用电、矿区照明等。矿山从</w:t>
                  </w:r>
                  <w:r>
                    <w:rPr>
                      <w:rFonts w:hint="eastAsia" w:ascii="Times New Roman" w:hAnsi="Times New Roman"/>
                      <w:color w:val="auto"/>
                      <w:sz w:val="21"/>
                      <w:szCs w:val="21"/>
                      <w:highlight w:val="none"/>
                      <w:lang w:val="en-US" w:eastAsia="zh-CN"/>
                    </w:rPr>
                    <w:t>乐郎村</w:t>
                  </w:r>
                  <w:r>
                    <w:rPr>
                      <w:rFonts w:hint="eastAsia" w:ascii="Times New Roman" w:hAnsi="Times New Roman"/>
                      <w:color w:val="auto"/>
                      <w:sz w:val="21"/>
                      <w:szCs w:val="21"/>
                      <w:highlight w:val="none"/>
                    </w:rPr>
                    <w:t>10kV配电线路引入矿山，在破碎站附近安装</w:t>
                  </w:r>
                  <w:r>
                    <w:rPr>
                      <w:rFonts w:hint="eastAsia" w:ascii="Times New Roman" w:hAnsi="Times New Roman"/>
                      <w:color w:val="auto"/>
                      <w:sz w:val="21"/>
                      <w:szCs w:val="21"/>
                      <w:highlight w:val="none"/>
                      <w:lang w:val="en-US" w:eastAsia="zh-CN"/>
                    </w:rPr>
                    <w:t>2</w:t>
                  </w:r>
                  <w:r>
                    <w:rPr>
                      <w:rFonts w:hint="eastAsia" w:ascii="Times New Roman" w:hAnsi="Times New Roman"/>
                      <w:color w:val="auto"/>
                      <w:sz w:val="21"/>
                      <w:szCs w:val="21"/>
                      <w:highlight w:val="none"/>
                    </w:rPr>
                    <w:t>台变压器就可以供生产、生活用电。</w:t>
                  </w:r>
                </w:p>
              </w:tc>
              <w:tc>
                <w:tcPr>
                  <w:tcW w:w="1347" w:type="dxa"/>
                  <w:noWrap/>
                  <w:vAlign w:val="center"/>
                </w:tcPr>
                <w:p w14:paraId="07C8554F">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aps w:val="0"/>
                      <w:smallCaps w:val="0"/>
                      <w:color w:val="auto"/>
                      <w:kern w:val="0"/>
                      <w:sz w:val="21"/>
                      <w:szCs w:val="21"/>
                      <w:highlight w:val="none"/>
                      <w:lang w:val="en-US" w:eastAsia="zh-CN"/>
                    </w:rPr>
                  </w:pPr>
                  <w:r>
                    <w:rPr>
                      <w:rFonts w:hint="eastAsia" w:ascii="Times New Roman" w:hAnsi="Times New Roman"/>
                      <w:caps w:val="0"/>
                      <w:smallCaps w:val="0"/>
                      <w:color w:val="auto"/>
                      <w:kern w:val="0"/>
                      <w:sz w:val="21"/>
                      <w:szCs w:val="21"/>
                      <w:highlight w:val="none"/>
                      <w:lang w:val="en-US" w:eastAsia="zh-CN"/>
                    </w:rPr>
                    <w:t>未建设</w:t>
                  </w:r>
                </w:p>
              </w:tc>
            </w:tr>
            <w:tr w14:paraId="69FFE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7" w:hRule="atLeast"/>
                <w:jc w:val="center"/>
              </w:trPr>
              <w:tc>
                <w:tcPr>
                  <w:tcW w:w="657" w:type="dxa"/>
                  <w:vMerge w:val="continue"/>
                  <w:noWrap/>
                  <w:vAlign w:val="center"/>
                </w:tcPr>
                <w:p w14:paraId="0CACFFD1">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caps w:val="0"/>
                      <w:smallCaps w:val="0"/>
                      <w:color w:val="auto"/>
                      <w:sz w:val="21"/>
                      <w:szCs w:val="21"/>
                      <w:highlight w:val="none"/>
                    </w:rPr>
                  </w:pPr>
                </w:p>
              </w:tc>
              <w:tc>
                <w:tcPr>
                  <w:tcW w:w="703" w:type="dxa"/>
                  <w:noWrap/>
                  <w:vAlign w:val="center"/>
                </w:tcPr>
                <w:p w14:paraId="612BE3C1">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ascii="Times New Roman" w:hAnsi="Times New Roman"/>
                      <w:caps w:val="0"/>
                      <w:smallCaps w:val="0"/>
                      <w:color w:val="auto"/>
                      <w:kern w:val="0"/>
                      <w:sz w:val="21"/>
                      <w:szCs w:val="21"/>
                      <w:highlight w:val="none"/>
                    </w:rPr>
                  </w:pPr>
                  <w:r>
                    <w:rPr>
                      <w:rFonts w:hint="eastAsia"/>
                      <w:color w:val="auto"/>
                      <w:sz w:val="21"/>
                      <w:szCs w:val="21"/>
                      <w:highlight w:val="none"/>
                    </w:rPr>
                    <w:t>排水</w:t>
                  </w:r>
                </w:p>
              </w:tc>
              <w:tc>
                <w:tcPr>
                  <w:tcW w:w="5103" w:type="dxa"/>
                  <w:gridSpan w:val="4"/>
                  <w:noWrap/>
                  <w:vAlign w:val="center"/>
                </w:tcPr>
                <w:p w14:paraId="3AFD4FA0">
                  <w:pPr>
                    <w:keepNext w:val="0"/>
                    <w:keepLines w:val="0"/>
                    <w:pageBreakBefore w:val="0"/>
                    <w:widowControl/>
                    <w:kinsoku/>
                    <w:wordWrap/>
                    <w:overflowPunct/>
                    <w:topLinePunct w:val="0"/>
                    <w:autoSpaceDE/>
                    <w:autoSpaceDN/>
                    <w:bidi w:val="0"/>
                    <w:spacing w:line="240" w:lineRule="auto"/>
                    <w:ind w:firstLine="0" w:firstLineChars="0"/>
                    <w:textAlignment w:val="auto"/>
                    <w:rPr>
                      <w:rFonts w:hint="eastAsia" w:ascii="Times New Roman" w:hAnsi="Times New Roman"/>
                      <w:color w:val="auto"/>
                      <w:sz w:val="21"/>
                      <w:szCs w:val="21"/>
                      <w:highlight w:val="none"/>
                    </w:rPr>
                  </w:pPr>
                  <w:r>
                    <w:rPr>
                      <w:rFonts w:hint="eastAsia" w:ascii="Times New Roman" w:hAnsi="Times New Roman"/>
                      <w:color w:val="auto"/>
                      <w:sz w:val="21"/>
                      <w:szCs w:val="21"/>
                      <w:highlight w:val="none"/>
                    </w:rPr>
                    <w:t>矿区实行“雨污分流”排水体制。</w:t>
                  </w:r>
                </w:p>
                <w:p w14:paraId="525EC3A6">
                  <w:pPr>
                    <w:keepNext w:val="0"/>
                    <w:keepLines w:val="0"/>
                    <w:pageBreakBefore w:val="0"/>
                    <w:widowControl/>
                    <w:kinsoku/>
                    <w:wordWrap/>
                    <w:overflowPunct/>
                    <w:topLinePunct w:val="0"/>
                    <w:autoSpaceDE/>
                    <w:autoSpaceDN/>
                    <w:bidi w:val="0"/>
                    <w:spacing w:line="240" w:lineRule="auto"/>
                    <w:ind w:firstLine="0" w:firstLineChars="0"/>
                    <w:textAlignment w:val="auto"/>
                    <w:rPr>
                      <w:rFonts w:hint="eastAsia" w:ascii="Times New Roman" w:hAnsi="Times New Roman"/>
                      <w:color w:val="auto"/>
                      <w:sz w:val="21"/>
                      <w:szCs w:val="21"/>
                      <w:highlight w:val="none"/>
                    </w:rPr>
                  </w:pPr>
                  <w:r>
                    <w:rPr>
                      <w:rFonts w:hint="eastAsia" w:ascii="Times New Roman" w:hAnsi="Times New Roman"/>
                      <w:color w:val="auto"/>
                      <w:sz w:val="21"/>
                      <w:szCs w:val="21"/>
                      <w:highlight w:val="none"/>
                      <w:lang w:eastAsia="zh-CN"/>
                    </w:rPr>
                    <w:t>办公生活区</w:t>
                  </w:r>
                  <w:r>
                    <w:rPr>
                      <w:rFonts w:hint="eastAsia" w:ascii="Times New Roman" w:hAnsi="Times New Roman"/>
                      <w:color w:val="auto"/>
                      <w:sz w:val="21"/>
                      <w:szCs w:val="21"/>
                      <w:highlight w:val="none"/>
                    </w:rPr>
                    <w:t>食堂废水经隔油</w:t>
                  </w:r>
                  <w:r>
                    <w:rPr>
                      <w:rFonts w:hint="eastAsia"/>
                      <w:color w:val="auto"/>
                      <w:sz w:val="21"/>
                      <w:szCs w:val="21"/>
                      <w:highlight w:val="none"/>
                      <w:lang w:eastAsia="zh-CN"/>
                    </w:rPr>
                    <w:t>沉砂池</w:t>
                  </w:r>
                  <w:r>
                    <w:rPr>
                      <w:rFonts w:hint="eastAsia" w:ascii="Times New Roman" w:hAnsi="Times New Roman"/>
                      <w:color w:val="auto"/>
                      <w:sz w:val="21"/>
                      <w:szCs w:val="21"/>
                      <w:highlight w:val="none"/>
                    </w:rPr>
                    <w:t>预处理后同其他员工生活废水排入</w:t>
                  </w:r>
                  <w:r>
                    <w:rPr>
                      <w:rFonts w:hint="eastAsia"/>
                      <w:color w:val="auto"/>
                      <w:sz w:val="21"/>
                      <w:szCs w:val="21"/>
                      <w:highlight w:val="none"/>
                      <w:lang w:eastAsia="zh-CN"/>
                    </w:rPr>
                    <w:t>沉砂池</w:t>
                  </w:r>
                  <w:r>
                    <w:rPr>
                      <w:rFonts w:hint="eastAsia" w:ascii="Times New Roman" w:hAnsi="Times New Roman"/>
                      <w:color w:val="auto"/>
                      <w:sz w:val="21"/>
                      <w:szCs w:val="21"/>
                      <w:highlight w:val="none"/>
                    </w:rPr>
                    <w:t>处理，经</w:t>
                  </w:r>
                  <w:r>
                    <w:rPr>
                      <w:rFonts w:hint="eastAsia"/>
                      <w:color w:val="auto"/>
                      <w:sz w:val="21"/>
                      <w:szCs w:val="21"/>
                      <w:highlight w:val="none"/>
                      <w:lang w:eastAsia="zh-CN"/>
                    </w:rPr>
                    <w:t>沉砂池</w:t>
                  </w:r>
                  <w:r>
                    <w:rPr>
                      <w:rFonts w:hint="eastAsia" w:ascii="Times New Roman" w:hAnsi="Times New Roman"/>
                      <w:color w:val="auto"/>
                      <w:sz w:val="21"/>
                      <w:szCs w:val="21"/>
                      <w:highlight w:val="none"/>
                    </w:rPr>
                    <w:t>处理后回用于矿区洒水降尘，不外排。</w:t>
                  </w:r>
                </w:p>
                <w:p w14:paraId="27F5DA31">
                  <w:pPr>
                    <w:keepNext w:val="0"/>
                    <w:keepLines w:val="0"/>
                    <w:pageBreakBefore w:val="0"/>
                    <w:widowControl/>
                    <w:kinsoku/>
                    <w:wordWrap/>
                    <w:overflowPunct/>
                    <w:topLinePunct w:val="0"/>
                    <w:autoSpaceDE/>
                    <w:autoSpaceDN/>
                    <w:bidi w:val="0"/>
                    <w:spacing w:line="240" w:lineRule="auto"/>
                    <w:ind w:firstLine="0" w:firstLineChars="0"/>
                    <w:textAlignment w:val="auto"/>
                    <w:rPr>
                      <w:rFonts w:hint="eastAsia" w:ascii="Times New Roman" w:hAnsi="Times New Roman" w:eastAsia="宋体" w:cs="Times New Roman"/>
                      <w:color w:val="auto"/>
                      <w:w w:val="100"/>
                      <w:kern w:val="2"/>
                      <w:sz w:val="21"/>
                      <w:szCs w:val="21"/>
                      <w:highlight w:val="none"/>
                      <w:lang w:val="en-US" w:eastAsia="zh-CN" w:bidi="ar-SA"/>
                    </w:rPr>
                  </w:pPr>
                  <w:r>
                    <w:rPr>
                      <w:rFonts w:hint="eastAsia" w:ascii="Times New Roman" w:hAnsi="Times New Roman"/>
                      <w:color w:val="auto"/>
                      <w:sz w:val="21"/>
                      <w:szCs w:val="21"/>
                      <w:highlight w:val="none"/>
                    </w:rPr>
                    <w:t>矿区范围内主要积水为雨水，矿区位于山坡上，自然地形坡度有利于降雨自然排泄，矿山开采采用露天斜坡开采，可以自然排水，条件好。</w:t>
                  </w:r>
                  <w:r>
                    <w:rPr>
                      <w:rFonts w:hint="eastAsia"/>
                      <w:color w:val="auto"/>
                      <w:sz w:val="21"/>
                      <w:szCs w:val="21"/>
                      <w:highlight w:val="none"/>
                      <w:lang w:eastAsia="zh-CN"/>
                    </w:rPr>
                    <w:t>露天开采区</w:t>
                  </w:r>
                  <w:r>
                    <w:rPr>
                      <w:rFonts w:hint="eastAsia" w:ascii="Times New Roman" w:hAnsi="Times New Roman"/>
                      <w:color w:val="auto"/>
                      <w:sz w:val="21"/>
                      <w:szCs w:val="21"/>
                      <w:highlight w:val="none"/>
                    </w:rPr>
                    <w:t>主要充水自然因素为降雨，雨水沿地表径流排泄。因此，本次设计在露天境界外设置排水水沟，在各台阶设置简易排水沟，台阶汇水通过简易排水沟直接排出矿区。</w:t>
                  </w:r>
                </w:p>
              </w:tc>
              <w:tc>
                <w:tcPr>
                  <w:tcW w:w="1347" w:type="dxa"/>
                  <w:noWrap/>
                  <w:vAlign w:val="center"/>
                </w:tcPr>
                <w:p w14:paraId="73152397">
                  <w:pPr>
                    <w:pStyle w:val="21"/>
                    <w:snapToGrid/>
                    <w:spacing w:line="240" w:lineRule="auto"/>
                    <w:ind w:firstLine="0" w:firstLineChars="0"/>
                    <w:jc w:val="center"/>
                    <w:rPr>
                      <w:rFonts w:hint="default" w:ascii="Times New Roman" w:hAnsi="Times New Roman" w:eastAsia="宋体" w:cs="Times New Roman"/>
                      <w:color w:val="auto"/>
                      <w:w w:val="100"/>
                      <w:kern w:val="2"/>
                      <w:sz w:val="21"/>
                      <w:szCs w:val="21"/>
                      <w:highlight w:val="none"/>
                      <w:lang w:val="en-US" w:eastAsia="zh-CN" w:bidi="ar-SA"/>
                    </w:rPr>
                  </w:pPr>
                  <w:r>
                    <w:rPr>
                      <w:rFonts w:hint="eastAsia"/>
                      <w:color w:val="auto"/>
                      <w:w w:val="100"/>
                      <w:sz w:val="21"/>
                      <w:szCs w:val="21"/>
                      <w:highlight w:val="none"/>
                      <w:lang w:val="en-US" w:eastAsia="zh-CN"/>
                    </w:rPr>
                    <w:t>未建设</w:t>
                  </w:r>
                </w:p>
              </w:tc>
            </w:tr>
            <w:tr w14:paraId="171F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jc w:val="center"/>
              </w:trPr>
              <w:tc>
                <w:tcPr>
                  <w:tcW w:w="657" w:type="dxa"/>
                  <w:vMerge w:val="continue"/>
                  <w:noWrap/>
                  <w:vAlign w:val="center"/>
                </w:tcPr>
                <w:p w14:paraId="4F275AED">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703" w:type="dxa"/>
                  <w:noWrap/>
                  <w:vAlign w:val="center"/>
                </w:tcPr>
                <w:p w14:paraId="34F3BD2A">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r>
                    <w:rPr>
                      <w:rFonts w:hint="eastAsia" w:ascii="Times New Roman" w:hAnsi="Times New Roman" w:cs="宋体"/>
                      <w:caps w:val="0"/>
                      <w:smallCaps w:val="0"/>
                      <w:color w:val="auto"/>
                      <w:sz w:val="21"/>
                      <w:szCs w:val="21"/>
                      <w:highlight w:val="none"/>
                    </w:rPr>
                    <w:t>供水工程</w:t>
                  </w:r>
                </w:p>
              </w:tc>
              <w:tc>
                <w:tcPr>
                  <w:tcW w:w="5103" w:type="dxa"/>
                  <w:gridSpan w:val="4"/>
                  <w:noWrap/>
                  <w:vAlign w:val="center"/>
                </w:tcPr>
                <w:p w14:paraId="02541AA2">
                  <w:pPr>
                    <w:keepNext w:val="0"/>
                    <w:keepLines w:val="0"/>
                    <w:pageBreakBefore w:val="0"/>
                    <w:widowControl/>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eastAsia" w:ascii="Times New Roman" w:hAnsi="Times New Roman"/>
                      <w:color w:val="auto"/>
                      <w:sz w:val="21"/>
                      <w:szCs w:val="21"/>
                      <w:highlight w:val="none"/>
                    </w:rPr>
                    <w:t>矿山用水可从矿区</w:t>
                  </w:r>
                  <w:r>
                    <w:rPr>
                      <w:rFonts w:hint="eastAsia" w:ascii="Times New Roman" w:hAnsi="Times New Roman"/>
                      <w:color w:val="auto"/>
                      <w:sz w:val="21"/>
                      <w:szCs w:val="21"/>
                      <w:highlight w:val="none"/>
                      <w:lang w:val="en-US" w:eastAsia="zh-CN"/>
                    </w:rPr>
                    <w:t>南侧水塘</w:t>
                  </w:r>
                  <w:r>
                    <w:rPr>
                      <w:rFonts w:hint="eastAsia" w:ascii="Times New Roman" w:hAnsi="Times New Roman"/>
                      <w:color w:val="auto"/>
                      <w:sz w:val="21"/>
                      <w:szCs w:val="21"/>
                      <w:highlight w:val="none"/>
                    </w:rPr>
                    <w:t>内引用，距矿区最近距离</w:t>
                  </w:r>
                  <w:r>
                    <w:rPr>
                      <w:rFonts w:hint="eastAsia" w:ascii="Times New Roman" w:hAnsi="Times New Roman"/>
                      <w:color w:val="auto"/>
                      <w:sz w:val="21"/>
                      <w:szCs w:val="21"/>
                      <w:highlight w:val="none"/>
                      <w:lang w:val="en-US" w:eastAsia="zh-CN"/>
                    </w:rPr>
                    <w:t>800</w:t>
                  </w:r>
                  <w:r>
                    <w:rPr>
                      <w:rFonts w:hint="eastAsia" w:ascii="Times New Roman" w:hAnsi="Times New Roman"/>
                      <w:color w:val="auto"/>
                      <w:sz w:val="21"/>
                      <w:szCs w:val="21"/>
                      <w:highlight w:val="none"/>
                    </w:rPr>
                    <w:t>m。距高位水池平距</w:t>
                  </w:r>
                  <w:r>
                    <w:rPr>
                      <w:rFonts w:hint="eastAsia" w:ascii="Times New Roman" w:hAnsi="Times New Roman"/>
                      <w:color w:val="auto"/>
                      <w:sz w:val="21"/>
                      <w:szCs w:val="21"/>
                      <w:highlight w:val="none"/>
                      <w:lang w:val="en-US" w:eastAsia="zh-CN"/>
                    </w:rPr>
                    <w:t>1005</w:t>
                  </w:r>
                  <w:r>
                    <w:rPr>
                      <w:rFonts w:hint="eastAsia" w:ascii="Times New Roman" w:hAnsi="Times New Roman"/>
                      <w:color w:val="auto"/>
                      <w:sz w:val="21"/>
                      <w:szCs w:val="21"/>
                      <w:highlight w:val="none"/>
                    </w:rPr>
                    <w:t>m，高差</w:t>
                  </w:r>
                  <w:r>
                    <w:rPr>
                      <w:rFonts w:hint="eastAsia" w:ascii="Times New Roman" w:hAnsi="Times New Roman"/>
                      <w:color w:val="auto"/>
                      <w:sz w:val="21"/>
                      <w:szCs w:val="21"/>
                      <w:highlight w:val="none"/>
                      <w:lang w:val="en-US" w:eastAsia="zh-CN"/>
                    </w:rPr>
                    <w:t>105</w:t>
                  </w:r>
                  <w:r>
                    <w:rPr>
                      <w:rFonts w:hint="eastAsia" w:ascii="Times New Roman" w:hAnsi="Times New Roman"/>
                      <w:color w:val="auto"/>
                      <w:sz w:val="21"/>
                      <w:szCs w:val="21"/>
                      <w:highlight w:val="none"/>
                    </w:rPr>
                    <w:t>m。配置1台AT540QJ9—300高扬程潜水电泵从</w:t>
                  </w:r>
                  <w:r>
                    <w:rPr>
                      <w:rFonts w:hint="eastAsia" w:ascii="Times New Roman" w:hAnsi="Times New Roman"/>
                      <w:color w:val="auto"/>
                      <w:sz w:val="21"/>
                      <w:szCs w:val="21"/>
                      <w:highlight w:val="none"/>
                      <w:lang w:val="en-US" w:eastAsia="zh-CN"/>
                    </w:rPr>
                    <w:t>南侧水塘</w:t>
                  </w:r>
                  <w:r>
                    <w:rPr>
                      <w:rFonts w:hint="eastAsia" w:ascii="Times New Roman" w:hAnsi="Times New Roman"/>
                      <w:color w:val="auto"/>
                      <w:sz w:val="21"/>
                      <w:szCs w:val="21"/>
                      <w:highlight w:val="none"/>
                    </w:rPr>
                    <w:t>内抽水，引入矿区附近高位水池蓄水后供矿山生产生活及消防用水。高位水池通过在输水管道中安装水阀开关对矿区工作区和</w:t>
                  </w:r>
                  <w:r>
                    <w:rPr>
                      <w:rFonts w:hint="eastAsia"/>
                      <w:color w:val="auto"/>
                      <w:sz w:val="21"/>
                      <w:szCs w:val="21"/>
                      <w:highlight w:val="none"/>
                      <w:lang w:eastAsia="zh-CN"/>
                    </w:rPr>
                    <w:t>办公生活区</w:t>
                  </w:r>
                  <w:r>
                    <w:rPr>
                      <w:rFonts w:hint="eastAsia" w:ascii="Times New Roman" w:hAnsi="Times New Roman"/>
                      <w:color w:val="auto"/>
                      <w:sz w:val="21"/>
                      <w:szCs w:val="21"/>
                      <w:highlight w:val="none"/>
                    </w:rPr>
                    <w:t>进行供水。</w:t>
                  </w:r>
                </w:p>
              </w:tc>
              <w:tc>
                <w:tcPr>
                  <w:tcW w:w="1347" w:type="dxa"/>
                  <w:noWrap/>
                  <w:vAlign w:val="center"/>
                </w:tcPr>
                <w:p w14:paraId="1152619C">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aps w:val="0"/>
                      <w:smallCaps w:val="0"/>
                      <w:color w:val="auto"/>
                      <w:sz w:val="21"/>
                      <w:szCs w:val="21"/>
                      <w:highlight w:val="none"/>
                      <w:lang w:val="en-US" w:eastAsia="zh-CN"/>
                    </w:rPr>
                  </w:pPr>
                  <w:r>
                    <w:rPr>
                      <w:rFonts w:hint="eastAsia"/>
                      <w:caps w:val="0"/>
                      <w:smallCaps w:val="0"/>
                      <w:color w:val="auto"/>
                      <w:sz w:val="21"/>
                      <w:szCs w:val="21"/>
                      <w:highlight w:val="none"/>
                      <w:lang w:val="en-US" w:eastAsia="zh-CN"/>
                    </w:rPr>
                    <w:t>未建设</w:t>
                  </w:r>
                </w:p>
              </w:tc>
            </w:tr>
            <w:tr w14:paraId="27DE9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657" w:type="dxa"/>
                  <w:vMerge w:val="continue"/>
                  <w:noWrap/>
                  <w:vAlign w:val="center"/>
                </w:tcPr>
                <w:p w14:paraId="67DB83FC">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703" w:type="dxa"/>
                  <w:vMerge w:val="restart"/>
                  <w:noWrap/>
                  <w:vAlign w:val="center"/>
                </w:tcPr>
                <w:p w14:paraId="676F8B2F">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道路工程</w:t>
                  </w:r>
                </w:p>
              </w:tc>
              <w:tc>
                <w:tcPr>
                  <w:tcW w:w="684" w:type="dxa"/>
                  <w:gridSpan w:val="2"/>
                  <w:noWrap/>
                  <w:vAlign w:val="center"/>
                </w:tcPr>
                <w:p w14:paraId="44FC2EE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内部道路</w:t>
                  </w:r>
                </w:p>
              </w:tc>
              <w:tc>
                <w:tcPr>
                  <w:tcW w:w="4419" w:type="dxa"/>
                  <w:gridSpan w:val="2"/>
                  <w:noWrap/>
                  <w:vAlign w:val="center"/>
                </w:tcPr>
                <w:p w14:paraId="4208C646">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default" w:ascii="Times New Roman" w:hAnsi="Times New Roman"/>
                      <w:caps w:val="0"/>
                      <w:smallCaps w:val="0"/>
                      <w:color w:val="auto"/>
                      <w:sz w:val="21"/>
                      <w:szCs w:val="21"/>
                      <w:highlight w:val="none"/>
                    </w:rPr>
                    <w:t>项目区内露天采区、工业场地、</w:t>
                  </w:r>
                  <w:r>
                    <w:rPr>
                      <w:rFonts w:hint="eastAsia"/>
                      <w:caps w:val="0"/>
                      <w:smallCaps w:val="0"/>
                      <w:color w:val="auto"/>
                      <w:sz w:val="21"/>
                      <w:szCs w:val="21"/>
                      <w:highlight w:val="none"/>
                      <w:lang w:eastAsia="zh-CN"/>
                    </w:rPr>
                    <w:t>办公生活区</w:t>
                  </w:r>
                  <w:r>
                    <w:rPr>
                      <w:rFonts w:hint="default" w:ascii="Times New Roman" w:hAnsi="Times New Roman"/>
                      <w:caps w:val="0"/>
                      <w:smallCaps w:val="0"/>
                      <w:color w:val="auto"/>
                      <w:sz w:val="21"/>
                      <w:szCs w:val="21"/>
                      <w:highlight w:val="none"/>
                    </w:rPr>
                    <w:t>采用简易公路相连，路面宽4m，路基宽度6m，连接道路长约</w:t>
                  </w:r>
                  <w:r>
                    <w:rPr>
                      <w:rFonts w:hint="eastAsia" w:ascii="Times New Roman" w:hAnsi="Times New Roman"/>
                      <w:caps w:val="0"/>
                      <w:smallCaps w:val="0"/>
                      <w:color w:val="auto"/>
                      <w:sz w:val="21"/>
                      <w:szCs w:val="21"/>
                      <w:highlight w:val="none"/>
                      <w:lang w:val="en-US" w:eastAsia="zh-CN"/>
                    </w:rPr>
                    <w:t>1.013k</w:t>
                  </w:r>
                  <w:r>
                    <w:rPr>
                      <w:rFonts w:hint="default" w:ascii="Times New Roman" w:hAnsi="Times New Roman"/>
                      <w:caps w:val="0"/>
                      <w:smallCaps w:val="0"/>
                      <w:color w:val="auto"/>
                      <w:sz w:val="21"/>
                      <w:szCs w:val="21"/>
                      <w:highlight w:val="none"/>
                    </w:rPr>
                    <w:t>m。</w:t>
                  </w:r>
                </w:p>
              </w:tc>
              <w:tc>
                <w:tcPr>
                  <w:tcW w:w="1347" w:type="dxa"/>
                  <w:noWrap/>
                  <w:vAlign w:val="center"/>
                </w:tcPr>
                <w:p w14:paraId="07DDC7D6">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aps w:val="0"/>
                      <w:smallCaps w:val="0"/>
                      <w:color w:val="auto"/>
                      <w:kern w:val="0"/>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已建设</w:t>
                  </w:r>
                  <w:r>
                    <w:rPr>
                      <w:rFonts w:hint="eastAsia"/>
                      <w:caps w:val="0"/>
                      <w:smallCaps w:val="0"/>
                      <w:color w:val="auto"/>
                      <w:sz w:val="21"/>
                      <w:szCs w:val="21"/>
                      <w:highlight w:val="none"/>
                      <w:lang w:val="en-US" w:eastAsia="zh-CN"/>
                    </w:rPr>
                    <w:t>工业场地区至露天采区长130m道路</w:t>
                  </w:r>
                </w:p>
              </w:tc>
            </w:tr>
            <w:tr w14:paraId="5373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8" w:hRule="atLeast"/>
                <w:jc w:val="center"/>
              </w:trPr>
              <w:tc>
                <w:tcPr>
                  <w:tcW w:w="657" w:type="dxa"/>
                  <w:vMerge w:val="continue"/>
                  <w:noWrap/>
                  <w:vAlign w:val="center"/>
                </w:tcPr>
                <w:p w14:paraId="1FA7F78F">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3606931B">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caps w:val="0"/>
                      <w:smallCaps w:val="0"/>
                      <w:color w:val="auto"/>
                      <w:sz w:val="21"/>
                      <w:szCs w:val="21"/>
                      <w:highlight w:val="none"/>
                    </w:rPr>
                  </w:pPr>
                </w:p>
              </w:tc>
              <w:tc>
                <w:tcPr>
                  <w:tcW w:w="684" w:type="dxa"/>
                  <w:gridSpan w:val="2"/>
                  <w:noWrap/>
                  <w:vAlign w:val="center"/>
                </w:tcPr>
                <w:p w14:paraId="1E423B4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外部道路</w:t>
                  </w:r>
                </w:p>
              </w:tc>
              <w:tc>
                <w:tcPr>
                  <w:tcW w:w="4419" w:type="dxa"/>
                  <w:gridSpan w:val="2"/>
                  <w:noWrap/>
                  <w:vAlign w:val="center"/>
                </w:tcPr>
                <w:p w14:paraId="4301D49B">
                  <w:pPr>
                    <w:keepNext w:val="0"/>
                    <w:keepLines w:val="0"/>
                    <w:pageBreakBefore w:val="0"/>
                    <w:kinsoku/>
                    <w:wordWrap/>
                    <w:overflowPunct/>
                    <w:topLinePunct w:val="0"/>
                    <w:autoSpaceDE/>
                    <w:autoSpaceDN/>
                    <w:bidi w:val="0"/>
                    <w:spacing w:line="240" w:lineRule="auto"/>
                    <w:ind w:firstLine="0" w:firstLineChars="0"/>
                    <w:textAlignment w:val="auto"/>
                    <w:rPr>
                      <w:rFonts w:hint="eastAsia"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自项目区北侧</w:t>
                  </w:r>
                  <w:r>
                    <w:rPr>
                      <w:rFonts w:hint="eastAsia" w:ascii="Times New Roman" w:hAnsi="Times New Roman"/>
                      <w:caps w:val="0"/>
                      <w:smallCaps w:val="0"/>
                      <w:color w:val="auto"/>
                      <w:sz w:val="21"/>
                      <w:szCs w:val="21"/>
                      <w:highlight w:val="none"/>
                      <w:lang w:val="en-US" w:eastAsia="zh-CN"/>
                    </w:rPr>
                    <w:t>裨子田</w:t>
                  </w:r>
                  <w:r>
                    <w:rPr>
                      <w:rFonts w:hint="eastAsia" w:ascii="Times New Roman" w:hAnsi="Times New Roman"/>
                      <w:caps w:val="0"/>
                      <w:smallCaps w:val="0"/>
                      <w:color w:val="auto"/>
                      <w:sz w:val="21"/>
                      <w:szCs w:val="21"/>
                      <w:highlight w:val="none"/>
                    </w:rPr>
                    <w:t>村附近</w:t>
                  </w:r>
                  <w:r>
                    <w:rPr>
                      <w:rFonts w:hint="eastAsia" w:ascii="Times New Roman" w:hAnsi="Times New Roman"/>
                      <w:caps w:val="0"/>
                      <w:smallCaps w:val="0"/>
                      <w:color w:val="auto"/>
                      <w:sz w:val="21"/>
                      <w:szCs w:val="21"/>
                      <w:highlight w:val="none"/>
                      <w:lang w:val="en-US" w:eastAsia="zh-CN"/>
                    </w:rPr>
                    <w:t>已</w:t>
                  </w:r>
                  <w:r>
                    <w:rPr>
                      <w:rFonts w:hint="eastAsia" w:ascii="Times New Roman" w:hAnsi="Times New Roman"/>
                      <w:caps w:val="0"/>
                      <w:smallCaps w:val="0"/>
                      <w:color w:val="auto"/>
                      <w:sz w:val="21"/>
                      <w:szCs w:val="21"/>
                      <w:highlight w:val="none"/>
                    </w:rPr>
                    <w:t>修建一条乡村道路连接到项目区工业场地，供物料运输车辆出入。现有交通条件可以满足</w:t>
                  </w:r>
                  <w:r>
                    <w:rPr>
                      <w:rFonts w:hint="eastAsia" w:ascii="Times New Roman" w:hAnsi="Times New Roman"/>
                      <w:caps w:val="0"/>
                      <w:smallCaps w:val="0"/>
                      <w:color w:val="auto"/>
                      <w:sz w:val="21"/>
                      <w:szCs w:val="21"/>
                      <w:highlight w:val="none"/>
                      <w:lang w:val="en-US" w:eastAsia="zh-CN"/>
                    </w:rPr>
                    <w:t>入场</w:t>
                  </w:r>
                  <w:r>
                    <w:rPr>
                      <w:rFonts w:hint="eastAsia" w:ascii="Times New Roman" w:hAnsi="Times New Roman"/>
                      <w:caps w:val="0"/>
                      <w:smallCaps w:val="0"/>
                      <w:color w:val="auto"/>
                      <w:sz w:val="21"/>
                      <w:szCs w:val="21"/>
                      <w:highlight w:val="none"/>
                    </w:rPr>
                    <w:t>要求，无需另行修建进场道路</w:t>
                  </w:r>
                  <w:r>
                    <w:rPr>
                      <w:rFonts w:hint="eastAsia" w:ascii="Times New Roman" w:hAnsi="Times New Roman"/>
                      <w:caps w:val="0"/>
                      <w:smallCaps w:val="0"/>
                      <w:color w:val="auto"/>
                      <w:sz w:val="21"/>
                      <w:szCs w:val="21"/>
                      <w:highlight w:val="none"/>
                      <w:lang w:eastAsia="zh-CN"/>
                    </w:rPr>
                    <w:t>。</w:t>
                  </w:r>
                </w:p>
              </w:tc>
              <w:tc>
                <w:tcPr>
                  <w:tcW w:w="1347" w:type="dxa"/>
                  <w:noWrap/>
                  <w:vAlign w:val="center"/>
                </w:tcPr>
                <w:p w14:paraId="71D03278">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sz w:val="21"/>
                      <w:szCs w:val="21"/>
                      <w:highlight w:val="none"/>
                      <w:lang w:eastAsia="zh-CN"/>
                    </w:rPr>
                  </w:pPr>
                  <w:r>
                    <w:rPr>
                      <w:rFonts w:hint="eastAsia" w:ascii="Times New Roman" w:hAnsi="Times New Roman"/>
                      <w:caps w:val="0"/>
                      <w:smallCaps w:val="0"/>
                      <w:color w:val="auto"/>
                      <w:sz w:val="21"/>
                      <w:szCs w:val="21"/>
                      <w:highlight w:val="none"/>
                      <w:lang w:val="en-US" w:eastAsia="zh-CN"/>
                    </w:rPr>
                    <w:t>沿用</w:t>
                  </w:r>
                </w:p>
              </w:tc>
            </w:tr>
            <w:tr w14:paraId="4B3A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jc w:val="center"/>
              </w:trPr>
              <w:tc>
                <w:tcPr>
                  <w:tcW w:w="657" w:type="dxa"/>
                  <w:vMerge w:val="continue"/>
                  <w:noWrap/>
                  <w:vAlign w:val="center"/>
                </w:tcPr>
                <w:p w14:paraId="12602461">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703" w:type="dxa"/>
                  <w:noWrap/>
                  <w:vAlign w:val="center"/>
                </w:tcPr>
                <w:p w14:paraId="4B36EF1C">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柴油储罐</w:t>
                  </w:r>
                </w:p>
              </w:tc>
              <w:tc>
                <w:tcPr>
                  <w:tcW w:w="5103" w:type="dxa"/>
                  <w:gridSpan w:val="4"/>
                  <w:noWrap/>
                  <w:vAlign w:val="center"/>
                </w:tcPr>
                <w:p w14:paraId="46215FA4">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eastAsia" w:ascii="Times New Roman" w:hAnsi="Times New Roman"/>
                      <w:color w:val="auto"/>
                      <w:sz w:val="21"/>
                      <w:szCs w:val="21"/>
                      <w:highlight w:val="none"/>
                    </w:rPr>
                    <w:t>项目拟在</w:t>
                  </w:r>
                  <w:r>
                    <w:rPr>
                      <w:rFonts w:hint="eastAsia"/>
                      <w:color w:val="auto"/>
                      <w:sz w:val="21"/>
                      <w:szCs w:val="21"/>
                      <w:highlight w:val="none"/>
                      <w:lang w:eastAsia="zh-CN"/>
                    </w:rPr>
                    <w:t>办公生活区</w:t>
                  </w:r>
                  <w:r>
                    <w:rPr>
                      <w:rFonts w:hint="eastAsia" w:ascii="Times New Roman" w:hAnsi="Times New Roman"/>
                      <w:color w:val="auto"/>
                      <w:sz w:val="21"/>
                      <w:szCs w:val="21"/>
                      <w:highlight w:val="none"/>
                      <w:lang w:val="en-US" w:eastAsia="zh-CN"/>
                    </w:rPr>
                    <w:t>东侧</w:t>
                  </w:r>
                  <w:r>
                    <w:rPr>
                      <w:rFonts w:hint="eastAsia" w:ascii="Times New Roman" w:hAnsi="Times New Roman"/>
                      <w:color w:val="auto"/>
                      <w:sz w:val="21"/>
                      <w:szCs w:val="21"/>
                      <w:highlight w:val="none"/>
                    </w:rPr>
                    <w:t>设置一个</w:t>
                  </w:r>
                  <w:r>
                    <w:rPr>
                      <w:rFonts w:hint="eastAsia" w:ascii="Times New Roman" w:hAnsi="Times New Roman"/>
                      <w:color w:val="auto"/>
                      <w:sz w:val="21"/>
                      <w:szCs w:val="21"/>
                      <w:highlight w:val="none"/>
                      <w:lang w:val="en-US" w:eastAsia="zh-CN"/>
                    </w:rPr>
                    <w:t>20</w:t>
                  </w:r>
                  <w:r>
                    <w:rPr>
                      <w:rFonts w:hint="eastAsia" w:ascii="Times New Roman" w:hAnsi="Times New Roman"/>
                      <w:color w:val="auto"/>
                      <w:sz w:val="21"/>
                      <w:szCs w:val="21"/>
                      <w:highlight w:val="none"/>
                    </w:rPr>
                    <w:t>t的地埋式柴油储罐。柴油储罐采用双层罐，地埋式储罐池底部及四周铺设一层防渗膜。储油罐底防渗层内部用15mm的水泥浆层，2mm厚环氧树脂进行防渗处理</w:t>
                  </w:r>
                  <w:r>
                    <w:rPr>
                      <w:rFonts w:hint="eastAsia"/>
                      <w:color w:val="auto"/>
                      <w:sz w:val="21"/>
                      <w:szCs w:val="21"/>
                      <w:highlight w:val="none"/>
                      <w:lang w:eastAsia="zh-CN"/>
                    </w:rPr>
                    <w:t>，渗透系数K≤1×10-10cm/s，</w:t>
                  </w:r>
                  <w:r>
                    <w:rPr>
                      <w:rFonts w:hint="eastAsia"/>
                      <w:color w:val="auto"/>
                      <w:sz w:val="21"/>
                      <w:szCs w:val="21"/>
                      <w:highlight w:val="none"/>
                      <w:lang w:val="en-US" w:eastAsia="zh-CN"/>
                    </w:rPr>
                    <w:t>防渗等级为S6的商混工程</w:t>
                  </w:r>
                  <w:r>
                    <w:rPr>
                      <w:rFonts w:hint="eastAsia" w:ascii="Times New Roman" w:hAnsi="Times New Roman"/>
                      <w:color w:val="auto"/>
                      <w:sz w:val="21"/>
                      <w:szCs w:val="21"/>
                      <w:highlight w:val="none"/>
                    </w:rPr>
                    <w:t>。</w:t>
                  </w:r>
                </w:p>
              </w:tc>
              <w:tc>
                <w:tcPr>
                  <w:tcW w:w="1347" w:type="dxa"/>
                  <w:noWrap/>
                  <w:vAlign w:val="center"/>
                </w:tcPr>
                <w:p w14:paraId="4278F01A">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kern w:val="0"/>
                      <w:sz w:val="21"/>
                      <w:szCs w:val="21"/>
                      <w:highlight w:val="none"/>
                      <w:lang w:eastAsia="zh-CN"/>
                    </w:rPr>
                  </w:pPr>
                  <w:r>
                    <w:rPr>
                      <w:rFonts w:hint="eastAsia" w:ascii="Times New Roman" w:hAnsi="Times New Roman"/>
                      <w:caps w:val="0"/>
                      <w:smallCaps w:val="0"/>
                      <w:color w:val="auto"/>
                      <w:sz w:val="21"/>
                      <w:szCs w:val="21"/>
                      <w:highlight w:val="none"/>
                      <w:lang w:val="en-US" w:eastAsia="zh-CN"/>
                    </w:rPr>
                    <w:t>未建设</w:t>
                  </w:r>
                </w:p>
              </w:tc>
            </w:tr>
            <w:tr w14:paraId="26E6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57" w:type="dxa"/>
                  <w:vMerge w:val="restart"/>
                  <w:noWrap/>
                  <w:vAlign w:val="center"/>
                </w:tcPr>
                <w:p w14:paraId="321D0A6F">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环保工程</w:t>
                  </w:r>
                </w:p>
              </w:tc>
              <w:tc>
                <w:tcPr>
                  <w:tcW w:w="703" w:type="dxa"/>
                  <w:vMerge w:val="restart"/>
                  <w:noWrap/>
                  <w:vAlign w:val="center"/>
                </w:tcPr>
                <w:p w14:paraId="6E5952FF">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废气治理设施</w:t>
                  </w:r>
                </w:p>
              </w:tc>
              <w:tc>
                <w:tcPr>
                  <w:tcW w:w="961" w:type="dxa"/>
                  <w:gridSpan w:val="3"/>
                  <w:noWrap/>
                  <w:vAlign w:val="center"/>
                </w:tcPr>
                <w:p w14:paraId="7C67CFA2">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雾泡除尘设施</w:t>
                  </w:r>
                </w:p>
              </w:tc>
              <w:tc>
                <w:tcPr>
                  <w:tcW w:w="4142" w:type="dxa"/>
                  <w:noWrap/>
                  <w:vAlign w:val="center"/>
                </w:tcPr>
                <w:p w14:paraId="064BC950">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配置</w:t>
                  </w:r>
                  <w:r>
                    <w:rPr>
                      <w:rFonts w:hint="eastAsia" w:ascii="Times New Roman" w:hAnsi="Times New Roman"/>
                      <w:caps w:val="0"/>
                      <w:smallCaps w:val="0"/>
                      <w:color w:val="auto"/>
                      <w:sz w:val="21"/>
                      <w:szCs w:val="21"/>
                      <w:highlight w:val="none"/>
                      <w:lang w:val="en-US" w:eastAsia="zh-CN"/>
                    </w:rPr>
                    <w:t>2</w:t>
                  </w:r>
                  <w:r>
                    <w:rPr>
                      <w:rFonts w:hint="eastAsia" w:ascii="Times New Roman" w:hAnsi="Times New Roman"/>
                      <w:caps w:val="0"/>
                      <w:smallCaps w:val="0"/>
                      <w:color w:val="auto"/>
                      <w:sz w:val="21"/>
                      <w:szCs w:val="21"/>
                      <w:highlight w:val="none"/>
                    </w:rPr>
                    <w:t>套雾泡洒水设施，用于采矿区</w:t>
                  </w:r>
                  <w:r>
                    <w:rPr>
                      <w:rFonts w:hint="eastAsia" w:ascii="Times New Roman" w:hAnsi="Times New Roman"/>
                      <w:caps w:val="0"/>
                      <w:smallCaps w:val="0"/>
                      <w:color w:val="auto"/>
                      <w:sz w:val="21"/>
                      <w:szCs w:val="21"/>
                      <w:highlight w:val="none"/>
                      <w:lang w:eastAsia="zh-CN"/>
                    </w:rPr>
                    <w:t>、排土场</w:t>
                  </w:r>
                  <w:r>
                    <w:rPr>
                      <w:rFonts w:hint="eastAsia" w:ascii="Times New Roman" w:hAnsi="Times New Roman"/>
                      <w:caps w:val="0"/>
                      <w:smallCaps w:val="0"/>
                      <w:color w:val="auto"/>
                      <w:sz w:val="21"/>
                      <w:szCs w:val="21"/>
                      <w:highlight w:val="none"/>
                    </w:rPr>
                    <w:t>洒水降尘。</w:t>
                  </w:r>
                </w:p>
              </w:tc>
              <w:tc>
                <w:tcPr>
                  <w:tcW w:w="1347" w:type="dxa"/>
                  <w:noWrap/>
                  <w:vAlign w:val="center"/>
                </w:tcPr>
                <w:p w14:paraId="7D3BD216">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sz w:val="21"/>
                      <w:szCs w:val="21"/>
                      <w:highlight w:val="none"/>
                      <w:lang w:eastAsia="zh-CN"/>
                    </w:rPr>
                  </w:pPr>
                  <w:r>
                    <w:rPr>
                      <w:rFonts w:hint="eastAsia"/>
                      <w:caps w:val="0"/>
                      <w:smallCaps w:val="0"/>
                      <w:color w:val="auto"/>
                      <w:sz w:val="21"/>
                      <w:szCs w:val="21"/>
                      <w:highlight w:val="none"/>
                      <w:lang w:val="en-US" w:eastAsia="zh-CN"/>
                    </w:rPr>
                    <w:t>未建设</w:t>
                  </w:r>
                </w:p>
              </w:tc>
            </w:tr>
            <w:tr w14:paraId="4D53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57" w:type="dxa"/>
                  <w:vMerge w:val="continue"/>
                  <w:noWrap/>
                  <w:vAlign w:val="center"/>
                </w:tcPr>
                <w:p w14:paraId="0FDCB5E2">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1F5F5D9C">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961" w:type="dxa"/>
                  <w:gridSpan w:val="3"/>
                  <w:noWrap/>
                  <w:vAlign w:val="center"/>
                </w:tcPr>
                <w:p w14:paraId="29E12CB0">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道路洒水车</w:t>
                  </w:r>
                </w:p>
              </w:tc>
              <w:tc>
                <w:tcPr>
                  <w:tcW w:w="4142" w:type="dxa"/>
                  <w:noWrap/>
                  <w:vAlign w:val="center"/>
                </w:tcPr>
                <w:p w14:paraId="211A1ABA">
                  <w:pPr>
                    <w:keepNext w:val="0"/>
                    <w:keepLines w:val="0"/>
                    <w:pageBreakBefore w:val="0"/>
                    <w:kinsoku/>
                    <w:wordWrap/>
                    <w:overflowPunct/>
                    <w:topLinePunct w:val="0"/>
                    <w:autoSpaceDE/>
                    <w:autoSpaceDN/>
                    <w:bidi w:val="0"/>
                    <w:spacing w:line="240" w:lineRule="auto"/>
                    <w:ind w:firstLine="0" w:firstLineChars="0"/>
                    <w:textAlignment w:val="auto"/>
                    <w:rPr>
                      <w:rFonts w:hint="eastAsia" w:ascii="Times New Roman" w:hAnsi="Times New Roman" w:eastAsia="宋体"/>
                      <w:caps w:val="0"/>
                      <w:smallCaps w:val="0"/>
                      <w:color w:val="auto"/>
                      <w:sz w:val="21"/>
                      <w:szCs w:val="21"/>
                      <w:highlight w:val="none"/>
                      <w:lang w:eastAsia="zh-CN"/>
                    </w:rPr>
                  </w:pPr>
                  <w:r>
                    <w:rPr>
                      <w:rFonts w:hint="eastAsia" w:ascii="Times New Roman" w:hAnsi="Times New Roman"/>
                      <w:caps w:val="0"/>
                      <w:smallCaps w:val="0"/>
                      <w:color w:val="auto"/>
                      <w:sz w:val="21"/>
                      <w:szCs w:val="21"/>
                      <w:highlight w:val="none"/>
                    </w:rPr>
                    <w:t>项目配备1辆简易洒水车，</w:t>
                  </w:r>
                  <w:r>
                    <w:rPr>
                      <w:rFonts w:hint="default" w:ascii="Times New Roman" w:hAnsi="Times New Roman" w:cs="Times New Roman"/>
                      <w:color w:val="auto"/>
                      <w:sz w:val="21"/>
                      <w:szCs w:val="21"/>
                      <w:highlight w:val="none"/>
                    </w:rPr>
                    <w:t>移动喷洒设施2套，用于道路洒水降尘</w:t>
                  </w:r>
                  <w:r>
                    <w:rPr>
                      <w:rFonts w:hint="eastAsia" w:ascii="Times New Roman" w:hAnsi="Times New Roman"/>
                      <w:caps w:val="0"/>
                      <w:smallCaps w:val="0"/>
                      <w:color w:val="auto"/>
                      <w:sz w:val="21"/>
                      <w:szCs w:val="21"/>
                      <w:highlight w:val="none"/>
                      <w:lang w:eastAsia="zh-CN"/>
                    </w:rPr>
                    <w:t>。</w:t>
                  </w:r>
                </w:p>
              </w:tc>
              <w:tc>
                <w:tcPr>
                  <w:tcW w:w="1347" w:type="dxa"/>
                  <w:noWrap/>
                  <w:vAlign w:val="center"/>
                </w:tcPr>
                <w:p w14:paraId="27D8229B">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caps w:val="0"/>
                      <w:smallCaps w:val="0"/>
                      <w:color w:val="auto"/>
                      <w:sz w:val="21"/>
                      <w:szCs w:val="21"/>
                      <w:highlight w:val="none"/>
                      <w:lang w:val="en-US" w:eastAsia="zh-CN"/>
                    </w:rPr>
                    <w:t>未建设</w:t>
                  </w:r>
                </w:p>
              </w:tc>
            </w:tr>
            <w:tr w14:paraId="2E72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jc w:val="center"/>
              </w:trPr>
              <w:tc>
                <w:tcPr>
                  <w:tcW w:w="657" w:type="dxa"/>
                  <w:vMerge w:val="continue"/>
                  <w:noWrap/>
                  <w:vAlign w:val="center"/>
                </w:tcPr>
                <w:p w14:paraId="0BE4A955">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074888E7">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961" w:type="dxa"/>
                  <w:gridSpan w:val="3"/>
                  <w:noWrap/>
                  <w:vAlign w:val="center"/>
                </w:tcPr>
                <w:p w14:paraId="774BCC56">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ascii="Times New Roman" w:hAnsi="Times New Roman"/>
                      <w:color w:val="auto"/>
                      <w:sz w:val="21"/>
                      <w:szCs w:val="21"/>
                      <w:highlight w:val="none"/>
                    </w:rPr>
                    <w:t>破碎站破碎筛分机封闭收集+布袋除尘器+15m高排气筒</w:t>
                  </w:r>
                </w:p>
              </w:tc>
              <w:tc>
                <w:tcPr>
                  <w:tcW w:w="4142" w:type="dxa"/>
                  <w:noWrap/>
                  <w:vAlign w:val="center"/>
                </w:tcPr>
                <w:p w14:paraId="47E2CA43">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eastAsia" w:ascii="Times New Roman" w:hAnsi="Times New Roman"/>
                      <w:color w:val="auto"/>
                      <w:sz w:val="21"/>
                      <w:szCs w:val="21"/>
                      <w:highlight w:val="none"/>
                    </w:rPr>
                    <w:t>项目一级破碎、二级破碎、筛分、制砂的产尘点拟分别设置彩钢瓦封闭隔间负压收集装置，产生的颗粒物经收集后进入1台布袋除尘器处理，最终经1根高度为15m高的排气筒排放。封闭隔间负压收集效率按90%</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rPr>
                    <w:t>布袋除尘器风量为10000m</w:t>
                  </w:r>
                  <w:r>
                    <w:rPr>
                      <w:rFonts w:hint="eastAsia" w:ascii="Times New Roman" w:hAnsi="Times New Roman"/>
                      <w:color w:val="auto"/>
                      <w:sz w:val="21"/>
                      <w:szCs w:val="21"/>
                      <w:highlight w:val="none"/>
                      <w:vertAlign w:val="superscript"/>
                    </w:rPr>
                    <w:t>3</w:t>
                  </w:r>
                  <w:r>
                    <w:rPr>
                      <w:rFonts w:hint="eastAsia" w:ascii="Times New Roman" w:hAnsi="Times New Roman"/>
                      <w:color w:val="auto"/>
                      <w:sz w:val="21"/>
                      <w:szCs w:val="21"/>
                      <w:highlight w:val="none"/>
                    </w:rPr>
                    <w:t>/h，除尘效率为99.9%</w:t>
                  </w:r>
                  <w:r>
                    <w:rPr>
                      <w:rFonts w:ascii="Times New Roman" w:hAnsi="Times New Roman"/>
                      <w:color w:val="auto"/>
                      <w:sz w:val="21"/>
                      <w:szCs w:val="21"/>
                      <w:highlight w:val="none"/>
                    </w:rPr>
                    <w:t>。</w:t>
                  </w:r>
                </w:p>
              </w:tc>
              <w:tc>
                <w:tcPr>
                  <w:tcW w:w="1347" w:type="dxa"/>
                  <w:noWrap/>
                  <w:vAlign w:val="center"/>
                </w:tcPr>
                <w:p w14:paraId="6F1BCD15">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caps w:val="0"/>
                      <w:smallCaps w:val="0"/>
                      <w:color w:val="auto"/>
                      <w:sz w:val="21"/>
                      <w:szCs w:val="21"/>
                      <w:highlight w:val="none"/>
                      <w:lang w:val="en-US" w:eastAsia="zh-CN"/>
                    </w:rPr>
                    <w:t>未建设</w:t>
                  </w:r>
                </w:p>
              </w:tc>
            </w:tr>
            <w:tr w14:paraId="6519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57" w:type="dxa"/>
                  <w:vMerge w:val="continue"/>
                  <w:noWrap/>
                  <w:vAlign w:val="center"/>
                </w:tcPr>
                <w:p w14:paraId="15733F06">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31C7742A">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961" w:type="dxa"/>
                  <w:gridSpan w:val="3"/>
                  <w:noWrap/>
                  <w:vAlign w:val="center"/>
                </w:tcPr>
                <w:p w14:paraId="4947360F">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运输皮带除尘系统</w:t>
                  </w:r>
                </w:p>
              </w:tc>
              <w:tc>
                <w:tcPr>
                  <w:tcW w:w="4142" w:type="dxa"/>
                  <w:noWrap/>
                  <w:vAlign w:val="center"/>
                </w:tcPr>
                <w:p w14:paraId="1F4E457B">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default" w:ascii="Times New Roman" w:hAnsi="Times New Roman"/>
                      <w:caps w:val="0"/>
                      <w:smallCaps w:val="0"/>
                      <w:color w:val="auto"/>
                      <w:sz w:val="21"/>
                      <w:szCs w:val="21"/>
                      <w:highlight w:val="none"/>
                    </w:rPr>
                    <w:t>皮带运输系统廊道采用彩钢瓦进行封闭，进料口、下料口采用喷淋装置洒水降尘措施。</w:t>
                  </w:r>
                </w:p>
              </w:tc>
              <w:tc>
                <w:tcPr>
                  <w:tcW w:w="1347" w:type="dxa"/>
                  <w:noWrap/>
                  <w:vAlign w:val="center"/>
                </w:tcPr>
                <w:p w14:paraId="5D22747F">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ascii="Times New Roman" w:hAnsi="Times New Roman"/>
                      <w:caps w:val="0"/>
                      <w:smallCaps w:val="0"/>
                      <w:color w:val="auto"/>
                      <w:sz w:val="21"/>
                      <w:szCs w:val="21"/>
                      <w:highlight w:val="none"/>
                    </w:rPr>
                  </w:pPr>
                  <w:r>
                    <w:rPr>
                      <w:rFonts w:hint="eastAsia"/>
                      <w:caps w:val="0"/>
                      <w:smallCaps w:val="0"/>
                      <w:color w:val="auto"/>
                      <w:sz w:val="21"/>
                      <w:szCs w:val="21"/>
                      <w:highlight w:val="none"/>
                      <w:lang w:val="en-US" w:eastAsia="zh-CN"/>
                    </w:rPr>
                    <w:t>未建设</w:t>
                  </w:r>
                </w:p>
              </w:tc>
            </w:tr>
            <w:tr w14:paraId="7FBF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657" w:type="dxa"/>
                  <w:vMerge w:val="continue"/>
                  <w:noWrap/>
                  <w:vAlign w:val="center"/>
                </w:tcPr>
                <w:p w14:paraId="42E603B3">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1DA89DE9">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p>
              </w:tc>
              <w:tc>
                <w:tcPr>
                  <w:tcW w:w="961" w:type="dxa"/>
                  <w:gridSpan w:val="3"/>
                  <w:noWrap/>
                  <w:vAlign w:val="center"/>
                </w:tcPr>
                <w:p w14:paraId="093B02D0">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砂料堆场大棚</w:t>
                  </w:r>
                </w:p>
              </w:tc>
              <w:tc>
                <w:tcPr>
                  <w:tcW w:w="4142" w:type="dxa"/>
                  <w:noWrap/>
                  <w:vAlign w:val="center"/>
                </w:tcPr>
                <w:p w14:paraId="34273F82">
                  <w:pPr>
                    <w:keepNext w:val="0"/>
                    <w:keepLines w:val="0"/>
                    <w:pageBreakBefore w:val="0"/>
                    <w:kinsoku/>
                    <w:wordWrap/>
                    <w:overflowPunct/>
                    <w:topLinePunct w:val="0"/>
                    <w:autoSpaceDE/>
                    <w:autoSpaceDN/>
                    <w:bidi w:val="0"/>
                    <w:spacing w:line="240" w:lineRule="auto"/>
                    <w:ind w:firstLine="0" w:firstLineChars="0"/>
                    <w:textAlignment w:val="auto"/>
                    <w:rPr>
                      <w:rFonts w:hint="eastAsia"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砂料堆场大棚进行三面+顶棚封闭处理</w:t>
                  </w:r>
                  <w:r>
                    <w:rPr>
                      <w:rFonts w:hint="eastAsia" w:ascii="Times New Roman" w:hAnsi="Times New Roman"/>
                      <w:caps w:val="0"/>
                      <w:smallCaps w:val="0"/>
                      <w:color w:val="auto"/>
                      <w:sz w:val="21"/>
                      <w:szCs w:val="21"/>
                      <w:highlight w:val="none"/>
                      <w:lang w:eastAsia="zh-CN"/>
                    </w:rPr>
                    <w:t>，</w:t>
                  </w:r>
                  <w:r>
                    <w:rPr>
                      <w:rFonts w:hint="eastAsia" w:ascii="Times New Roman" w:hAnsi="Times New Roman"/>
                      <w:caps w:val="0"/>
                      <w:smallCaps w:val="0"/>
                      <w:color w:val="auto"/>
                      <w:sz w:val="21"/>
                      <w:szCs w:val="21"/>
                      <w:highlight w:val="none"/>
                    </w:rPr>
                    <w:t>并对大棚出入口设置喷淋装置进行洒水降尘处理。</w:t>
                  </w:r>
                </w:p>
              </w:tc>
              <w:tc>
                <w:tcPr>
                  <w:tcW w:w="1347" w:type="dxa"/>
                  <w:noWrap/>
                  <w:vAlign w:val="center"/>
                </w:tcPr>
                <w:p w14:paraId="384BCB9A">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eastAsia"/>
                      <w:caps w:val="0"/>
                      <w:smallCaps w:val="0"/>
                      <w:color w:val="auto"/>
                      <w:sz w:val="21"/>
                      <w:szCs w:val="21"/>
                      <w:highlight w:val="none"/>
                      <w:lang w:val="en-US" w:eastAsia="zh-CN"/>
                    </w:rPr>
                  </w:pPr>
                  <w:r>
                    <w:rPr>
                      <w:rFonts w:hint="eastAsia"/>
                      <w:caps w:val="0"/>
                      <w:smallCaps w:val="0"/>
                      <w:color w:val="auto"/>
                      <w:sz w:val="21"/>
                      <w:szCs w:val="21"/>
                      <w:highlight w:val="none"/>
                      <w:lang w:val="en-US" w:eastAsia="zh-CN"/>
                    </w:rPr>
                    <w:t>未建设</w:t>
                  </w:r>
                </w:p>
              </w:tc>
            </w:tr>
            <w:tr w14:paraId="3C2C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57" w:type="dxa"/>
                  <w:vMerge w:val="continue"/>
                  <w:noWrap/>
                  <w:vAlign w:val="center"/>
                </w:tcPr>
                <w:p w14:paraId="45D7011E">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vMerge w:val="restart"/>
                  <w:noWrap/>
                  <w:vAlign w:val="center"/>
                </w:tcPr>
                <w:p w14:paraId="1A6320F9">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废水治理设施</w:t>
                  </w:r>
                </w:p>
              </w:tc>
              <w:tc>
                <w:tcPr>
                  <w:tcW w:w="961" w:type="dxa"/>
                  <w:gridSpan w:val="3"/>
                  <w:noWrap/>
                  <w:vAlign w:val="center"/>
                </w:tcPr>
                <w:p w14:paraId="04554842">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隔油池</w:t>
                  </w:r>
                </w:p>
              </w:tc>
              <w:tc>
                <w:tcPr>
                  <w:tcW w:w="4142" w:type="dxa"/>
                  <w:noWrap/>
                  <w:vAlign w:val="center"/>
                </w:tcPr>
                <w:p w14:paraId="0F84B292">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rPr>
                    <w:t>在</w:t>
                  </w:r>
                  <w:r>
                    <w:rPr>
                      <w:rFonts w:hint="eastAsia"/>
                      <w:caps w:val="0"/>
                      <w:smallCaps w:val="0"/>
                      <w:color w:val="auto"/>
                      <w:sz w:val="21"/>
                      <w:szCs w:val="21"/>
                      <w:highlight w:val="none"/>
                      <w:lang w:eastAsia="zh-CN"/>
                    </w:rPr>
                    <w:t>办公生活区</w:t>
                  </w:r>
                  <w:r>
                    <w:rPr>
                      <w:rFonts w:hint="eastAsia" w:ascii="Times New Roman" w:hAnsi="Times New Roman"/>
                      <w:caps w:val="0"/>
                      <w:smallCaps w:val="0"/>
                      <w:color w:val="auto"/>
                      <w:sz w:val="21"/>
                      <w:szCs w:val="21"/>
                      <w:highlight w:val="none"/>
                    </w:rPr>
                    <w:t>食堂出水口设置一个0.</w:t>
                  </w:r>
                  <w:r>
                    <w:rPr>
                      <w:rFonts w:hint="eastAsia" w:ascii="Times New Roman" w:hAnsi="Times New Roman"/>
                      <w:caps w:val="0"/>
                      <w:smallCaps w:val="0"/>
                      <w:color w:val="auto"/>
                      <w:sz w:val="21"/>
                      <w:szCs w:val="21"/>
                      <w:highlight w:val="none"/>
                      <w:lang w:val="en-US" w:eastAsia="zh-CN"/>
                    </w:rPr>
                    <w:t>4</w:t>
                  </w:r>
                  <w:r>
                    <w:rPr>
                      <w:rFonts w:hint="eastAsia"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vertAlign w:val="superscript"/>
                    </w:rPr>
                    <w:t>3</w:t>
                  </w:r>
                  <w:r>
                    <w:rPr>
                      <w:rFonts w:hint="eastAsia" w:ascii="Times New Roman" w:hAnsi="Times New Roman"/>
                      <w:caps w:val="0"/>
                      <w:smallCaps w:val="0"/>
                      <w:color w:val="auto"/>
                      <w:sz w:val="21"/>
                      <w:szCs w:val="21"/>
                      <w:highlight w:val="none"/>
                    </w:rPr>
                    <w:t>的隔油池，</w:t>
                  </w:r>
                  <w:r>
                    <w:rPr>
                      <w:rFonts w:hint="eastAsia" w:ascii="Times New Roman" w:hAnsi="Times New Roman"/>
                      <w:caps w:val="0"/>
                      <w:smallCaps w:val="0"/>
                      <w:color w:val="auto"/>
                      <w:sz w:val="21"/>
                      <w:szCs w:val="21"/>
                      <w:highlight w:val="none"/>
                      <w:lang w:val="en-US" w:eastAsia="zh-CN"/>
                    </w:rPr>
                    <w:t>对项目员工食堂废水进行处理。</w:t>
                  </w:r>
                </w:p>
              </w:tc>
              <w:tc>
                <w:tcPr>
                  <w:tcW w:w="1347" w:type="dxa"/>
                  <w:noWrap/>
                  <w:vAlign w:val="center"/>
                </w:tcPr>
                <w:p w14:paraId="662C6C0E">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eastAsia"/>
                      <w:caps w:val="0"/>
                      <w:smallCaps w:val="0"/>
                      <w:color w:val="auto"/>
                      <w:sz w:val="21"/>
                      <w:szCs w:val="21"/>
                      <w:highlight w:val="none"/>
                      <w:lang w:val="en-US" w:eastAsia="zh-CN"/>
                    </w:rPr>
                  </w:pPr>
                  <w:r>
                    <w:rPr>
                      <w:rFonts w:hint="eastAsia"/>
                      <w:caps w:val="0"/>
                      <w:smallCaps w:val="0"/>
                      <w:color w:val="auto"/>
                      <w:sz w:val="21"/>
                      <w:szCs w:val="21"/>
                      <w:highlight w:val="none"/>
                      <w:lang w:val="en-US" w:eastAsia="zh-CN"/>
                    </w:rPr>
                    <w:t>未建设</w:t>
                  </w:r>
                </w:p>
              </w:tc>
            </w:tr>
            <w:tr w14:paraId="615B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657" w:type="dxa"/>
                  <w:vMerge w:val="continue"/>
                  <w:noWrap/>
                  <w:vAlign w:val="center"/>
                </w:tcPr>
                <w:p w14:paraId="3F84263A">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21E74E58">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caps w:val="0"/>
                      <w:smallCaps w:val="0"/>
                      <w:color w:val="auto"/>
                      <w:sz w:val="21"/>
                      <w:szCs w:val="21"/>
                      <w:highlight w:val="none"/>
                    </w:rPr>
                  </w:pPr>
                </w:p>
              </w:tc>
              <w:tc>
                <w:tcPr>
                  <w:tcW w:w="961" w:type="dxa"/>
                  <w:gridSpan w:val="3"/>
                  <w:noWrap/>
                  <w:vAlign w:val="center"/>
                </w:tcPr>
                <w:p w14:paraId="61332C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aps w:val="0"/>
                      <w:smallCaps w:val="0"/>
                      <w:color w:val="auto"/>
                      <w:sz w:val="21"/>
                      <w:szCs w:val="21"/>
                      <w:highlight w:val="none"/>
                      <w:lang w:eastAsia="zh-CN"/>
                    </w:rPr>
                  </w:pPr>
                  <w:r>
                    <w:rPr>
                      <w:rFonts w:hint="eastAsia" w:cs="Times New Roman"/>
                      <w:color w:val="auto"/>
                      <w:sz w:val="21"/>
                      <w:szCs w:val="21"/>
                      <w:highlight w:val="none"/>
                      <w:lang w:eastAsia="zh-CN"/>
                    </w:rPr>
                    <w:t>沉砂池</w:t>
                  </w:r>
                </w:p>
              </w:tc>
              <w:tc>
                <w:tcPr>
                  <w:tcW w:w="4142" w:type="dxa"/>
                  <w:noWrap/>
                  <w:vAlign w:val="center"/>
                </w:tcPr>
                <w:p w14:paraId="6A886283">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Times New Roman" w:hAnsi="Times New Roman"/>
                      <w:caps w:val="0"/>
                      <w:smallCaps w:val="0"/>
                      <w:color w:val="auto"/>
                      <w:sz w:val="21"/>
                      <w:szCs w:val="21"/>
                      <w:highlight w:val="none"/>
                    </w:rPr>
                  </w:pPr>
                  <w:r>
                    <w:rPr>
                      <w:rFonts w:hint="default" w:ascii="Times New Roman" w:hAnsi="Times New Roman" w:cs="Times New Roman"/>
                      <w:color w:val="auto"/>
                      <w:sz w:val="21"/>
                      <w:szCs w:val="21"/>
                      <w:highlight w:val="none"/>
                    </w:rPr>
                    <w:t>在</w:t>
                  </w:r>
                  <w:r>
                    <w:rPr>
                      <w:rFonts w:hint="eastAsia" w:cs="Times New Roman"/>
                      <w:color w:val="auto"/>
                      <w:sz w:val="21"/>
                      <w:szCs w:val="21"/>
                      <w:highlight w:val="none"/>
                      <w:lang w:eastAsia="zh-CN"/>
                    </w:rPr>
                    <w:t>办公生活区</w:t>
                  </w:r>
                  <w:r>
                    <w:rPr>
                      <w:rFonts w:hint="default" w:ascii="Times New Roman" w:hAnsi="Times New Roman" w:cs="Times New Roman"/>
                      <w:color w:val="auto"/>
                      <w:sz w:val="21"/>
                      <w:szCs w:val="21"/>
                      <w:highlight w:val="none"/>
                    </w:rPr>
                    <w:t>设置一个5m</w:t>
                  </w:r>
                  <w:r>
                    <w:rPr>
                      <w:rFonts w:hint="default" w:ascii="Times New Roman" w:hAnsi="Times New Roman" w:cs="Times New Roman"/>
                      <w:color w:val="auto"/>
                      <w:sz w:val="21"/>
                      <w:szCs w:val="21"/>
                      <w:highlight w:val="none"/>
                      <w:vertAlign w:val="superscript"/>
                    </w:rPr>
                    <w:t>3</w:t>
                  </w:r>
                  <w:r>
                    <w:rPr>
                      <w:rFonts w:hint="eastAsia" w:cs="Times New Roman"/>
                      <w:color w:val="auto"/>
                      <w:sz w:val="21"/>
                      <w:szCs w:val="21"/>
                      <w:highlight w:val="none"/>
                      <w:lang w:eastAsia="zh-CN"/>
                    </w:rPr>
                    <w:t>沉砂池</w:t>
                  </w:r>
                  <w:r>
                    <w:rPr>
                      <w:rFonts w:hint="default" w:ascii="Times New Roman" w:hAnsi="Times New Roman" w:cs="Times New Roman"/>
                      <w:color w:val="auto"/>
                      <w:sz w:val="21"/>
                      <w:szCs w:val="21"/>
                      <w:highlight w:val="none"/>
                    </w:rPr>
                    <w:t>，对</w:t>
                  </w:r>
                  <w:r>
                    <w:rPr>
                      <w:rFonts w:hint="eastAsia" w:ascii="Times New Roman" w:hAnsi="Times New Roman" w:cs="Times New Roman"/>
                      <w:color w:val="auto"/>
                      <w:sz w:val="21"/>
                      <w:szCs w:val="21"/>
                      <w:highlight w:val="none"/>
                      <w:lang w:val="en-US" w:eastAsia="zh-CN"/>
                    </w:rPr>
                    <w:t>生活污水进行沉淀处理</w:t>
                  </w:r>
                  <w:r>
                    <w:rPr>
                      <w:rFonts w:hint="default" w:ascii="Times New Roman" w:hAnsi="Times New Roman" w:cs="Times New Roman"/>
                      <w:color w:val="auto"/>
                      <w:sz w:val="21"/>
                      <w:szCs w:val="21"/>
                      <w:highlight w:val="none"/>
                    </w:rPr>
                    <w:t>，晴天回用于洒水降尘。</w:t>
                  </w:r>
                </w:p>
              </w:tc>
              <w:tc>
                <w:tcPr>
                  <w:tcW w:w="1347" w:type="dxa"/>
                  <w:noWrap/>
                  <w:vAlign w:val="center"/>
                </w:tcPr>
                <w:p w14:paraId="21B0D7FE">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caps w:val="0"/>
                      <w:smallCaps w:val="0"/>
                      <w:color w:val="auto"/>
                      <w:sz w:val="21"/>
                      <w:szCs w:val="21"/>
                      <w:highlight w:val="none"/>
                      <w:lang w:val="en-US" w:eastAsia="zh-CN"/>
                    </w:rPr>
                  </w:pPr>
                  <w:r>
                    <w:rPr>
                      <w:rFonts w:hint="eastAsia"/>
                      <w:caps w:val="0"/>
                      <w:smallCaps w:val="0"/>
                      <w:color w:val="auto"/>
                      <w:sz w:val="21"/>
                      <w:szCs w:val="21"/>
                      <w:highlight w:val="none"/>
                      <w:lang w:val="en-US" w:eastAsia="zh-CN"/>
                    </w:rPr>
                    <w:t>未建设</w:t>
                  </w:r>
                </w:p>
              </w:tc>
            </w:tr>
            <w:tr w14:paraId="0448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657" w:type="dxa"/>
                  <w:vMerge w:val="continue"/>
                  <w:noWrap/>
                  <w:vAlign w:val="center"/>
                </w:tcPr>
                <w:p w14:paraId="312A69DD">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097A4B5C">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p>
              </w:tc>
              <w:tc>
                <w:tcPr>
                  <w:tcW w:w="961" w:type="dxa"/>
                  <w:gridSpan w:val="3"/>
                  <w:noWrap/>
                  <w:vAlign w:val="center"/>
                </w:tcPr>
                <w:p w14:paraId="0FB4A44F">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截（排）水沟</w:t>
                  </w:r>
                </w:p>
              </w:tc>
              <w:tc>
                <w:tcPr>
                  <w:tcW w:w="4142" w:type="dxa"/>
                  <w:noWrap/>
                  <w:vAlign w:val="center"/>
                </w:tcPr>
                <w:p w14:paraId="7CEB3136">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拟在</w:t>
                  </w:r>
                  <w:r>
                    <w:rPr>
                      <w:rFonts w:hint="eastAsia"/>
                      <w:caps w:val="0"/>
                      <w:smallCaps w:val="0"/>
                      <w:color w:val="auto"/>
                      <w:sz w:val="21"/>
                      <w:szCs w:val="21"/>
                      <w:highlight w:val="none"/>
                      <w:lang w:eastAsia="zh-CN"/>
                    </w:rPr>
                    <w:t>露天开采区</w:t>
                  </w:r>
                  <w:r>
                    <w:rPr>
                      <w:rFonts w:hint="eastAsia" w:ascii="Times New Roman" w:hAnsi="Times New Roman"/>
                      <w:caps w:val="0"/>
                      <w:smallCaps w:val="0"/>
                      <w:color w:val="auto"/>
                      <w:sz w:val="21"/>
                      <w:szCs w:val="21"/>
                      <w:highlight w:val="none"/>
                    </w:rPr>
                    <w:t>四周、</w:t>
                  </w:r>
                  <w:r>
                    <w:rPr>
                      <w:rFonts w:hint="eastAsia" w:ascii="Times New Roman" w:hAnsi="Times New Roman"/>
                      <w:caps w:val="0"/>
                      <w:smallCaps w:val="0"/>
                      <w:color w:val="auto"/>
                      <w:sz w:val="21"/>
                      <w:szCs w:val="21"/>
                      <w:highlight w:val="none"/>
                      <w:lang w:eastAsia="zh-CN"/>
                    </w:rPr>
                    <w:t>排土场</w:t>
                  </w:r>
                  <w:r>
                    <w:rPr>
                      <w:rFonts w:hint="eastAsia" w:ascii="Times New Roman" w:hAnsi="Times New Roman"/>
                      <w:caps w:val="0"/>
                      <w:smallCaps w:val="0"/>
                      <w:color w:val="auto"/>
                      <w:sz w:val="21"/>
                      <w:szCs w:val="21"/>
                      <w:highlight w:val="none"/>
                    </w:rPr>
                    <w:t>上游设置砌石沟倒梯形断面，上宽1.0m，下底宽0.5m，深0.5m，水沟边壁55°的截排水沟，总长</w:t>
                  </w:r>
                  <w:r>
                    <w:rPr>
                      <w:rFonts w:hint="eastAsia"/>
                      <w:caps w:val="0"/>
                      <w:smallCaps w:val="0"/>
                      <w:color w:val="auto"/>
                      <w:sz w:val="21"/>
                      <w:szCs w:val="21"/>
                      <w:highlight w:val="none"/>
                      <w:lang w:val="en-US" w:eastAsia="zh-CN"/>
                    </w:rPr>
                    <w:t>1388</w:t>
                  </w:r>
                  <w:r>
                    <w:rPr>
                      <w:rFonts w:hint="eastAsia" w:ascii="Times New Roman" w:hAnsi="Times New Roman"/>
                      <w:caps w:val="0"/>
                      <w:smallCaps w:val="0"/>
                      <w:color w:val="auto"/>
                      <w:sz w:val="21"/>
                      <w:szCs w:val="21"/>
                      <w:highlight w:val="none"/>
                    </w:rPr>
                    <w:t>m。</w:t>
                  </w:r>
                </w:p>
              </w:tc>
              <w:tc>
                <w:tcPr>
                  <w:tcW w:w="1347" w:type="dxa"/>
                  <w:noWrap/>
                  <w:vAlign w:val="center"/>
                </w:tcPr>
                <w:p w14:paraId="23FBC036">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aps w:val="0"/>
                      <w:smallCaps w:val="0"/>
                      <w:color w:val="auto"/>
                      <w:sz w:val="21"/>
                      <w:szCs w:val="21"/>
                      <w:highlight w:val="none"/>
                      <w:lang w:val="en-US" w:eastAsia="zh-CN"/>
                    </w:rPr>
                  </w:pPr>
                  <w:r>
                    <w:rPr>
                      <w:rFonts w:hint="eastAsia"/>
                      <w:caps w:val="0"/>
                      <w:smallCaps w:val="0"/>
                      <w:color w:val="auto"/>
                      <w:sz w:val="21"/>
                      <w:szCs w:val="21"/>
                      <w:highlight w:val="none"/>
                      <w:lang w:val="en-US" w:eastAsia="zh-CN"/>
                    </w:rPr>
                    <w:t>未建设</w:t>
                  </w:r>
                </w:p>
              </w:tc>
            </w:tr>
            <w:tr w14:paraId="6F621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657" w:type="dxa"/>
                  <w:vMerge w:val="continue"/>
                  <w:noWrap/>
                  <w:vAlign w:val="center"/>
                </w:tcPr>
                <w:p w14:paraId="4E9214BB">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477975BC">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p>
              </w:tc>
              <w:tc>
                <w:tcPr>
                  <w:tcW w:w="961" w:type="dxa"/>
                  <w:gridSpan w:val="3"/>
                  <w:noWrap/>
                  <w:vAlign w:val="center"/>
                </w:tcPr>
                <w:p w14:paraId="786F34E8">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sz w:val="21"/>
                      <w:szCs w:val="21"/>
                      <w:highlight w:val="none"/>
                      <w:lang w:eastAsia="zh-CN"/>
                    </w:rPr>
                  </w:pPr>
                  <w:r>
                    <w:rPr>
                      <w:rFonts w:hint="eastAsia"/>
                      <w:caps w:val="0"/>
                      <w:smallCaps w:val="0"/>
                      <w:color w:val="auto"/>
                      <w:sz w:val="21"/>
                      <w:szCs w:val="21"/>
                      <w:highlight w:val="none"/>
                      <w:lang w:eastAsia="zh-CN"/>
                    </w:rPr>
                    <w:t>沉砂池</w:t>
                  </w:r>
                </w:p>
              </w:tc>
              <w:tc>
                <w:tcPr>
                  <w:tcW w:w="4142" w:type="dxa"/>
                  <w:noWrap/>
                  <w:vAlign w:val="center"/>
                </w:tcPr>
                <w:p w14:paraId="311AEA86">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在</w:t>
                  </w:r>
                  <w:r>
                    <w:rPr>
                      <w:rFonts w:hint="eastAsia"/>
                      <w:caps w:val="0"/>
                      <w:smallCaps w:val="0"/>
                      <w:color w:val="auto"/>
                      <w:sz w:val="21"/>
                      <w:szCs w:val="21"/>
                      <w:highlight w:val="none"/>
                      <w:lang w:eastAsia="zh-CN"/>
                    </w:rPr>
                    <w:t>露天开采区</w:t>
                  </w:r>
                  <w:r>
                    <w:rPr>
                      <w:rFonts w:hint="eastAsia" w:ascii="Times New Roman" w:hAnsi="Times New Roman"/>
                      <w:caps w:val="0"/>
                      <w:smallCaps w:val="0"/>
                      <w:color w:val="auto"/>
                      <w:sz w:val="21"/>
                      <w:szCs w:val="21"/>
                      <w:highlight w:val="none"/>
                    </w:rPr>
                    <w:t>下游设置1个</w:t>
                  </w:r>
                  <w:r>
                    <w:rPr>
                      <w:rFonts w:hint="eastAsia"/>
                      <w:caps w:val="0"/>
                      <w:smallCaps w:val="0"/>
                      <w:color w:val="auto"/>
                      <w:sz w:val="21"/>
                      <w:szCs w:val="21"/>
                      <w:highlight w:val="none"/>
                      <w:lang w:val="en-US" w:eastAsia="zh-CN"/>
                    </w:rPr>
                    <w:t>105</w:t>
                  </w:r>
                  <w:r>
                    <w:rPr>
                      <w:rFonts w:hint="eastAsia"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vertAlign w:val="superscript"/>
                    </w:rPr>
                    <w:t>3</w:t>
                  </w:r>
                  <w:r>
                    <w:rPr>
                      <w:rFonts w:hint="eastAsia"/>
                      <w:caps w:val="0"/>
                      <w:smallCaps w:val="0"/>
                      <w:color w:val="auto"/>
                      <w:sz w:val="21"/>
                      <w:szCs w:val="21"/>
                      <w:highlight w:val="none"/>
                      <w:lang w:eastAsia="zh-CN"/>
                    </w:rPr>
                    <w:t>沉砂池</w:t>
                  </w:r>
                  <w:r>
                    <w:rPr>
                      <w:rFonts w:hint="eastAsia" w:ascii="Times New Roman" w:hAnsi="Times New Roman"/>
                      <w:caps w:val="0"/>
                      <w:smallCaps w:val="0"/>
                      <w:color w:val="auto"/>
                      <w:sz w:val="21"/>
                      <w:szCs w:val="21"/>
                      <w:highlight w:val="none"/>
                    </w:rPr>
                    <w:t>，</w:t>
                  </w:r>
                  <w:r>
                    <w:rPr>
                      <w:rFonts w:hint="eastAsia" w:ascii="Times New Roman" w:hAnsi="Times New Roman"/>
                      <w:caps w:val="0"/>
                      <w:smallCaps w:val="0"/>
                      <w:color w:val="auto"/>
                      <w:sz w:val="21"/>
                      <w:szCs w:val="21"/>
                      <w:highlight w:val="none"/>
                      <w:lang w:eastAsia="zh-CN"/>
                    </w:rPr>
                    <w:t>排土场</w:t>
                  </w:r>
                  <w:r>
                    <w:rPr>
                      <w:rFonts w:hint="eastAsia" w:ascii="Times New Roman" w:hAnsi="Times New Roman"/>
                      <w:caps w:val="0"/>
                      <w:smallCaps w:val="0"/>
                      <w:color w:val="auto"/>
                      <w:sz w:val="21"/>
                      <w:szCs w:val="21"/>
                      <w:highlight w:val="none"/>
                    </w:rPr>
                    <w:t>下游设置</w:t>
                  </w:r>
                  <w:r>
                    <w:rPr>
                      <w:rFonts w:hint="eastAsia" w:ascii="Times New Roman" w:hAnsi="Times New Roman"/>
                      <w:caps w:val="0"/>
                      <w:smallCaps w:val="0"/>
                      <w:color w:val="auto"/>
                      <w:sz w:val="21"/>
                      <w:szCs w:val="21"/>
                      <w:highlight w:val="none"/>
                      <w:lang w:val="en-US" w:eastAsia="zh-CN"/>
                    </w:rPr>
                    <w:t>1</w:t>
                  </w:r>
                  <w:r>
                    <w:rPr>
                      <w:rFonts w:hint="eastAsia" w:ascii="Times New Roman" w:hAnsi="Times New Roman"/>
                      <w:caps w:val="0"/>
                      <w:smallCaps w:val="0"/>
                      <w:color w:val="auto"/>
                      <w:sz w:val="21"/>
                      <w:szCs w:val="21"/>
                      <w:highlight w:val="none"/>
                    </w:rPr>
                    <w:t>个</w:t>
                  </w:r>
                  <w:r>
                    <w:rPr>
                      <w:rFonts w:hint="eastAsia"/>
                      <w:caps w:val="0"/>
                      <w:smallCaps w:val="0"/>
                      <w:color w:val="auto"/>
                      <w:sz w:val="21"/>
                      <w:szCs w:val="21"/>
                      <w:highlight w:val="none"/>
                      <w:lang w:val="en-US" w:eastAsia="zh-CN"/>
                    </w:rPr>
                    <w:t>156</w:t>
                  </w:r>
                  <w:r>
                    <w:rPr>
                      <w:rFonts w:hint="eastAsia"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vertAlign w:val="superscript"/>
                    </w:rPr>
                    <w:t>3</w:t>
                  </w:r>
                  <w:r>
                    <w:rPr>
                      <w:rFonts w:hint="eastAsia"/>
                      <w:caps w:val="0"/>
                      <w:smallCaps w:val="0"/>
                      <w:color w:val="auto"/>
                      <w:sz w:val="21"/>
                      <w:szCs w:val="21"/>
                      <w:highlight w:val="none"/>
                      <w:lang w:eastAsia="zh-CN"/>
                    </w:rPr>
                    <w:t>沉砂池，</w:t>
                  </w:r>
                  <w:r>
                    <w:rPr>
                      <w:rFonts w:hint="eastAsia"/>
                      <w:caps w:val="0"/>
                      <w:smallCaps w:val="0"/>
                      <w:color w:val="auto"/>
                      <w:sz w:val="21"/>
                      <w:szCs w:val="21"/>
                      <w:highlight w:val="none"/>
                      <w:lang w:val="en-US" w:eastAsia="zh-CN"/>
                    </w:rPr>
                    <w:t>工业场地设置1个80</w:t>
                  </w:r>
                  <w:r>
                    <w:rPr>
                      <w:rFonts w:hint="eastAsia"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vertAlign w:val="superscript"/>
                    </w:rPr>
                    <w:t>3</w:t>
                  </w:r>
                  <w:r>
                    <w:rPr>
                      <w:rFonts w:hint="eastAsia"/>
                      <w:caps w:val="0"/>
                      <w:smallCaps w:val="0"/>
                      <w:color w:val="auto"/>
                      <w:sz w:val="21"/>
                      <w:szCs w:val="21"/>
                      <w:highlight w:val="none"/>
                      <w:lang w:eastAsia="zh-CN"/>
                    </w:rPr>
                    <w:t>沉砂池</w:t>
                  </w:r>
                  <w:r>
                    <w:rPr>
                      <w:rFonts w:hint="eastAsia" w:ascii="Times New Roman" w:hAnsi="Times New Roman"/>
                      <w:caps w:val="0"/>
                      <w:smallCaps w:val="0"/>
                      <w:color w:val="auto"/>
                      <w:sz w:val="21"/>
                      <w:szCs w:val="21"/>
                      <w:highlight w:val="none"/>
                    </w:rPr>
                    <w:t>。对淋滤水进行沉淀后回用于洒水降尘。</w:t>
                  </w:r>
                </w:p>
              </w:tc>
              <w:tc>
                <w:tcPr>
                  <w:tcW w:w="1347" w:type="dxa"/>
                  <w:noWrap/>
                  <w:vAlign w:val="center"/>
                </w:tcPr>
                <w:p w14:paraId="28EEAF2C">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aps w:val="0"/>
                      <w:smallCaps w:val="0"/>
                      <w:color w:val="auto"/>
                      <w:kern w:val="0"/>
                      <w:sz w:val="21"/>
                      <w:szCs w:val="21"/>
                      <w:highlight w:val="none"/>
                      <w:lang w:val="en-US" w:eastAsia="zh-CN"/>
                    </w:rPr>
                  </w:pPr>
                  <w:r>
                    <w:rPr>
                      <w:rFonts w:hint="eastAsia"/>
                      <w:caps w:val="0"/>
                      <w:smallCaps w:val="0"/>
                      <w:color w:val="auto"/>
                      <w:kern w:val="0"/>
                      <w:sz w:val="21"/>
                      <w:szCs w:val="21"/>
                      <w:highlight w:val="none"/>
                      <w:lang w:val="en-US" w:eastAsia="zh-CN"/>
                    </w:rPr>
                    <w:t>未建设</w:t>
                  </w:r>
                </w:p>
              </w:tc>
            </w:tr>
            <w:tr w14:paraId="3295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57" w:type="dxa"/>
                  <w:vMerge w:val="continue"/>
                  <w:noWrap/>
                  <w:vAlign w:val="center"/>
                </w:tcPr>
                <w:p w14:paraId="14A96484">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vMerge w:val="restart"/>
                  <w:noWrap/>
                  <w:vAlign w:val="center"/>
                </w:tcPr>
                <w:p w14:paraId="4BEC9E8E">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caps w:val="0"/>
                      <w:smallCaps w:val="0"/>
                      <w:color w:val="auto"/>
                      <w:sz w:val="21"/>
                      <w:szCs w:val="21"/>
                      <w:highlight w:val="none"/>
                    </w:rPr>
                  </w:pPr>
                  <w:r>
                    <w:rPr>
                      <w:rFonts w:hint="eastAsia" w:ascii="Times New Roman" w:hAnsi="Times New Roman"/>
                      <w:caps w:val="0"/>
                      <w:smallCaps w:val="0"/>
                      <w:color w:val="auto"/>
                      <w:kern w:val="0"/>
                      <w:sz w:val="21"/>
                      <w:szCs w:val="21"/>
                      <w:highlight w:val="none"/>
                    </w:rPr>
                    <w:t>噪声治理措施</w:t>
                  </w:r>
                </w:p>
              </w:tc>
              <w:tc>
                <w:tcPr>
                  <w:tcW w:w="961" w:type="dxa"/>
                  <w:gridSpan w:val="3"/>
                  <w:noWrap/>
                  <w:vAlign w:val="center"/>
                </w:tcPr>
                <w:p w14:paraId="3316E1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aps w:val="0"/>
                      <w:smallCaps w:val="0"/>
                      <w:color w:val="auto"/>
                      <w:kern w:val="0"/>
                      <w:sz w:val="21"/>
                      <w:szCs w:val="21"/>
                      <w:highlight w:val="none"/>
                    </w:rPr>
                  </w:pPr>
                  <w:r>
                    <w:rPr>
                      <w:rFonts w:hint="eastAsia" w:ascii="Times New Roman" w:hAnsi="Times New Roman"/>
                      <w:caps w:val="0"/>
                      <w:smallCaps w:val="0"/>
                      <w:color w:val="auto"/>
                      <w:sz w:val="21"/>
                      <w:szCs w:val="21"/>
                      <w:highlight w:val="none"/>
                    </w:rPr>
                    <w:t>彩钢瓦封闭</w:t>
                  </w:r>
                </w:p>
              </w:tc>
              <w:tc>
                <w:tcPr>
                  <w:tcW w:w="4142" w:type="dxa"/>
                  <w:noWrap/>
                  <w:vAlign w:val="center"/>
                </w:tcPr>
                <w:p w14:paraId="5512F8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项目破碎机、筛分机、皮带运输机等均采用彩钢瓦封闭。</w:t>
                  </w:r>
                </w:p>
              </w:tc>
              <w:tc>
                <w:tcPr>
                  <w:tcW w:w="1347" w:type="dxa"/>
                  <w:noWrap/>
                  <w:vAlign w:val="center"/>
                </w:tcPr>
                <w:p w14:paraId="3F8BD62F">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eastAsia" w:ascii="Times New Roman" w:hAnsi="Times New Roman"/>
                      <w:caps w:val="0"/>
                      <w:smallCaps w:val="0"/>
                      <w:color w:val="auto"/>
                      <w:sz w:val="21"/>
                      <w:szCs w:val="21"/>
                      <w:highlight w:val="none"/>
                    </w:rPr>
                  </w:pPr>
                  <w:r>
                    <w:rPr>
                      <w:rFonts w:hint="eastAsia"/>
                      <w:caps w:val="0"/>
                      <w:smallCaps w:val="0"/>
                      <w:color w:val="auto"/>
                      <w:kern w:val="0"/>
                      <w:sz w:val="21"/>
                      <w:szCs w:val="21"/>
                      <w:highlight w:val="none"/>
                      <w:lang w:val="en-US" w:eastAsia="zh-CN"/>
                    </w:rPr>
                    <w:t>未建设</w:t>
                  </w:r>
                </w:p>
              </w:tc>
            </w:tr>
            <w:tr w14:paraId="3B7D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57" w:type="dxa"/>
                  <w:vMerge w:val="continue"/>
                  <w:noWrap/>
                  <w:vAlign w:val="center"/>
                </w:tcPr>
                <w:p w14:paraId="23CDA7ED">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27F1A10B">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caps w:val="0"/>
                      <w:smallCaps w:val="0"/>
                      <w:color w:val="auto"/>
                      <w:sz w:val="21"/>
                      <w:szCs w:val="21"/>
                      <w:highlight w:val="none"/>
                    </w:rPr>
                  </w:pPr>
                </w:p>
              </w:tc>
              <w:tc>
                <w:tcPr>
                  <w:tcW w:w="961" w:type="dxa"/>
                  <w:gridSpan w:val="3"/>
                  <w:noWrap/>
                  <w:vAlign w:val="center"/>
                </w:tcPr>
                <w:p w14:paraId="3B3C2FA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aps w:val="0"/>
                      <w:smallCaps w:val="0"/>
                      <w:color w:val="auto"/>
                      <w:kern w:val="0"/>
                      <w:sz w:val="21"/>
                      <w:szCs w:val="21"/>
                      <w:highlight w:val="none"/>
                    </w:rPr>
                  </w:pPr>
                  <w:r>
                    <w:rPr>
                      <w:rFonts w:hint="eastAsia" w:ascii="Times New Roman" w:hAnsi="Times New Roman"/>
                      <w:caps w:val="0"/>
                      <w:smallCaps w:val="0"/>
                      <w:color w:val="auto"/>
                      <w:sz w:val="21"/>
                      <w:szCs w:val="21"/>
                      <w:highlight w:val="none"/>
                    </w:rPr>
                    <w:t>减震垫</w:t>
                  </w:r>
                </w:p>
              </w:tc>
              <w:tc>
                <w:tcPr>
                  <w:tcW w:w="4142" w:type="dxa"/>
                  <w:noWrap/>
                  <w:vAlign w:val="center"/>
                </w:tcPr>
                <w:p w14:paraId="1851F83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项目破碎机、筛分机等机械设备均采用减震垫进行减震。</w:t>
                  </w:r>
                </w:p>
              </w:tc>
              <w:tc>
                <w:tcPr>
                  <w:tcW w:w="1347" w:type="dxa"/>
                  <w:noWrap/>
                  <w:vAlign w:val="center"/>
                </w:tcPr>
                <w:p w14:paraId="31155548">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eastAsia" w:ascii="Times New Roman" w:hAnsi="Times New Roman"/>
                      <w:caps w:val="0"/>
                      <w:smallCaps w:val="0"/>
                      <w:color w:val="auto"/>
                      <w:sz w:val="21"/>
                      <w:szCs w:val="21"/>
                      <w:highlight w:val="none"/>
                    </w:rPr>
                  </w:pPr>
                  <w:r>
                    <w:rPr>
                      <w:rFonts w:hint="eastAsia"/>
                      <w:caps w:val="0"/>
                      <w:smallCaps w:val="0"/>
                      <w:color w:val="auto"/>
                      <w:kern w:val="0"/>
                      <w:sz w:val="21"/>
                      <w:szCs w:val="21"/>
                      <w:highlight w:val="none"/>
                      <w:lang w:val="en-US" w:eastAsia="zh-CN"/>
                    </w:rPr>
                    <w:t>未建设</w:t>
                  </w:r>
                </w:p>
              </w:tc>
            </w:tr>
            <w:tr w14:paraId="01BDE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657" w:type="dxa"/>
                  <w:vMerge w:val="continue"/>
                  <w:noWrap/>
                  <w:vAlign w:val="center"/>
                </w:tcPr>
                <w:p w14:paraId="5AD3682D">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vMerge w:val="restart"/>
                  <w:noWrap/>
                  <w:vAlign w:val="center"/>
                </w:tcPr>
                <w:p w14:paraId="2E02D86E">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固废治理设施</w:t>
                  </w:r>
                </w:p>
              </w:tc>
              <w:tc>
                <w:tcPr>
                  <w:tcW w:w="961" w:type="dxa"/>
                  <w:gridSpan w:val="3"/>
                  <w:noWrap/>
                  <w:vAlign w:val="center"/>
                </w:tcPr>
                <w:p w14:paraId="78797E92">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r>
                    <w:rPr>
                      <w:rFonts w:hint="eastAsia" w:ascii="Times New Roman" w:hAnsi="Times New Roman"/>
                      <w:caps w:val="0"/>
                      <w:smallCaps w:val="0"/>
                      <w:color w:val="auto"/>
                      <w:kern w:val="0"/>
                      <w:sz w:val="21"/>
                      <w:szCs w:val="21"/>
                      <w:highlight w:val="none"/>
                    </w:rPr>
                    <w:t>垃圾收集设施</w:t>
                  </w:r>
                </w:p>
              </w:tc>
              <w:tc>
                <w:tcPr>
                  <w:tcW w:w="4142" w:type="dxa"/>
                  <w:noWrap/>
                  <w:vAlign w:val="center"/>
                </w:tcPr>
                <w:p w14:paraId="17E024A5">
                  <w:pPr>
                    <w:keepNext w:val="0"/>
                    <w:keepLines w:val="0"/>
                    <w:pageBreakBefore w:val="0"/>
                    <w:kinsoku/>
                    <w:wordWrap/>
                    <w:overflowPunct/>
                    <w:topLinePunct w:val="0"/>
                    <w:autoSpaceDE/>
                    <w:autoSpaceDN/>
                    <w:bidi w:val="0"/>
                    <w:spacing w:line="240" w:lineRule="auto"/>
                    <w:ind w:firstLine="0" w:firstLineChars="0"/>
                    <w:textAlignment w:val="auto"/>
                    <w:rPr>
                      <w:rFonts w:hint="eastAsia" w:ascii="Times New Roman" w:hAnsi="Times New Roman" w:eastAsia="宋体"/>
                      <w:caps w:val="0"/>
                      <w:smallCaps w:val="0"/>
                      <w:color w:val="auto"/>
                      <w:sz w:val="21"/>
                      <w:szCs w:val="21"/>
                      <w:highlight w:val="none"/>
                      <w:lang w:eastAsia="zh-CN"/>
                    </w:rPr>
                  </w:pPr>
                  <w:r>
                    <w:rPr>
                      <w:rFonts w:hint="eastAsia" w:ascii="Times New Roman" w:hAnsi="Times New Roman"/>
                      <w:caps w:val="0"/>
                      <w:smallCaps w:val="0"/>
                      <w:color w:val="auto"/>
                      <w:sz w:val="21"/>
                      <w:szCs w:val="21"/>
                      <w:highlight w:val="none"/>
                    </w:rPr>
                    <w:t>生活办公区布置垃圾桶</w:t>
                  </w:r>
                  <w:r>
                    <w:rPr>
                      <w:rFonts w:hint="eastAsia" w:ascii="Times New Roman" w:hAnsi="Times New Roman"/>
                      <w:caps w:val="0"/>
                      <w:smallCaps w:val="0"/>
                      <w:color w:val="auto"/>
                      <w:sz w:val="21"/>
                      <w:szCs w:val="21"/>
                      <w:highlight w:val="none"/>
                      <w:lang w:eastAsia="zh-CN"/>
                    </w:rPr>
                    <w:t>。</w:t>
                  </w:r>
                </w:p>
              </w:tc>
              <w:tc>
                <w:tcPr>
                  <w:tcW w:w="1347" w:type="dxa"/>
                  <w:noWrap/>
                  <w:vAlign w:val="center"/>
                </w:tcPr>
                <w:p w14:paraId="1BD5F438">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ascii="Times New Roman" w:hAnsi="Times New Roman"/>
                      <w:caps w:val="0"/>
                      <w:smallCaps w:val="0"/>
                      <w:color w:val="auto"/>
                      <w:sz w:val="21"/>
                      <w:szCs w:val="21"/>
                      <w:highlight w:val="none"/>
                    </w:rPr>
                  </w:pPr>
                  <w:r>
                    <w:rPr>
                      <w:rFonts w:hint="eastAsia"/>
                      <w:caps w:val="0"/>
                      <w:smallCaps w:val="0"/>
                      <w:color w:val="auto"/>
                      <w:kern w:val="0"/>
                      <w:sz w:val="21"/>
                      <w:szCs w:val="21"/>
                      <w:highlight w:val="none"/>
                      <w:lang w:val="en-US" w:eastAsia="zh-CN"/>
                    </w:rPr>
                    <w:t>未建设</w:t>
                  </w:r>
                </w:p>
              </w:tc>
            </w:tr>
            <w:tr w14:paraId="6692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5" w:hRule="atLeast"/>
                <w:jc w:val="center"/>
              </w:trPr>
              <w:tc>
                <w:tcPr>
                  <w:tcW w:w="657" w:type="dxa"/>
                  <w:vMerge w:val="continue"/>
                  <w:noWrap/>
                  <w:vAlign w:val="center"/>
                </w:tcPr>
                <w:p w14:paraId="4CF64ED1">
                  <w:pPr>
                    <w:keepNext w:val="0"/>
                    <w:keepLines w:val="0"/>
                    <w:pageBreakBefore w:val="0"/>
                    <w:kinsoku/>
                    <w:wordWrap/>
                    <w:overflowPunct/>
                    <w:topLinePunct w:val="0"/>
                    <w:autoSpaceDE/>
                    <w:autoSpaceDN/>
                    <w:bidi w:val="0"/>
                    <w:spacing w:line="240" w:lineRule="auto"/>
                    <w:ind w:firstLine="0" w:firstLineChars="0"/>
                    <w:textAlignment w:val="auto"/>
                    <w:rPr>
                      <w:rFonts w:ascii="Times New Roman" w:hAnsi="Times New Roman"/>
                      <w:caps w:val="0"/>
                      <w:smallCaps w:val="0"/>
                      <w:color w:val="auto"/>
                      <w:sz w:val="21"/>
                      <w:szCs w:val="21"/>
                      <w:highlight w:val="none"/>
                    </w:rPr>
                  </w:pPr>
                </w:p>
              </w:tc>
              <w:tc>
                <w:tcPr>
                  <w:tcW w:w="703" w:type="dxa"/>
                  <w:vMerge w:val="continue"/>
                  <w:noWrap/>
                  <w:vAlign w:val="center"/>
                </w:tcPr>
                <w:p w14:paraId="31E9A34E">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p>
              </w:tc>
              <w:tc>
                <w:tcPr>
                  <w:tcW w:w="961" w:type="dxa"/>
                  <w:gridSpan w:val="3"/>
                  <w:noWrap/>
                  <w:vAlign w:val="center"/>
                </w:tcPr>
                <w:p w14:paraId="42E12A0E">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kern w:val="0"/>
                      <w:sz w:val="21"/>
                      <w:szCs w:val="21"/>
                      <w:highlight w:val="none"/>
                    </w:rPr>
                  </w:pPr>
                  <w:r>
                    <w:rPr>
                      <w:rFonts w:hint="eastAsia" w:ascii="Times New Roman" w:hAnsi="Times New Roman"/>
                      <w:caps w:val="0"/>
                      <w:smallCaps w:val="0"/>
                      <w:color w:val="auto"/>
                      <w:kern w:val="0"/>
                      <w:sz w:val="21"/>
                      <w:szCs w:val="21"/>
                      <w:highlight w:val="none"/>
                    </w:rPr>
                    <w:t>危废暂存间</w:t>
                  </w:r>
                </w:p>
              </w:tc>
              <w:tc>
                <w:tcPr>
                  <w:tcW w:w="4142" w:type="dxa"/>
                  <w:noWrap/>
                  <w:vAlign w:val="center"/>
                </w:tcPr>
                <w:p w14:paraId="7205B206">
                  <w:pPr>
                    <w:keepNext w:val="0"/>
                    <w:keepLines w:val="0"/>
                    <w:pageBreakBefore w:val="0"/>
                    <w:kinsoku/>
                    <w:wordWrap/>
                    <w:overflowPunct/>
                    <w:topLinePunct w:val="0"/>
                    <w:autoSpaceDE/>
                    <w:autoSpaceDN/>
                    <w:bidi w:val="0"/>
                    <w:spacing w:line="240" w:lineRule="auto"/>
                    <w:ind w:firstLine="0" w:firstLineChars="0"/>
                    <w:textAlignment w:val="auto"/>
                    <w:rPr>
                      <w:rFonts w:hint="eastAsia" w:ascii="Times New Roman" w:hAnsi="Times New Roman" w:eastAsia="宋体"/>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rPr>
                    <w:t>本次矿山拟在工业场地，新修1个</w:t>
                  </w:r>
                  <w:r>
                    <w:rPr>
                      <w:rFonts w:hint="eastAsia"/>
                      <w:caps w:val="0"/>
                      <w:smallCaps w:val="0"/>
                      <w:color w:val="auto"/>
                      <w:sz w:val="21"/>
                      <w:szCs w:val="21"/>
                      <w:highlight w:val="none"/>
                      <w:lang w:val="en-US" w:eastAsia="zh-CN"/>
                    </w:rPr>
                    <w:t>5</w:t>
                  </w:r>
                  <w:r>
                    <w:rPr>
                      <w:rFonts w:hint="eastAsia" w:ascii="Times New Roman" w:hAnsi="Times New Roman"/>
                      <w:caps w:val="0"/>
                      <w:smallCaps w:val="0"/>
                      <w:color w:val="auto"/>
                      <w:sz w:val="21"/>
                      <w:szCs w:val="21"/>
                      <w:highlight w:val="none"/>
                    </w:rPr>
                    <w:t>m</w:t>
                  </w:r>
                  <w:r>
                    <w:rPr>
                      <w:rFonts w:hint="eastAsia" w:ascii="Times New Roman" w:hAnsi="Times New Roman"/>
                      <w:caps w:val="0"/>
                      <w:smallCaps w:val="0"/>
                      <w:color w:val="auto"/>
                      <w:sz w:val="21"/>
                      <w:szCs w:val="21"/>
                      <w:highlight w:val="none"/>
                      <w:vertAlign w:val="superscript"/>
                    </w:rPr>
                    <w:t>2</w:t>
                  </w:r>
                  <w:r>
                    <w:rPr>
                      <w:rFonts w:hint="eastAsia" w:ascii="Times New Roman" w:hAnsi="Times New Roman"/>
                      <w:caps w:val="0"/>
                      <w:smallCaps w:val="0"/>
                      <w:color w:val="auto"/>
                      <w:sz w:val="21"/>
                      <w:szCs w:val="21"/>
                      <w:highlight w:val="none"/>
                    </w:rPr>
                    <w:t>的危废暂存间用于收集废旧机油</w:t>
                  </w:r>
                  <w:r>
                    <w:rPr>
                      <w:rStyle w:val="35"/>
                      <w:rFonts w:hint="eastAsia"/>
                      <w:caps w:val="0"/>
                      <w:smallCaps w:val="0"/>
                      <w:color w:val="auto"/>
                      <w:szCs w:val="21"/>
                      <w:highlight w:val="none"/>
                      <w:lang w:eastAsia="zh-CN"/>
                    </w:rPr>
                    <w:t>。</w:t>
                  </w:r>
                  <w:r>
                    <w:rPr>
                      <w:rStyle w:val="35"/>
                      <w:rFonts w:hint="eastAsia" w:ascii="Times New Roman" w:hAnsi="Times New Roman"/>
                      <w:caps w:val="0"/>
                      <w:smallCaps w:val="0"/>
                      <w:color w:val="auto"/>
                      <w:szCs w:val="21"/>
                      <w:highlight w:val="none"/>
                      <w:lang w:eastAsia="zh-CN"/>
                    </w:rPr>
                    <w:t>危废暂存间</w:t>
                  </w:r>
                  <w:r>
                    <w:rPr>
                      <w:rStyle w:val="35"/>
                      <w:rFonts w:hint="eastAsia" w:ascii="Times New Roman" w:hAnsi="Times New Roman"/>
                      <w:caps w:val="0"/>
                      <w:smallCaps w:val="0"/>
                      <w:color w:val="auto"/>
                      <w:szCs w:val="21"/>
                      <w:highlight w:val="none"/>
                    </w:rPr>
                    <w:t>严格按照《危险废物贮存污染控制标准》（GB 18597-2001）及2013年修改单中的相关要求，做好防雨、防渗，防止二次污染。地面用坚固、防渗的材料建造，建筑材料必须与危险废物相容</w:t>
                  </w:r>
                  <w:r>
                    <w:rPr>
                      <w:rStyle w:val="35"/>
                      <w:rFonts w:hint="eastAsia" w:ascii="Times New Roman" w:hAnsi="Times New Roman"/>
                      <w:caps w:val="0"/>
                      <w:smallCaps w:val="0"/>
                      <w:color w:val="auto"/>
                      <w:szCs w:val="21"/>
                      <w:highlight w:val="none"/>
                      <w:lang w:eastAsia="zh-CN"/>
                    </w:rPr>
                    <w:t>，</w:t>
                  </w:r>
                  <w:r>
                    <w:rPr>
                      <w:rFonts w:hint="default" w:ascii="Times New Roman" w:hAnsi="Times New Roman" w:cs="Times New Roman"/>
                      <w:color w:val="auto"/>
                      <w:sz w:val="21"/>
                      <w:szCs w:val="21"/>
                      <w:highlight w:val="none"/>
                    </w:rPr>
                    <w:t>防渗层为2mm厚高密度聚乙烯，或2mm厚的其它人工材料（渗透系数10</w:t>
                  </w:r>
                  <w:r>
                    <w:rPr>
                      <w:rFonts w:hint="default" w:ascii="Times New Roman" w:hAnsi="Times New Roman" w:cs="Times New Roman"/>
                      <w:color w:val="auto"/>
                      <w:sz w:val="21"/>
                      <w:szCs w:val="21"/>
                      <w:highlight w:val="none"/>
                      <w:vertAlign w:val="superscript"/>
                    </w:rPr>
                    <w:t>-10</w:t>
                  </w:r>
                  <w:r>
                    <w:rPr>
                      <w:rFonts w:hint="default" w:ascii="Times New Roman" w:hAnsi="Times New Roman" w:cs="Times New Roman"/>
                      <w:color w:val="auto"/>
                      <w:sz w:val="21"/>
                      <w:szCs w:val="21"/>
                      <w:highlight w:val="none"/>
                    </w:rPr>
                    <w:t>cm/s）</w:t>
                  </w:r>
                  <w:r>
                    <w:rPr>
                      <w:rFonts w:hint="eastAsia"/>
                      <w:color w:val="auto"/>
                      <w:sz w:val="21"/>
                      <w:szCs w:val="21"/>
                      <w:highlight w:val="none"/>
                    </w:rPr>
                    <w:t>。</w:t>
                  </w:r>
                </w:p>
              </w:tc>
              <w:tc>
                <w:tcPr>
                  <w:tcW w:w="1347" w:type="dxa"/>
                  <w:noWrap/>
                  <w:vAlign w:val="center"/>
                </w:tcPr>
                <w:p w14:paraId="526F4A47">
                  <w:pPr>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caps w:val="0"/>
                      <w:smallCaps w:val="0"/>
                      <w:color w:val="auto"/>
                      <w:sz w:val="21"/>
                      <w:szCs w:val="21"/>
                      <w:highlight w:val="none"/>
                    </w:rPr>
                  </w:pPr>
                  <w:r>
                    <w:rPr>
                      <w:rFonts w:hint="eastAsia"/>
                      <w:caps w:val="0"/>
                      <w:smallCaps w:val="0"/>
                      <w:color w:val="auto"/>
                      <w:kern w:val="0"/>
                      <w:sz w:val="21"/>
                      <w:szCs w:val="21"/>
                      <w:highlight w:val="none"/>
                      <w:lang w:val="en-US" w:eastAsia="zh-CN"/>
                    </w:rPr>
                    <w:t>未建设</w:t>
                  </w:r>
                </w:p>
              </w:tc>
            </w:tr>
          </w:tbl>
          <w:p w14:paraId="0C088899">
            <w:pPr>
              <w:spacing w:before="156" w:beforeLines="50"/>
              <w:ind w:firstLine="482"/>
              <w:rPr>
                <w:b/>
                <w:bCs/>
                <w:color w:val="auto"/>
                <w:highlight w:val="none"/>
              </w:rPr>
            </w:pPr>
            <w:r>
              <w:rPr>
                <w:rFonts w:hint="eastAsia"/>
                <w:b/>
                <w:bCs/>
                <w:color w:val="auto"/>
                <w:highlight w:val="none"/>
                <w:lang w:val="en-US" w:eastAsia="zh-CN"/>
              </w:rPr>
              <w:t>4</w:t>
            </w:r>
            <w:r>
              <w:rPr>
                <w:b/>
                <w:bCs/>
                <w:color w:val="auto"/>
                <w:highlight w:val="none"/>
              </w:rPr>
              <w:t>、</w:t>
            </w:r>
            <w:r>
              <w:rPr>
                <w:rFonts w:hint="eastAsia"/>
                <w:b/>
                <w:bCs/>
                <w:color w:val="auto"/>
                <w:highlight w:val="none"/>
              </w:rPr>
              <w:t>现有</w:t>
            </w:r>
            <w:r>
              <w:rPr>
                <w:b/>
                <w:bCs/>
                <w:color w:val="auto"/>
                <w:highlight w:val="none"/>
              </w:rPr>
              <w:t>项目</w:t>
            </w:r>
            <w:r>
              <w:rPr>
                <w:rFonts w:hint="eastAsia"/>
                <w:b/>
                <w:bCs/>
                <w:color w:val="auto"/>
                <w:highlight w:val="none"/>
              </w:rPr>
              <w:t>主要生产设备</w:t>
            </w:r>
          </w:p>
          <w:p w14:paraId="3E6CFDBE">
            <w:pPr>
              <w:ind w:firstLine="480"/>
              <w:rPr>
                <w:color w:val="auto"/>
                <w:highlight w:val="none"/>
              </w:rPr>
            </w:pPr>
            <w:r>
              <w:rPr>
                <w:rFonts w:hint="eastAsia"/>
                <w:color w:val="auto"/>
                <w:highlight w:val="none"/>
              </w:rPr>
              <w:t>矿山目前主要的采矿作业设备包括</w:t>
            </w:r>
            <w:r>
              <w:rPr>
                <w:rFonts w:hint="eastAsia"/>
                <w:color w:val="auto"/>
                <w:highlight w:val="none"/>
                <w:lang w:val="en-US" w:eastAsia="zh-CN"/>
              </w:rPr>
              <w:t>挖掘设备</w:t>
            </w:r>
            <w:r>
              <w:rPr>
                <w:rFonts w:hint="eastAsia"/>
                <w:color w:val="auto"/>
                <w:highlight w:val="none"/>
              </w:rPr>
              <w:t>、运输设备及辅助作业设备，现有项目主要生产设备见下表：</w:t>
            </w:r>
          </w:p>
          <w:p w14:paraId="764F49A5">
            <w:pPr>
              <w:ind w:firstLine="0" w:firstLineChars="0"/>
              <w:jc w:val="center"/>
              <w:rPr>
                <w:b/>
                <w:bCs/>
                <w:color w:val="auto"/>
                <w:highlight w:val="none"/>
              </w:rPr>
            </w:pPr>
            <w:r>
              <w:rPr>
                <w:rFonts w:hint="eastAsia"/>
                <w:b/>
                <w:bCs/>
                <w:color w:val="auto"/>
                <w:highlight w:val="none"/>
              </w:rPr>
              <w:t>表2-3  现有项目主要生产设备一览表</w:t>
            </w:r>
          </w:p>
          <w:tbl>
            <w:tblPr>
              <w:tblStyle w:val="30"/>
              <w:tblW w:w="4401" w:type="pct"/>
              <w:jc w:val="center"/>
              <w:tblLayout w:type="fixed"/>
              <w:tblCellMar>
                <w:top w:w="15" w:type="dxa"/>
                <w:left w:w="15" w:type="dxa"/>
                <w:bottom w:w="15" w:type="dxa"/>
                <w:right w:w="15" w:type="dxa"/>
              </w:tblCellMar>
            </w:tblPr>
            <w:tblGrid>
              <w:gridCol w:w="839"/>
              <w:gridCol w:w="1816"/>
              <w:gridCol w:w="1957"/>
              <w:gridCol w:w="832"/>
              <w:gridCol w:w="1482"/>
            </w:tblGrid>
            <w:tr w14:paraId="6012B9AD">
              <w:tblPrEx>
                <w:tblCellMar>
                  <w:top w:w="15" w:type="dxa"/>
                  <w:left w:w="15" w:type="dxa"/>
                  <w:bottom w:w="15" w:type="dxa"/>
                  <w:right w:w="15" w:type="dxa"/>
                </w:tblCellMar>
              </w:tblPrEx>
              <w:trPr>
                <w:trHeight w:val="230" w:hRule="atLeast"/>
                <w:tblHeader/>
                <w:jc w:val="center"/>
              </w:trPr>
              <w:tc>
                <w:tcPr>
                  <w:tcW w:w="606" w:type="pct"/>
                  <w:tcBorders>
                    <w:top w:val="single" w:color="000000" w:sz="4" w:space="0"/>
                    <w:left w:val="single" w:color="000000" w:sz="4" w:space="0"/>
                    <w:bottom w:val="single" w:color="000000" w:sz="4" w:space="0"/>
                    <w:right w:val="single" w:color="000000" w:sz="4" w:space="0"/>
                  </w:tcBorders>
                  <w:vAlign w:val="center"/>
                </w:tcPr>
                <w:p w14:paraId="5AC94729">
                  <w:pPr>
                    <w:widowControl/>
                    <w:adjustRightInd w:val="0"/>
                    <w:spacing w:line="240" w:lineRule="auto"/>
                    <w:ind w:firstLine="0" w:firstLineChars="0"/>
                    <w:jc w:val="center"/>
                    <w:rPr>
                      <w:b/>
                      <w:bCs/>
                      <w:color w:val="auto"/>
                      <w:sz w:val="21"/>
                      <w:szCs w:val="21"/>
                      <w:highlight w:val="none"/>
                    </w:rPr>
                  </w:pPr>
                  <w:r>
                    <w:rPr>
                      <w:rFonts w:hint="eastAsia"/>
                      <w:b/>
                      <w:bCs/>
                      <w:color w:val="auto"/>
                      <w:sz w:val="21"/>
                      <w:szCs w:val="21"/>
                      <w:highlight w:val="none"/>
                    </w:rPr>
                    <w:t>序号</w:t>
                  </w:r>
                </w:p>
              </w:tc>
              <w:tc>
                <w:tcPr>
                  <w:tcW w:w="1310" w:type="pct"/>
                  <w:tcBorders>
                    <w:top w:val="single" w:color="000000" w:sz="4" w:space="0"/>
                    <w:left w:val="single" w:color="000000" w:sz="4" w:space="0"/>
                    <w:bottom w:val="single" w:color="000000" w:sz="4" w:space="0"/>
                    <w:right w:val="single" w:color="000000" w:sz="4" w:space="0"/>
                  </w:tcBorders>
                  <w:vAlign w:val="center"/>
                </w:tcPr>
                <w:p w14:paraId="76BBD26C">
                  <w:pPr>
                    <w:widowControl/>
                    <w:adjustRightInd w:val="0"/>
                    <w:spacing w:line="240" w:lineRule="auto"/>
                    <w:ind w:firstLine="0" w:firstLineChars="0"/>
                    <w:jc w:val="center"/>
                    <w:rPr>
                      <w:b/>
                      <w:bCs/>
                      <w:color w:val="auto"/>
                      <w:sz w:val="21"/>
                      <w:szCs w:val="21"/>
                      <w:highlight w:val="none"/>
                    </w:rPr>
                  </w:pPr>
                  <w:r>
                    <w:rPr>
                      <w:rFonts w:hint="eastAsia"/>
                      <w:b/>
                      <w:bCs/>
                      <w:color w:val="auto"/>
                      <w:sz w:val="21"/>
                      <w:szCs w:val="21"/>
                      <w:highlight w:val="none"/>
                    </w:rPr>
                    <w:t>名称</w:t>
                  </w:r>
                </w:p>
              </w:tc>
              <w:tc>
                <w:tcPr>
                  <w:tcW w:w="1412" w:type="pct"/>
                  <w:tcBorders>
                    <w:top w:val="single" w:color="000000" w:sz="4" w:space="0"/>
                    <w:left w:val="single" w:color="000000" w:sz="4" w:space="0"/>
                    <w:bottom w:val="single" w:color="000000" w:sz="4" w:space="0"/>
                    <w:right w:val="single" w:color="000000" w:sz="4" w:space="0"/>
                  </w:tcBorders>
                  <w:vAlign w:val="center"/>
                </w:tcPr>
                <w:p w14:paraId="1E8473F8">
                  <w:pPr>
                    <w:widowControl/>
                    <w:adjustRightInd w:val="0"/>
                    <w:spacing w:line="240" w:lineRule="auto"/>
                    <w:ind w:firstLine="0" w:firstLineChars="0"/>
                    <w:jc w:val="center"/>
                    <w:rPr>
                      <w:b/>
                      <w:bCs/>
                      <w:color w:val="auto"/>
                      <w:sz w:val="21"/>
                      <w:szCs w:val="21"/>
                      <w:highlight w:val="none"/>
                    </w:rPr>
                  </w:pPr>
                  <w:r>
                    <w:rPr>
                      <w:rFonts w:hint="eastAsia"/>
                      <w:b/>
                      <w:bCs/>
                      <w:color w:val="auto"/>
                      <w:sz w:val="21"/>
                      <w:szCs w:val="21"/>
                      <w:highlight w:val="none"/>
                    </w:rPr>
                    <w:t>型号</w:t>
                  </w:r>
                </w:p>
              </w:tc>
              <w:tc>
                <w:tcPr>
                  <w:tcW w:w="600" w:type="pct"/>
                  <w:tcBorders>
                    <w:top w:val="single" w:color="000000" w:sz="4" w:space="0"/>
                    <w:left w:val="single" w:color="000000" w:sz="4" w:space="0"/>
                    <w:bottom w:val="single" w:color="000000" w:sz="4" w:space="0"/>
                    <w:right w:val="single" w:color="000000" w:sz="4" w:space="0"/>
                  </w:tcBorders>
                  <w:vAlign w:val="center"/>
                </w:tcPr>
                <w:p w14:paraId="5A61B8F3">
                  <w:pPr>
                    <w:widowControl/>
                    <w:adjustRightInd w:val="0"/>
                    <w:spacing w:line="240" w:lineRule="auto"/>
                    <w:ind w:firstLine="0" w:firstLineChars="0"/>
                    <w:jc w:val="center"/>
                    <w:rPr>
                      <w:rFonts w:hint="eastAsia" w:eastAsia="宋体"/>
                      <w:b/>
                      <w:bCs/>
                      <w:color w:val="auto"/>
                      <w:sz w:val="21"/>
                      <w:szCs w:val="21"/>
                      <w:highlight w:val="none"/>
                      <w:lang w:eastAsia="zh-CN"/>
                    </w:rPr>
                  </w:pPr>
                  <w:r>
                    <w:rPr>
                      <w:rFonts w:hint="eastAsia"/>
                      <w:b/>
                      <w:bCs/>
                      <w:color w:val="auto"/>
                      <w:sz w:val="21"/>
                      <w:szCs w:val="21"/>
                      <w:highlight w:val="none"/>
                      <w:lang w:val="en-US" w:eastAsia="zh-CN"/>
                    </w:rPr>
                    <w:t>数量</w:t>
                  </w:r>
                </w:p>
              </w:tc>
              <w:tc>
                <w:tcPr>
                  <w:tcW w:w="1069" w:type="pct"/>
                  <w:tcBorders>
                    <w:top w:val="single" w:color="000000" w:sz="4" w:space="0"/>
                    <w:left w:val="single" w:color="000000" w:sz="4" w:space="0"/>
                    <w:bottom w:val="single" w:color="000000" w:sz="4" w:space="0"/>
                    <w:right w:val="single" w:color="000000" w:sz="4" w:space="0"/>
                  </w:tcBorders>
                  <w:vAlign w:val="center"/>
                </w:tcPr>
                <w:p w14:paraId="30BD0FC5">
                  <w:pPr>
                    <w:widowControl/>
                    <w:adjustRightInd w:val="0"/>
                    <w:spacing w:line="240" w:lineRule="auto"/>
                    <w:ind w:firstLine="0" w:firstLineChars="0"/>
                    <w:jc w:val="center"/>
                    <w:rPr>
                      <w:b/>
                      <w:bCs/>
                      <w:color w:val="auto"/>
                      <w:sz w:val="21"/>
                      <w:szCs w:val="21"/>
                      <w:highlight w:val="none"/>
                    </w:rPr>
                  </w:pPr>
                  <w:r>
                    <w:rPr>
                      <w:rFonts w:hint="eastAsia"/>
                      <w:b/>
                      <w:bCs/>
                      <w:color w:val="auto"/>
                      <w:sz w:val="21"/>
                      <w:szCs w:val="21"/>
                      <w:highlight w:val="none"/>
                    </w:rPr>
                    <w:t>备注</w:t>
                  </w:r>
                </w:p>
              </w:tc>
            </w:tr>
            <w:tr w14:paraId="58C37385">
              <w:tblPrEx>
                <w:tblCellMar>
                  <w:top w:w="15" w:type="dxa"/>
                  <w:left w:w="15" w:type="dxa"/>
                  <w:bottom w:w="15" w:type="dxa"/>
                  <w:right w:w="15" w:type="dxa"/>
                </w:tblCellMar>
              </w:tblPrEx>
              <w:trPr>
                <w:trHeight w:val="176" w:hRule="atLeast"/>
                <w:jc w:val="center"/>
              </w:trPr>
              <w:tc>
                <w:tcPr>
                  <w:tcW w:w="606" w:type="pct"/>
                  <w:tcBorders>
                    <w:top w:val="single" w:color="000000" w:sz="4" w:space="0"/>
                    <w:left w:val="single" w:color="000000" w:sz="4" w:space="0"/>
                    <w:bottom w:val="single" w:color="000000" w:sz="4" w:space="0"/>
                    <w:right w:val="single" w:color="000000" w:sz="4" w:space="0"/>
                  </w:tcBorders>
                  <w:vAlign w:val="center"/>
                </w:tcPr>
                <w:p w14:paraId="6081817A">
                  <w:pPr>
                    <w:widowControl/>
                    <w:adjustRightInd w:val="0"/>
                    <w:spacing w:line="240" w:lineRule="auto"/>
                    <w:ind w:firstLine="0" w:firstLineChars="0"/>
                    <w:jc w:val="center"/>
                    <w:rPr>
                      <w:color w:val="auto"/>
                      <w:sz w:val="21"/>
                      <w:szCs w:val="21"/>
                      <w:highlight w:val="none"/>
                    </w:rPr>
                  </w:pPr>
                  <w:r>
                    <w:rPr>
                      <w:rFonts w:hint="eastAsia"/>
                      <w:color w:val="auto"/>
                      <w:sz w:val="21"/>
                      <w:szCs w:val="21"/>
                      <w:highlight w:val="none"/>
                    </w:rPr>
                    <w:t>1</w:t>
                  </w:r>
                </w:p>
              </w:tc>
              <w:tc>
                <w:tcPr>
                  <w:tcW w:w="1310" w:type="pct"/>
                  <w:tcBorders>
                    <w:top w:val="single" w:color="000000" w:sz="4" w:space="0"/>
                    <w:left w:val="single" w:color="000000" w:sz="4" w:space="0"/>
                    <w:bottom w:val="single" w:color="000000" w:sz="4" w:space="0"/>
                    <w:right w:val="single" w:color="000000" w:sz="4" w:space="0"/>
                  </w:tcBorders>
                  <w:vAlign w:val="center"/>
                </w:tcPr>
                <w:p w14:paraId="63510F61">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outlineLvl w:val="9"/>
                    <w:rPr>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挖掘机</w:t>
                  </w:r>
                </w:p>
              </w:tc>
              <w:tc>
                <w:tcPr>
                  <w:tcW w:w="1412" w:type="pct"/>
                  <w:tcBorders>
                    <w:top w:val="single" w:color="000000" w:sz="4" w:space="0"/>
                    <w:left w:val="single" w:color="000000" w:sz="4" w:space="0"/>
                    <w:bottom w:val="single" w:color="000000" w:sz="4" w:space="0"/>
                    <w:right w:val="single" w:color="000000" w:sz="4" w:space="0"/>
                  </w:tcBorders>
                  <w:vAlign w:val="center"/>
                </w:tcPr>
                <w:p w14:paraId="37C7ED88">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outlineLvl w:val="9"/>
                    <w:rPr>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卡特326DL</w:t>
                  </w:r>
                </w:p>
              </w:tc>
              <w:tc>
                <w:tcPr>
                  <w:tcW w:w="600" w:type="pct"/>
                  <w:tcBorders>
                    <w:top w:val="single" w:color="000000" w:sz="4" w:space="0"/>
                    <w:left w:val="single" w:color="000000" w:sz="4" w:space="0"/>
                    <w:bottom w:val="single" w:color="000000" w:sz="4" w:space="0"/>
                    <w:right w:val="single" w:color="000000" w:sz="4" w:space="0"/>
                  </w:tcBorders>
                  <w:vAlign w:val="center"/>
                </w:tcPr>
                <w:p w14:paraId="0BF04676">
                  <w:pPr>
                    <w:keepNext w:val="0"/>
                    <w:keepLines w:val="0"/>
                    <w:pageBreakBefore w:val="0"/>
                    <w:widowControl w:val="0"/>
                    <w:kinsoku/>
                    <w:wordWrap/>
                    <w:overflowPunct/>
                    <w:topLinePunct w:val="0"/>
                    <w:autoSpaceDE/>
                    <w:autoSpaceDN/>
                    <w:bidi w:val="0"/>
                    <w:adjustRightInd w:val="0"/>
                    <w:snapToGrid w:val="0"/>
                    <w:spacing w:before="0" w:after="0" w:line="240" w:lineRule="auto"/>
                    <w:ind w:left="0" w:leftChars="0" w:right="0" w:rightChars="0" w:firstLine="0" w:firstLineChars="0"/>
                    <w:jc w:val="center"/>
                    <w:textAlignment w:val="auto"/>
                    <w:outlineLvl w:val="9"/>
                    <w:rPr>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1台</w:t>
                  </w:r>
                </w:p>
              </w:tc>
              <w:tc>
                <w:tcPr>
                  <w:tcW w:w="1069" w:type="pct"/>
                  <w:tcBorders>
                    <w:top w:val="single" w:color="000000" w:sz="4" w:space="0"/>
                    <w:left w:val="single" w:color="000000" w:sz="4" w:space="0"/>
                    <w:bottom w:val="single" w:color="000000" w:sz="4" w:space="0"/>
                    <w:right w:val="single" w:color="000000" w:sz="4" w:space="0"/>
                  </w:tcBorders>
                  <w:vAlign w:val="center"/>
                </w:tcPr>
                <w:p w14:paraId="771E1974">
                  <w:pPr>
                    <w:widowControl/>
                    <w:adjustRightInd w:val="0"/>
                    <w:spacing w:line="240" w:lineRule="auto"/>
                    <w:ind w:firstLine="0" w:firstLineChars="0"/>
                    <w:jc w:val="center"/>
                    <w:rPr>
                      <w:color w:val="auto"/>
                      <w:sz w:val="21"/>
                      <w:szCs w:val="21"/>
                      <w:highlight w:val="none"/>
                    </w:rPr>
                  </w:pPr>
                  <w:r>
                    <w:rPr>
                      <w:rFonts w:hint="eastAsia"/>
                      <w:color w:val="auto"/>
                      <w:sz w:val="21"/>
                      <w:szCs w:val="21"/>
                      <w:highlight w:val="none"/>
                    </w:rPr>
                    <w:t>沿用</w:t>
                  </w:r>
                </w:p>
              </w:tc>
            </w:tr>
            <w:tr w14:paraId="43ADAC8C">
              <w:tblPrEx>
                <w:tblCellMar>
                  <w:top w:w="15" w:type="dxa"/>
                  <w:left w:w="15" w:type="dxa"/>
                  <w:bottom w:w="15" w:type="dxa"/>
                  <w:right w:w="15" w:type="dxa"/>
                </w:tblCellMar>
              </w:tblPrEx>
              <w:trPr>
                <w:trHeight w:val="226" w:hRule="atLeast"/>
                <w:jc w:val="center"/>
              </w:trPr>
              <w:tc>
                <w:tcPr>
                  <w:tcW w:w="606" w:type="pct"/>
                  <w:tcBorders>
                    <w:top w:val="single" w:color="000000" w:sz="4" w:space="0"/>
                    <w:left w:val="single" w:color="000000" w:sz="4" w:space="0"/>
                    <w:bottom w:val="single" w:color="000000" w:sz="4" w:space="0"/>
                    <w:right w:val="single" w:color="000000" w:sz="4" w:space="0"/>
                  </w:tcBorders>
                  <w:vAlign w:val="center"/>
                </w:tcPr>
                <w:p w14:paraId="5D33A33C">
                  <w:pPr>
                    <w:widowControl/>
                    <w:adjustRightInd w:val="0"/>
                    <w:spacing w:line="240" w:lineRule="auto"/>
                    <w:ind w:firstLine="0" w:firstLineChars="0"/>
                    <w:jc w:val="center"/>
                    <w:rPr>
                      <w:color w:val="auto"/>
                      <w:sz w:val="21"/>
                      <w:szCs w:val="21"/>
                      <w:highlight w:val="none"/>
                    </w:rPr>
                  </w:pPr>
                  <w:r>
                    <w:rPr>
                      <w:rFonts w:hint="eastAsia"/>
                      <w:color w:val="auto"/>
                      <w:sz w:val="21"/>
                      <w:szCs w:val="21"/>
                      <w:highlight w:val="none"/>
                    </w:rPr>
                    <w:t>2</w:t>
                  </w:r>
                </w:p>
              </w:tc>
              <w:tc>
                <w:tcPr>
                  <w:tcW w:w="1310" w:type="pct"/>
                  <w:tcBorders>
                    <w:top w:val="single" w:color="000000" w:sz="4" w:space="0"/>
                    <w:left w:val="single" w:color="000000" w:sz="4" w:space="0"/>
                    <w:bottom w:val="single" w:color="000000" w:sz="4" w:space="0"/>
                    <w:right w:val="single" w:color="000000" w:sz="4" w:space="0"/>
                  </w:tcBorders>
                  <w:vAlign w:val="center"/>
                </w:tcPr>
                <w:p w14:paraId="210A208C">
                  <w:pPr>
                    <w:pStyle w:val="13"/>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装载机</w:t>
                  </w:r>
                </w:p>
              </w:tc>
              <w:tc>
                <w:tcPr>
                  <w:tcW w:w="1412" w:type="pct"/>
                  <w:tcBorders>
                    <w:top w:val="single" w:color="000000" w:sz="4" w:space="0"/>
                    <w:left w:val="single" w:color="000000" w:sz="4" w:space="0"/>
                    <w:bottom w:val="single" w:color="000000" w:sz="4" w:space="0"/>
                    <w:right w:val="single" w:color="000000" w:sz="4" w:space="0"/>
                  </w:tcBorders>
                  <w:vAlign w:val="center"/>
                </w:tcPr>
                <w:p w14:paraId="1C8F55FB">
                  <w:pPr>
                    <w:pStyle w:val="13"/>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龙</w:t>
                  </w:r>
                  <w:r>
                    <w:rPr>
                      <w:rFonts w:hint="eastAsia" w:ascii="宋体" w:hAnsi="宋体" w:eastAsia="宋体" w:cs="宋体"/>
                      <w:color w:val="auto"/>
                      <w:spacing w:val="0"/>
                      <w:w w:val="100"/>
                      <w:position w:val="0"/>
                      <w:sz w:val="21"/>
                      <w:szCs w:val="21"/>
                      <w:highlight w:val="none"/>
                      <w:lang w:val="zh-TW" w:eastAsia="zh-TW"/>
                    </w:rPr>
                    <w:t>工</w:t>
                  </w:r>
                  <w:r>
                    <w:rPr>
                      <w:rFonts w:hint="eastAsia" w:ascii="宋体" w:hAnsi="宋体" w:eastAsia="宋体" w:cs="宋体"/>
                      <w:color w:val="auto"/>
                      <w:spacing w:val="0"/>
                      <w:w w:val="100"/>
                      <w:position w:val="0"/>
                      <w:sz w:val="21"/>
                      <w:szCs w:val="21"/>
                      <w:highlight w:val="none"/>
                      <w:lang w:val="en-US" w:eastAsia="zh-CN"/>
                    </w:rPr>
                    <w:t>50</w:t>
                  </w:r>
                </w:p>
              </w:tc>
              <w:tc>
                <w:tcPr>
                  <w:tcW w:w="600" w:type="pct"/>
                  <w:tcBorders>
                    <w:top w:val="single" w:color="000000" w:sz="4" w:space="0"/>
                    <w:left w:val="single" w:color="000000" w:sz="4" w:space="0"/>
                    <w:bottom w:val="single" w:color="000000" w:sz="4" w:space="0"/>
                    <w:right w:val="single" w:color="000000" w:sz="4" w:space="0"/>
                  </w:tcBorders>
                  <w:vAlign w:val="center"/>
                </w:tcPr>
                <w:p w14:paraId="41E23DB9">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1台</w:t>
                  </w:r>
                </w:p>
              </w:tc>
              <w:tc>
                <w:tcPr>
                  <w:tcW w:w="1069" w:type="pct"/>
                  <w:tcBorders>
                    <w:top w:val="single" w:color="000000" w:sz="4" w:space="0"/>
                    <w:left w:val="single" w:color="000000" w:sz="4" w:space="0"/>
                    <w:bottom w:val="single" w:color="000000" w:sz="4" w:space="0"/>
                    <w:right w:val="single" w:color="000000" w:sz="4" w:space="0"/>
                  </w:tcBorders>
                  <w:vAlign w:val="center"/>
                </w:tcPr>
                <w:p w14:paraId="4376E7F6">
                  <w:pPr>
                    <w:widowControl/>
                    <w:adjustRightInd w:val="0"/>
                    <w:spacing w:line="240" w:lineRule="auto"/>
                    <w:ind w:firstLine="0" w:firstLineChars="0"/>
                    <w:jc w:val="center"/>
                    <w:rPr>
                      <w:color w:val="auto"/>
                      <w:sz w:val="21"/>
                      <w:szCs w:val="21"/>
                      <w:highlight w:val="none"/>
                    </w:rPr>
                  </w:pPr>
                  <w:r>
                    <w:rPr>
                      <w:rFonts w:hint="eastAsia"/>
                      <w:color w:val="auto"/>
                      <w:sz w:val="21"/>
                      <w:szCs w:val="21"/>
                      <w:highlight w:val="none"/>
                    </w:rPr>
                    <w:t>沿用</w:t>
                  </w:r>
                </w:p>
              </w:tc>
            </w:tr>
            <w:tr w14:paraId="10D0E584">
              <w:tblPrEx>
                <w:tblCellMar>
                  <w:top w:w="15" w:type="dxa"/>
                  <w:left w:w="15" w:type="dxa"/>
                  <w:bottom w:w="15" w:type="dxa"/>
                  <w:right w:w="15" w:type="dxa"/>
                </w:tblCellMar>
              </w:tblPrEx>
              <w:trPr>
                <w:trHeight w:val="156" w:hRule="atLeast"/>
                <w:jc w:val="center"/>
              </w:trPr>
              <w:tc>
                <w:tcPr>
                  <w:tcW w:w="606" w:type="pct"/>
                  <w:tcBorders>
                    <w:top w:val="single" w:color="000000" w:sz="4" w:space="0"/>
                    <w:left w:val="single" w:color="000000" w:sz="4" w:space="0"/>
                    <w:bottom w:val="single" w:color="000000" w:sz="4" w:space="0"/>
                    <w:right w:val="single" w:color="000000" w:sz="4" w:space="0"/>
                  </w:tcBorders>
                  <w:vAlign w:val="center"/>
                </w:tcPr>
                <w:p w14:paraId="78C14B13">
                  <w:pPr>
                    <w:widowControl/>
                    <w:adjustRightInd w:val="0"/>
                    <w:spacing w:line="240" w:lineRule="auto"/>
                    <w:ind w:firstLine="0" w:firstLineChars="0"/>
                    <w:jc w:val="center"/>
                    <w:rPr>
                      <w:color w:val="auto"/>
                      <w:sz w:val="21"/>
                      <w:szCs w:val="21"/>
                      <w:highlight w:val="none"/>
                    </w:rPr>
                  </w:pPr>
                  <w:r>
                    <w:rPr>
                      <w:rFonts w:hint="eastAsia"/>
                      <w:color w:val="auto"/>
                      <w:sz w:val="21"/>
                      <w:szCs w:val="21"/>
                      <w:highlight w:val="none"/>
                    </w:rPr>
                    <w:t>3</w:t>
                  </w:r>
                </w:p>
              </w:tc>
              <w:tc>
                <w:tcPr>
                  <w:tcW w:w="1310" w:type="pct"/>
                  <w:tcBorders>
                    <w:top w:val="single" w:color="000000" w:sz="4" w:space="0"/>
                    <w:left w:val="single" w:color="000000" w:sz="4" w:space="0"/>
                    <w:bottom w:val="single" w:color="000000" w:sz="4" w:space="0"/>
                    <w:right w:val="single" w:color="000000" w:sz="4" w:space="0"/>
                  </w:tcBorders>
                  <w:vAlign w:val="center"/>
                </w:tcPr>
                <w:p w14:paraId="2A6A1E66">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运输汽车</w:t>
                  </w:r>
                </w:p>
              </w:tc>
              <w:tc>
                <w:tcPr>
                  <w:tcW w:w="1412" w:type="pct"/>
                  <w:tcBorders>
                    <w:top w:val="single" w:color="000000" w:sz="4" w:space="0"/>
                    <w:left w:val="single" w:color="000000" w:sz="4" w:space="0"/>
                    <w:bottom w:val="single" w:color="000000" w:sz="4" w:space="0"/>
                    <w:right w:val="single" w:color="000000" w:sz="4" w:space="0"/>
                  </w:tcBorders>
                  <w:vAlign w:val="center"/>
                </w:tcPr>
                <w:p w14:paraId="441D0AB1">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color w:val="auto"/>
                      <w:sz w:val="21"/>
                      <w:szCs w:val="21"/>
                      <w:highlight w:val="none"/>
                    </w:rPr>
                  </w:pPr>
                  <w:r>
                    <w:rPr>
                      <w:rFonts w:hint="eastAsia" w:ascii="Times New Roman" w:hAnsi="Times New Roman" w:eastAsia="宋体" w:cs="Times New Roman"/>
                      <w:color w:val="auto"/>
                      <w:kern w:val="0"/>
                      <w:sz w:val="21"/>
                      <w:szCs w:val="21"/>
                      <w:highlight w:val="none"/>
                    </w:rPr>
                    <w:t>JH6重卡</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val="en-US" w:eastAsia="zh-CN"/>
                    </w:rPr>
                    <w:t>25t</w:t>
                  </w:r>
                  <w:r>
                    <w:rPr>
                      <w:rFonts w:hint="eastAsia" w:ascii="Times New Roman" w:hAnsi="Times New Roman" w:eastAsia="宋体" w:cs="Times New Roman"/>
                      <w:color w:val="auto"/>
                      <w:kern w:val="0"/>
                      <w:sz w:val="21"/>
                      <w:szCs w:val="21"/>
                      <w:highlight w:val="none"/>
                      <w:lang w:eastAsia="zh-CN"/>
                    </w:rPr>
                    <w:t>）</w:t>
                  </w:r>
                </w:p>
              </w:tc>
              <w:tc>
                <w:tcPr>
                  <w:tcW w:w="600" w:type="pct"/>
                  <w:tcBorders>
                    <w:top w:val="single" w:color="000000" w:sz="4" w:space="0"/>
                    <w:left w:val="single" w:color="000000" w:sz="4" w:space="0"/>
                    <w:bottom w:val="single" w:color="000000" w:sz="4" w:space="0"/>
                    <w:right w:val="single" w:color="000000" w:sz="4" w:space="0"/>
                  </w:tcBorders>
                  <w:vAlign w:val="center"/>
                </w:tcPr>
                <w:p w14:paraId="293007C3">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color w:val="auto"/>
                      <w:sz w:val="21"/>
                      <w:szCs w:val="21"/>
                      <w:highlight w:val="none"/>
                    </w:rPr>
                  </w:pPr>
                  <w:r>
                    <w:rPr>
                      <w:rFonts w:hint="eastAsia" w:ascii="宋体" w:hAnsi="宋体" w:eastAsia="宋体" w:cs="宋体"/>
                      <w:color w:val="auto"/>
                      <w:spacing w:val="0"/>
                      <w:w w:val="100"/>
                      <w:position w:val="0"/>
                      <w:sz w:val="21"/>
                      <w:szCs w:val="21"/>
                      <w:highlight w:val="none"/>
                      <w:lang w:val="en-US" w:eastAsia="zh-CN"/>
                    </w:rPr>
                    <w:t>1辆</w:t>
                  </w:r>
                </w:p>
              </w:tc>
              <w:tc>
                <w:tcPr>
                  <w:tcW w:w="1069" w:type="pct"/>
                  <w:tcBorders>
                    <w:top w:val="single" w:color="000000" w:sz="4" w:space="0"/>
                    <w:left w:val="single" w:color="000000" w:sz="4" w:space="0"/>
                    <w:bottom w:val="single" w:color="000000" w:sz="4" w:space="0"/>
                    <w:right w:val="single" w:color="000000" w:sz="4" w:space="0"/>
                  </w:tcBorders>
                  <w:vAlign w:val="center"/>
                </w:tcPr>
                <w:p w14:paraId="3997D4F1">
                  <w:pPr>
                    <w:widowControl/>
                    <w:adjustRightInd w:val="0"/>
                    <w:spacing w:line="240" w:lineRule="auto"/>
                    <w:ind w:firstLine="0" w:firstLineChars="0"/>
                    <w:jc w:val="center"/>
                    <w:rPr>
                      <w:color w:val="auto"/>
                      <w:sz w:val="21"/>
                      <w:szCs w:val="21"/>
                      <w:highlight w:val="none"/>
                    </w:rPr>
                  </w:pPr>
                  <w:r>
                    <w:rPr>
                      <w:rFonts w:hint="eastAsia"/>
                      <w:color w:val="auto"/>
                      <w:sz w:val="21"/>
                      <w:szCs w:val="21"/>
                      <w:highlight w:val="none"/>
                    </w:rPr>
                    <w:t>沿用</w:t>
                  </w:r>
                </w:p>
              </w:tc>
            </w:tr>
          </w:tbl>
          <w:p w14:paraId="6B361435">
            <w:pPr>
              <w:ind w:firstLine="482"/>
              <w:rPr>
                <w:b/>
                <w:bCs/>
                <w:color w:val="auto"/>
                <w:highlight w:val="none"/>
              </w:rPr>
            </w:pPr>
            <w:r>
              <w:rPr>
                <w:rFonts w:hint="eastAsia"/>
                <w:b/>
                <w:bCs/>
                <w:color w:val="auto"/>
                <w:highlight w:val="none"/>
              </w:rPr>
              <w:t>三</w:t>
            </w:r>
            <w:r>
              <w:rPr>
                <w:b/>
                <w:bCs/>
                <w:color w:val="auto"/>
                <w:highlight w:val="none"/>
              </w:rPr>
              <w:t>、本项目</w:t>
            </w:r>
            <w:r>
              <w:rPr>
                <w:rFonts w:hint="eastAsia"/>
                <w:b/>
                <w:bCs/>
                <w:color w:val="auto"/>
                <w:highlight w:val="none"/>
              </w:rPr>
              <w:t>情况</w:t>
            </w:r>
          </w:p>
          <w:p w14:paraId="14B23562">
            <w:pPr>
              <w:ind w:firstLine="482"/>
              <w:rPr>
                <w:b/>
                <w:bCs/>
                <w:color w:val="auto"/>
                <w:highlight w:val="none"/>
              </w:rPr>
            </w:pPr>
            <w:r>
              <w:rPr>
                <w:rFonts w:hint="eastAsia"/>
                <w:b/>
                <w:bCs/>
                <w:color w:val="auto"/>
                <w:highlight w:val="none"/>
              </w:rPr>
              <w:t>1、</w:t>
            </w:r>
            <w:r>
              <w:rPr>
                <w:b/>
                <w:bCs/>
                <w:color w:val="auto"/>
                <w:highlight w:val="none"/>
              </w:rPr>
              <w:t>项目基本情况</w:t>
            </w:r>
          </w:p>
          <w:p w14:paraId="13B6BB75">
            <w:pPr>
              <w:ind w:firstLine="482"/>
              <w:rPr>
                <w:rFonts w:hint="eastAsia" w:eastAsia="宋体"/>
                <w:b/>
                <w:bCs/>
                <w:color w:val="auto"/>
                <w:highlight w:val="none"/>
                <w:lang w:eastAsia="zh-CN"/>
              </w:rPr>
            </w:pPr>
            <w:r>
              <w:rPr>
                <w:b/>
                <w:bCs/>
                <w:color w:val="auto"/>
                <w:highlight w:val="none"/>
              </w:rPr>
              <w:t>项目名称：</w:t>
            </w:r>
            <w:r>
              <w:rPr>
                <w:rFonts w:hint="eastAsia"/>
                <w:color w:val="auto"/>
                <w:highlight w:val="none"/>
                <w:lang w:eastAsia="zh-CN"/>
              </w:rPr>
              <w:t>云南省寻甸县柯渡黄龙溏普通建筑材料用砂岩矿50万t/a扩建项目</w:t>
            </w:r>
          </w:p>
          <w:p w14:paraId="64423C96">
            <w:pPr>
              <w:ind w:firstLine="482"/>
              <w:rPr>
                <w:b/>
                <w:bCs/>
                <w:color w:val="auto"/>
                <w:highlight w:val="none"/>
              </w:rPr>
            </w:pPr>
            <w:r>
              <w:rPr>
                <w:b/>
                <w:bCs/>
                <w:color w:val="auto"/>
                <w:highlight w:val="none"/>
              </w:rPr>
              <w:t>建设性质：</w:t>
            </w:r>
            <w:r>
              <w:rPr>
                <w:color w:val="auto"/>
                <w:highlight w:val="none"/>
              </w:rPr>
              <w:t>扩建</w:t>
            </w:r>
          </w:p>
          <w:p w14:paraId="5C1B3276">
            <w:pPr>
              <w:ind w:firstLine="482"/>
              <w:rPr>
                <w:b/>
                <w:bCs/>
                <w:color w:val="auto"/>
                <w:highlight w:val="none"/>
              </w:rPr>
            </w:pPr>
            <w:r>
              <w:rPr>
                <w:b/>
                <w:bCs/>
                <w:color w:val="auto"/>
                <w:highlight w:val="none"/>
              </w:rPr>
              <w:t>建设地点：</w:t>
            </w:r>
            <w:r>
              <w:rPr>
                <w:rFonts w:hint="eastAsia"/>
                <w:color w:val="auto"/>
                <w:highlight w:val="none"/>
              </w:rPr>
              <w:t>寻甸县柯渡镇乐</w:t>
            </w:r>
            <w:r>
              <w:rPr>
                <w:rFonts w:hint="eastAsia"/>
                <w:color w:val="auto"/>
                <w:highlight w:val="none"/>
                <w:lang w:val="en-US" w:eastAsia="zh-CN"/>
              </w:rPr>
              <w:t>朗</w:t>
            </w:r>
            <w:r>
              <w:rPr>
                <w:rFonts w:hint="eastAsia"/>
                <w:color w:val="auto"/>
                <w:highlight w:val="none"/>
              </w:rPr>
              <w:t>村委会稗子田村境内</w:t>
            </w:r>
          </w:p>
          <w:p w14:paraId="1A6BCF42">
            <w:pPr>
              <w:ind w:firstLine="482"/>
              <w:rPr>
                <w:color w:val="auto"/>
                <w:highlight w:val="none"/>
              </w:rPr>
            </w:pPr>
            <w:r>
              <w:rPr>
                <w:rFonts w:hint="eastAsia"/>
                <w:b/>
                <w:bCs/>
                <w:color w:val="auto"/>
                <w:highlight w:val="none"/>
              </w:rPr>
              <w:t>开采方式：</w:t>
            </w:r>
            <w:r>
              <w:rPr>
                <w:rFonts w:hint="eastAsia"/>
                <w:color w:val="auto"/>
                <w:highlight w:val="none"/>
              </w:rPr>
              <w:t>露天开采</w:t>
            </w:r>
          </w:p>
          <w:p w14:paraId="5C9358BB">
            <w:pPr>
              <w:ind w:firstLine="480"/>
              <w:rPr>
                <w:rFonts w:ascii="Times New Roman" w:hAnsi="Times New Roman"/>
                <w:caps w:val="0"/>
                <w:smallCaps w:val="0"/>
                <w:color w:val="auto"/>
                <w:highlight w:val="none"/>
              </w:rPr>
            </w:pPr>
            <w:r>
              <w:rPr>
                <w:rFonts w:hint="eastAsia"/>
                <w:b/>
                <w:bCs/>
                <w:color w:val="auto"/>
                <w:highlight w:val="none"/>
              </w:rPr>
              <w:t>矿区</w:t>
            </w:r>
            <w:r>
              <w:rPr>
                <w:rFonts w:hint="eastAsia"/>
                <w:b/>
                <w:bCs/>
                <w:color w:val="auto"/>
                <w:highlight w:val="none"/>
                <w:lang w:val="en-US" w:eastAsia="zh-CN"/>
              </w:rPr>
              <w:t>范围</w:t>
            </w:r>
            <w:r>
              <w:rPr>
                <w:rFonts w:hint="eastAsia"/>
                <w:b/>
                <w:bCs/>
                <w:color w:val="auto"/>
                <w:highlight w:val="none"/>
              </w:rPr>
              <w:t>：</w:t>
            </w:r>
            <w:r>
              <w:rPr>
                <w:rFonts w:hint="eastAsia" w:ascii="Times New Roman" w:hAnsi="Times New Roman" w:eastAsia="宋体" w:cs="Times New Roman"/>
                <w:color w:val="auto"/>
                <w:szCs w:val="24"/>
                <w:highlight w:val="none"/>
              </w:rPr>
              <w:t>由5个拐点圈定</w:t>
            </w:r>
            <w:r>
              <w:rPr>
                <w:rFonts w:hint="eastAsia" w:cs="Times New Roman"/>
                <w:color w:val="auto"/>
                <w:szCs w:val="24"/>
                <w:highlight w:val="none"/>
                <w:lang w:eastAsia="zh-CN"/>
              </w:rPr>
              <w:t>，</w:t>
            </w:r>
            <w:r>
              <w:rPr>
                <w:rFonts w:hint="eastAsia" w:cs="Times New Roman"/>
                <w:color w:val="auto"/>
                <w:szCs w:val="24"/>
                <w:highlight w:val="none"/>
                <w:lang w:val="en-US" w:eastAsia="zh-CN"/>
              </w:rPr>
              <w:t>矿区面积</w:t>
            </w:r>
            <w:r>
              <w:rPr>
                <w:rFonts w:hint="eastAsia" w:ascii="Times New Roman" w:hAnsi="Times New Roman"/>
                <w:caps w:val="0"/>
                <w:smallCaps w:val="0"/>
                <w:color w:val="auto"/>
                <w:highlight w:val="none"/>
              </w:rPr>
              <w:t>0.0399</w:t>
            </w:r>
            <w:r>
              <w:rPr>
                <w:rFonts w:ascii="Times New Roman" w:hAnsi="Times New Roman"/>
                <w:caps w:val="0"/>
                <w:smallCaps w:val="0"/>
                <w:color w:val="auto"/>
                <w:highlight w:val="none"/>
              </w:rPr>
              <w:t>km</w:t>
            </w:r>
            <w:r>
              <w:rPr>
                <w:rFonts w:ascii="Times New Roman" w:hAnsi="Times New Roman"/>
                <w:caps w:val="0"/>
                <w:smallCaps w:val="0"/>
                <w:color w:val="auto"/>
                <w:highlight w:val="none"/>
                <w:vertAlign w:val="superscript"/>
              </w:rPr>
              <w:t>2</w:t>
            </w:r>
          </w:p>
          <w:p w14:paraId="142A1655">
            <w:pPr>
              <w:ind w:firstLine="482"/>
              <w:rPr>
                <w:b/>
                <w:bCs/>
                <w:color w:val="auto"/>
                <w:highlight w:val="none"/>
              </w:rPr>
            </w:pPr>
            <w:r>
              <w:rPr>
                <w:rFonts w:hint="eastAsia"/>
                <w:b/>
                <w:bCs/>
                <w:color w:val="auto"/>
                <w:highlight w:val="none"/>
              </w:rPr>
              <w:t>开采标高：</w:t>
            </w:r>
            <w:r>
              <w:rPr>
                <w:rFonts w:hint="eastAsia"/>
                <w:color w:val="auto"/>
                <w:highlight w:val="none"/>
                <w:lang w:val="en-US" w:eastAsia="zh-CN"/>
              </w:rPr>
              <w:t>2208m-2160m</w:t>
            </w:r>
          </w:p>
          <w:p w14:paraId="2DA77E64">
            <w:pPr>
              <w:ind w:firstLine="482"/>
              <w:rPr>
                <w:rFonts w:hint="eastAsia" w:eastAsia="宋体"/>
                <w:b/>
                <w:bCs/>
                <w:color w:val="auto"/>
                <w:highlight w:val="none"/>
                <w:lang w:eastAsia="zh-CN"/>
              </w:rPr>
            </w:pPr>
            <w:r>
              <w:rPr>
                <w:rFonts w:hint="eastAsia"/>
                <w:b/>
                <w:bCs/>
                <w:color w:val="auto"/>
                <w:highlight w:val="none"/>
              </w:rPr>
              <w:t>生产</w:t>
            </w:r>
            <w:r>
              <w:rPr>
                <w:b/>
                <w:bCs/>
                <w:color w:val="auto"/>
                <w:highlight w:val="none"/>
              </w:rPr>
              <w:t>规模：</w:t>
            </w:r>
            <w:r>
              <w:rPr>
                <w:rFonts w:hint="eastAsia"/>
                <w:color w:val="auto"/>
                <w:highlight w:val="none"/>
                <w:lang w:val="en-US" w:eastAsia="zh-CN"/>
              </w:rPr>
              <w:t>50</w:t>
            </w:r>
            <w:r>
              <w:rPr>
                <w:color w:val="auto"/>
                <w:highlight w:val="none"/>
              </w:rPr>
              <w:t>万吨/年</w:t>
            </w:r>
            <w:r>
              <w:rPr>
                <w:rFonts w:hint="eastAsia"/>
                <w:color w:val="auto"/>
                <w:highlight w:val="none"/>
                <w:lang w:eastAsia="zh-CN"/>
              </w:rPr>
              <w:t>砂岩矿</w:t>
            </w:r>
          </w:p>
          <w:p w14:paraId="0DA88F0F">
            <w:pPr>
              <w:ind w:firstLine="482"/>
              <w:rPr>
                <w:color w:val="auto"/>
                <w:highlight w:val="none"/>
              </w:rPr>
            </w:pPr>
            <w:r>
              <w:rPr>
                <w:b/>
                <w:bCs/>
                <w:color w:val="auto"/>
                <w:highlight w:val="none"/>
              </w:rPr>
              <w:t>项目总投资：</w:t>
            </w:r>
            <w:r>
              <w:rPr>
                <w:rFonts w:hint="eastAsia"/>
                <w:color w:val="auto"/>
                <w:highlight w:val="none"/>
                <w:lang w:val="en-US" w:eastAsia="zh-CN"/>
              </w:rPr>
              <w:t>707.93</w:t>
            </w:r>
            <w:r>
              <w:rPr>
                <w:color w:val="auto"/>
                <w:highlight w:val="none"/>
              </w:rPr>
              <w:t>万元</w:t>
            </w:r>
            <w:r>
              <w:rPr>
                <w:rFonts w:hint="eastAsia"/>
                <w:color w:val="auto"/>
                <w:highlight w:val="none"/>
              </w:rPr>
              <w:t>。</w:t>
            </w:r>
          </w:p>
          <w:p w14:paraId="08C87A85">
            <w:pPr>
              <w:ind w:firstLine="482"/>
              <w:rPr>
                <w:rFonts w:hint="eastAsia" w:eastAsia="宋体"/>
                <w:color w:val="auto"/>
                <w:highlight w:val="none"/>
                <w:lang w:eastAsia="zh-CN"/>
              </w:rPr>
            </w:pPr>
            <w:r>
              <w:rPr>
                <w:b/>
                <w:bCs/>
                <w:color w:val="auto"/>
                <w:highlight w:val="none"/>
              </w:rPr>
              <w:t>建设内容及规模：</w:t>
            </w:r>
            <w:r>
              <w:rPr>
                <w:rFonts w:hint="eastAsia"/>
                <w:color w:val="auto"/>
                <w:highlight w:val="none"/>
              </w:rPr>
              <w:t>项目内建设矿床开采，矿石和废石的运输，破碎系统以及配套的公路铺设，</w:t>
            </w:r>
            <w:r>
              <w:rPr>
                <w:rFonts w:hint="eastAsia"/>
                <w:color w:val="auto"/>
                <w:highlight w:val="none"/>
                <w:lang w:eastAsia="zh-CN"/>
              </w:rPr>
              <w:t>露天开采区</w:t>
            </w:r>
            <w:r>
              <w:rPr>
                <w:rFonts w:hint="eastAsia"/>
                <w:color w:val="auto"/>
                <w:highlight w:val="none"/>
              </w:rPr>
              <w:t>运输道路破碎站采场工业场地，供水、供电及矿山办公区组成。规模年产50万t/a，矿区面积0.0399平方公里，资金来源</w:t>
            </w:r>
            <w:r>
              <w:rPr>
                <w:rFonts w:hint="eastAsia"/>
                <w:color w:val="auto"/>
                <w:highlight w:val="none"/>
                <w:lang w:val="en-US" w:eastAsia="zh-CN"/>
              </w:rPr>
              <w:t>为</w:t>
            </w:r>
            <w:r>
              <w:rPr>
                <w:rFonts w:hint="eastAsia"/>
                <w:color w:val="auto"/>
                <w:highlight w:val="none"/>
              </w:rPr>
              <w:t>企业自筹，总投资707.93万元</w:t>
            </w:r>
            <w:r>
              <w:rPr>
                <w:rFonts w:hint="eastAsia"/>
                <w:color w:val="auto"/>
                <w:highlight w:val="none"/>
                <w:lang w:eastAsia="zh-CN"/>
              </w:rPr>
              <w:t>。</w:t>
            </w:r>
          </w:p>
          <w:p w14:paraId="037586C6">
            <w:pPr>
              <w:ind w:firstLine="482"/>
              <w:rPr>
                <w:b/>
                <w:bCs/>
                <w:color w:val="auto"/>
                <w:highlight w:val="none"/>
              </w:rPr>
            </w:pPr>
            <w:r>
              <w:rPr>
                <w:rFonts w:hint="eastAsia"/>
                <w:b/>
                <w:bCs/>
                <w:color w:val="auto"/>
                <w:highlight w:val="none"/>
              </w:rPr>
              <w:t>2、主要建设内容</w:t>
            </w:r>
          </w:p>
          <w:p w14:paraId="159B69DF">
            <w:pPr>
              <w:ind w:firstLine="480"/>
              <w:rPr>
                <w:color w:val="auto"/>
                <w:highlight w:val="none"/>
              </w:rPr>
            </w:pPr>
            <w:r>
              <w:rPr>
                <w:rFonts w:hint="eastAsia"/>
                <w:color w:val="auto"/>
                <w:highlight w:val="none"/>
              </w:rPr>
              <w:t>（1）主要工程组成</w:t>
            </w:r>
          </w:p>
          <w:p w14:paraId="68100085">
            <w:pPr>
              <w:adjustRightInd w:val="0"/>
              <w:snapToGrid w:val="0"/>
              <w:ind w:firstLine="480"/>
              <w:rPr>
                <w:rFonts w:hint="eastAsia"/>
                <w:caps w:val="0"/>
                <w:smallCaps w:val="0"/>
                <w:color w:val="auto"/>
                <w:highlight w:val="none"/>
                <w:lang w:val="en-US" w:eastAsia="zh-CN"/>
              </w:rPr>
            </w:pPr>
            <w:r>
              <w:rPr>
                <w:rFonts w:hint="eastAsia" w:cs="Times New Roman"/>
                <w:color w:val="auto"/>
                <w:highlight w:val="none"/>
                <w:lang w:val="en-US" w:eastAsia="zh-CN"/>
              </w:rPr>
              <w:t>根据</w:t>
            </w:r>
            <w:r>
              <w:rPr>
                <w:rFonts w:hint="eastAsia" w:ascii="Times New Roman" w:hAnsi="Times New Roman" w:eastAsia="宋体" w:cs="Times New Roman"/>
                <w:color w:val="auto"/>
                <w:highlight w:val="none"/>
                <w:lang w:val="en-US" w:eastAsia="zh-CN"/>
              </w:rPr>
              <w:t>《云南省寻甸县柯渡黄龙溏普通建筑材料用砂岩矿50万t/a露天采矿工程安全设施设计》</w:t>
            </w:r>
            <w:r>
              <w:rPr>
                <w:rFonts w:hint="eastAsia" w:cs="Times New Roman"/>
                <w:color w:val="auto"/>
                <w:highlight w:val="none"/>
                <w:lang w:val="en-US" w:eastAsia="zh-CN"/>
              </w:rPr>
              <w:t>以及</w:t>
            </w:r>
            <w:r>
              <w:rPr>
                <w:rFonts w:hint="eastAsia"/>
                <w:caps w:val="0"/>
                <w:smallCaps w:val="0"/>
                <w:color w:val="auto"/>
                <w:highlight w:val="none"/>
                <w:lang w:val="en-US" w:eastAsia="zh-CN"/>
              </w:rPr>
              <w:t>结合本项目实际建设情况，本次扩建工程不设置排土场、柴油储罐。</w:t>
            </w:r>
          </w:p>
          <w:p w14:paraId="38BDE13B">
            <w:pPr>
              <w:adjustRightInd w:val="0"/>
              <w:snapToGrid w:val="0"/>
              <w:ind w:firstLine="480"/>
              <w:rPr>
                <w:color w:val="auto"/>
                <w:highlight w:val="none"/>
              </w:rPr>
            </w:pPr>
            <w:r>
              <w:rPr>
                <w:rFonts w:hint="eastAsia"/>
                <w:caps w:val="0"/>
                <w:smallCaps w:val="0"/>
                <w:color w:val="auto"/>
                <w:highlight w:val="none"/>
                <w:lang w:val="en-US" w:eastAsia="zh-CN"/>
              </w:rPr>
              <w:t>本</w:t>
            </w:r>
            <w:r>
              <w:rPr>
                <w:rFonts w:hint="eastAsia" w:ascii="Times New Roman" w:hAnsi="Times New Roman"/>
                <w:caps w:val="0"/>
                <w:smallCaps w:val="0"/>
                <w:color w:val="auto"/>
                <w:highlight w:val="none"/>
              </w:rPr>
              <w:t>项目工程组成内容包括：主体工程、辅助工程、公用工程及环保工程，</w:t>
            </w:r>
            <w:r>
              <w:rPr>
                <w:rFonts w:hint="eastAsia"/>
                <w:color w:val="auto"/>
                <w:highlight w:val="none"/>
              </w:rPr>
              <w:t>项目区不设置炸药库，</w:t>
            </w:r>
            <w:r>
              <w:rPr>
                <w:rFonts w:ascii="Times New Roman" w:hAnsi="Times New Roman"/>
                <w:caps w:val="0"/>
                <w:smallCaps w:val="0"/>
                <w:color w:val="auto"/>
                <w:highlight w:val="none"/>
              </w:rPr>
              <w:t>爆破作业</w:t>
            </w:r>
            <w:r>
              <w:rPr>
                <w:rFonts w:hint="eastAsia" w:ascii="Times New Roman" w:hAnsi="Times New Roman"/>
                <w:caps w:val="0"/>
                <w:smallCaps w:val="0"/>
                <w:color w:val="auto"/>
                <w:highlight w:val="none"/>
                <w:lang w:val="en-US" w:eastAsia="zh-CN"/>
              </w:rPr>
              <w:t>委托</w:t>
            </w:r>
            <w:r>
              <w:rPr>
                <w:rFonts w:ascii="Times New Roman" w:hAnsi="Times New Roman"/>
                <w:caps w:val="0"/>
                <w:smallCaps w:val="0"/>
                <w:color w:val="auto"/>
                <w:highlight w:val="none"/>
              </w:rPr>
              <w:t>民爆队统一爆破。</w:t>
            </w:r>
            <w:r>
              <w:rPr>
                <w:rFonts w:hint="eastAsia"/>
                <w:color w:val="auto"/>
                <w:highlight w:val="none"/>
              </w:rPr>
              <w:t>本项目工程组成内容一览表见下表。</w:t>
            </w:r>
          </w:p>
          <w:p w14:paraId="6776602F">
            <w:pPr>
              <w:spacing w:line="240" w:lineRule="auto"/>
              <w:ind w:firstLine="0" w:firstLineChars="0"/>
              <w:jc w:val="center"/>
              <w:rPr>
                <w:rFonts w:hint="eastAsia"/>
                <w:b/>
                <w:color w:val="auto"/>
                <w:sz w:val="21"/>
                <w:szCs w:val="21"/>
                <w:highlight w:val="none"/>
              </w:rPr>
            </w:pPr>
            <w:r>
              <w:rPr>
                <w:rFonts w:hint="eastAsia"/>
                <w:b/>
                <w:color w:val="auto"/>
                <w:sz w:val="21"/>
                <w:szCs w:val="21"/>
                <w:highlight w:val="none"/>
              </w:rPr>
              <w:t>表2</w:t>
            </w:r>
            <w:r>
              <w:rPr>
                <w:b/>
                <w:color w:val="auto"/>
                <w:sz w:val="21"/>
                <w:szCs w:val="21"/>
                <w:highlight w:val="none"/>
              </w:rPr>
              <w:t>-</w:t>
            </w:r>
            <w:r>
              <w:rPr>
                <w:rFonts w:hint="eastAsia"/>
                <w:b/>
                <w:color w:val="auto"/>
                <w:sz w:val="21"/>
                <w:szCs w:val="21"/>
                <w:highlight w:val="none"/>
              </w:rPr>
              <w:t>4</w:t>
            </w:r>
            <w:r>
              <w:rPr>
                <w:b/>
                <w:color w:val="auto"/>
                <w:sz w:val="21"/>
                <w:szCs w:val="21"/>
                <w:highlight w:val="none"/>
              </w:rPr>
              <w:t xml:space="preserve">  </w:t>
            </w:r>
            <w:r>
              <w:rPr>
                <w:rFonts w:hint="eastAsia"/>
                <w:b/>
                <w:color w:val="auto"/>
                <w:sz w:val="21"/>
                <w:szCs w:val="21"/>
                <w:highlight w:val="none"/>
              </w:rPr>
              <w:t>本项目主要工程内容一览表</w:t>
            </w:r>
          </w:p>
          <w:tbl>
            <w:tblPr>
              <w:tblStyle w:val="30"/>
              <w:tblW w:w="7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506"/>
              <w:gridCol w:w="1220"/>
              <w:gridCol w:w="4236"/>
              <w:gridCol w:w="1202"/>
            </w:tblGrid>
            <w:tr w14:paraId="4A5B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89" w:type="dxa"/>
                  <w:noWrap/>
                  <w:vAlign w:val="center"/>
                </w:tcPr>
                <w:p w14:paraId="5C624753">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b/>
                      <w:caps w:val="0"/>
                      <w:smallCaps w:val="0"/>
                      <w:color w:val="auto"/>
                      <w:sz w:val="21"/>
                      <w:szCs w:val="21"/>
                      <w:highlight w:val="none"/>
                    </w:rPr>
                  </w:pPr>
                  <w:r>
                    <w:rPr>
                      <w:rFonts w:hint="default" w:ascii="Times New Roman" w:hAnsi="Times New Roman" w:cs="Times New Roman"/>
                      <w:b/>
                      <w:caps w:val="0"/>
                      <w:smallCaps w:val="0"/>
                      <w:color w:val="auto"/>
                      <w:sz w:val="21"/>
                      <w:szCs w:val="21"/>
                      <w:highlight w:val="none"/>
                    </w:rPr>
                    <w:t>项目内容</w:t>
                  </w:r>
                </w:p>
              </w:tc>
              <w:tc>
                <w:tcPr>
                  <w:tcW w:w="506" w:type="dxa"/>
                  <w:noWrap/>
                  <w:vAlign w:val="center"/>
                </w:tcPr>
                <w:p w14:paraId="3755FCB4">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b/>
                      <w:caps w:val="0"/>
                      <w:smallCaps w:val="0"/>
                      <w:color w:val="auto"/>
                      <w:sz w:val="21"/>
                      <w:szCs w:val="21"/>
                      <w:highlight w:val="none"/>
                    </w:rPr>
                  </w:pPr>
                  <w:r>
                    <w:rPr>
                      <w:rFonts w:hint="default" w:ascii="Times New Roman" w:hAnsi="Times New Roman" w:cs="Times New Roman"/>
                      <w:b/>
                      <w:caps w:val="0"/>
                      <w:smallCaps w:val="0"/>
                      <w:color w:val="auto"/>
                      <w:sz w:val="21"/>
                      <w:szCs w:val="21"/>
                      <w:highlight w:val="none"/>
                    </w:rPr>
                    <w:t>名称</w:t>
                  </w:r>
                </w:p>
              </w:tc>
              <w:tc>
                <w:tcPr>
                  <w:tcW w:w="5456" w:type="dxa"/>
                  <w:gridSpan w:val="2"/>
                  <w:noWrap/>
                  <w:vAlign w:val="center"/>
                </w:tcPr>
                <w:p w14:paraId="635551B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b/>
                      <w:caps w:val="0"/>
                      <w:smallCaps w:val="0"/>
                      <w:color w:val="auto"/>
                      <w:sz w:val="21"/>
                      <w:szCs w:val="21"/>
                      <w:highlight w:val="none"/>
                    </w:rPr>
                  </w:pPr>
                  <w:r>
                    <w:rPr>
                      <w:rFonts w:hint="default" w:ascii="Times New Roman" w:hAnsi="Times New Roman" w:cs="Times New Roman"/>
                      <w:b/>
                      <w:caps w:val="0"/>
                      <w:smallCaps w:val="0"/>
                      <w:color w:val="auto"/>
                      <w:sz w:val="21"/>
                      <w:szCs w:val="21"/>
                      <w:highlight w:val="none"/>
                    </w:rPr>
                    <w:t>项目组成</w:t>
                  </w:r>
                </w:p>
              </w:tc>
              <w:tc>
                <w:tcPr>
                  <w:tcW w:w="1202" w:type="dxa"/>
                  <w:noWrap/>
                  <w:vAlign w:val="center"/>
                </w:tcPr>
                <w:p w14:paraId="725B87F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b/>
                      <w:caps w:val="0"/>
                      <w:smallCaps w:val="0"/>
                      <w:color w:val="auto"/>
                      <w:sz w:val="21"/>
                      <w:szCs w:val="21"/>
                      <w:highlight w:val="none"/>
                    </w:rPr>
                  </w:pPr>
                  <w:r>
                    <w:rPr>
                      <w:rFonts w:hint="default" w:ascii="Times New Roman" w:hAnsi="Times New Roman" w:cs="Times New Roman"/>
                      <w:b/>
                      <w:caps w:val="0"/>
                      <w:smallCaps w:val="0"/>
                      <w:color w:val="auto"/>
                      <w:sz w:val="21"/>
                      <w:szCs w:val="21"/>
                      <w:highlight w:val="none"/>
                    </w:rPr>
                    <w:t>备注</w:t>
                  </w:r>
                </w:p>
              </w:tc>
            </w:tr>
            <w:tr w14:paraId="21F4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689" w:type="dxa"/>
                  <w:noWrap/>
                  <w:vAlign w:val="center"/>
                </w:tcPr>
                <w:p w14:paraId="52F1011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主体工程</w:t>
                  </w:r>
                </w:p>
              </w:tc>
              <w:tc>
                <w:tcPr>
                  <w:tcW w:w="506" w:type="dxa"/>
                  <w:noWrap/>
                  <w:vAlign w:val="center"/>
                </w:tcPr>
                <w:p w14:paraId="1446310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aps w:val="0"/>
                      <w:smallCaps w:val="0"/>
                      <w:color w:val="auto"/>
                      <w:sz w:val="21"/>
                      <w:szCs w:val="21"/>
                      <w:highlight w:val="none"/>
                    </w:rPr>
                  </w:pPr>
                  <w:r>
                    <w:rPr>
                      <w:rFonts w:hint="default" w:ascii="Times New Roman" w:hAnsi="Times New Roman" w:eastAsia="宋体" w:cs="Times New Roman"/>
                      <w:caps w:val="0"/>
                      <w:smallCaps w:val="0"/>
                      <w:color w:val="auto"/>
                      <w:sz w:val="21"/>
                      <w:szCs w:val="21"/>
                      <w:highlight w:val="none"/>
                    </w:rPr>
                    <w:t>露天开采区</w:t>
                  </w:r>
                </w:p>
              </w:tc>
              <w:tc>
                <w:tcPr>
                  <w:tcW w:w="5456" w:type="dxa"/>
                  <w:gridSpan w:val="2"/>
                  <w:noWrap/>
                  <w:vAlign w:val="center"/>
                </w:tcPr>
                <w:p w14:paraId="67861CD0">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aps w:val="0"/>
                      <w:smallCaps w:val="0"/>
                      <w:color w:val="auto"/>
                      <w:sz w:val="21"/>
                      <w:szCs w:val="21"/>
                      <w:highlight w:val="none"/>
                    </w:rPr>
                  </w:pPr>
                  <w:r>
                    <w:rPr>
                      <w:rFonts w:hint="default" w:ascii="Times New Roman" w:hAnsi="Times New Roman" w:eastAsia="宋体" w:cs="Times New Roman"/>
                      <w:caps w:val="0"/>
                      <w:smallCaps w:val="0"/>
                      <w:color w:val="auto"/>
                      <w:sz w:val="21"/>
                      <w:szCs w:val="21"/>
                      <w:highlight w:val="none"/>
                      <w:lang w:val="en-US" w:eastAsia="zh-CN"/>
                    </w:rPr>
                    <w:t>露天开采区位于整个项目区南部，</w:t>
                  </w:r>
                  <w:r>
                    <w:rPr>
                      <w:rFonts w:hint="default" w:ascii="Times New Roman" w:hAnsi="Times New Roman" w:eastAsia="宋体" w:cs="Times New Roman"/>
                      <w:caps w:val="0"/>
                      <w:smallCaps w:val="0"/>
                      <w:color w:val="auto"/>
                      <w:sz w:val="21"/>
                      <w:szCs w:val="21"/>
                      <w:highlight w:val="none"/>
                    </w:rPr>
                    <w:t>矿山采用自上而下的开采顺序，具体为：剥离用挖掘机直接在2208m标高进行，然后在2208m标高开采2200m台阶</w:t>
                  </w:r>
                  <w:r>
                    <w:rPr>
                      <w:rFonts w:hint="default" w:ascii="Times New Roman" w:hAnsi="Times New Roman" w:eastAsia="宋体" w:cs="Times New Roman"/>
                      <w:caps w:val="0"/>
                      <w:smallCaps w:val="0"/>
                      <w:color w:val="auto"/>
                      <w:sz w:val="21"/>
                      <w:szCs w:val="21"/>
                      <w:highlight w:val="none"/>
                      <w:lang w:val="en-US" w:eastAsia="zh-CN"/>
                    </w:rPr>
                    <w:t>以上</w:t>
                  </w:r>
                  <w:r>
                    <w:rPr>
                      <w:rFonts w:hint="default" w:ascii="Times New Roman" w:hAnsi="Times New Roman" w:eastAsia="宋体" w:cs="Times New Roman"/>
                      <w:caps w:val="0"/>
                      <w:smallCaps w:val="0"/>
                      <w:color w:val="auto"/>
                      <w:sz w:val="21"/>
                      <w:szCs w:val="21"/>
                      <w:highlight w:val="none"/>
                    </w:rPr>
                    <w:t>的矿石，同时向下开采2192m台阶的矿石，后续台阶的以此类推进行。其整体的开采顺序为：2200m台阶（安全平台4m）→2192m台阶（安全平台4m）→2184m台阶（清扫平台</w:t>
                  </w:r>
                  <w:r>
                    <w:rPr>
                      <w:rFonts w:hint="default" w:ascii="Times New Roman" w:hAnsi="Times New Roman" w:eastAsia="宋体" w:cs="Times New Roman"/>
                      <w:caps w:val="0"/>
                      <w:smallCaps w:val="0"/>
                      <w:color w:val="auto"/>
                      <w:sz w:val="21"/>
                      <w:szCs w:val="21"/>
                      <w:highlight w:val="none"/>
                      <w:lang w:val="en-US" w:eastAsia="zh-CN"/>
                    </w:rPr>
                    <w:t>8</w:t>
                  </w:r>
                  <w:r>
                    <w:rPr>
                      <w:rFonts w:hint="default" w:ascii="Times New Roman" w:hAnsi="Times New Roman" w:eastAsia="宋体" w:cs="Times New Roman"/>
                      <w:caps w:val="0"/>
                      <w:smallCaps w:val="0"/>
                      <w:color w:val="auto"/>
                      <w:sz w:val="21"/>
                      <w:szCs w:val="21"/>
                      <w:highlight w:val="none"/>
                    </w:rPr>
                    <w:t>m）→2176m台阶（安全平台4m）→2168m台阶（安全平台4m）→2160m台阶。</w:t>
                  </w:r>
                </w:p>
              </w:tc>
              <w:tc>
                <w:tcPr>
                  <w:tcW w:w="1202" w:type="dxa"/>
                  <w:noWrap/>
                  <w:vAlign w:val="center"/>
                </w:tcPr>
                <w:p w14:paraId="483E0DD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rPr>
                    <w:t>新</w:t>
                  </w:r>
                  <w:r>
                    <w:rPr>
                      <w:rFonts w:hint="default" w:ascii="Times New Roman" w:hAnsi="Times New Roman" w:eastAsia="宋体" w:cs="Times New Roman"/>
                      <w:caps w:val="0"/>
                      <w:smallCaps w:val="0"/>
                      <w:color w:val="auto"/>
                      <w:sz w:val="21"/>
                      <w:szCs w:val="21"/>
                      <w:highlight w:val="none"/>
                    </w:rPr>
                    <w:t>建</w:t>
                  </w:r>
                  <w:r>
                    <w:rPr>
                      <w:rFonts w:hint="default" w:ascii="Times New Roman" w:hAnsi="Times New Roman" w:eastAsia="宋体" w:cs="Times New Roman"/>
                      <w:caps w:val="0"/>
                      <w:smallCaps w:val="0"/>
                      <w:color w:val="auto"/>
                      <w:sz w:val="21"/>
                      <w:szCs w:val="21"/>
                      <w:highlight w:val="none"/>
                      <w:lang w:val="en-US" w:eastAsia="zh-CN"/>
                    </w:rPr>
                    <w:t>+沿用</w:t>
                  </w:r>
                  <w:r>
                    <w:rPr>
                      <w:rFonts w:hint="default" w:ascii="Times New Roman" w:hAnsi="Times New Roman" w:eastAsia="宋体" w:cs="Times New Roman"/>
                      <w:caps w:val="0"/>
                      <w:smallCaps w:val="0"/>
                      <w:color w:val="auto"/>
                      <w:sz w:val="21"/>
                      <w:szCs w:val="21"/>
                      <w:highlight w:val="none"/>
                      <w:lang w:eastAsia="zh-CN"/>
                    </w:rPr>
                    <w:t>，</w:t>
                  </w:r>
                  <w:r>
                    <w:rPr>
                      <w:rFonts w:hint="default" w:ascii="Times New Roman" w:hAnsi="Times New Roman" w:eastAsia="宋体" w:cs="Times New Roman"/>
                      <w:caps w:val="0"/>
                      <w:smallCaps w:val="0"/>
                      <w:color w:val="auto"/>
                      <w:sz w:val="21"/>
                      <w:szCs w:val="21"/>
                      <w:highlight w:val="none"/>
                      <w:lang w:val="en-US" w:eastAsia="zh-CN"/>
                    </w:rPr>
                    <w:t>现已形成220</w:t>
                  </w:r>
                  <w:r>
                    <w:rPr>
                      <w:rFonts w:hint="default" w:ascii="Times New Roman" w:hAnsi="Times New Roman" w:cs="Times New Roman"/>
                      <w:caps w:val="0"/>
                      <w:smallCaps w:val="0"/>
                      <w:color w:val="auto"/>
                      <w:sz w:val="21"/>
                      <w:szCs w:val="21"/>
                      <w:highlight w:val="none"/>
                      <w:lang w:val="en-US" w:eastAsia="zh-CN"/>
                    </w:rPr>
                    <w:t>0</w:t>
                  </w:r>
                  <w:r>
                    <w:rPr>
                      <w:rFonts w:hint="default" w:ascii="Times New Roman" w:hAnsi="Times New Roman" w:eastAsia="宋体" w:cs="Times New Roman"/>
                      <w:caps w:val="0"/>
                      <w:smallCaps w:val="0"/>
                      <w:color w:val="auto"/>
                      <w:sz w:val="21"/>
                      <w:szCs w:val="21"/>
                      <w:highlight w:val="none"/>
                      <w:lang w:val="en-US" w:eastAsia="zh-CN"/>
                    </w:rPr>
                    <w:t>m、2</w:t>
                  </w:r>
                  <w:r>
                    <w:rPr>
                      <w:rFonts w:hint="default" w:ascii="Times New Roman" w:hAnsi="Times New Roman" w:cs="Times New Roman"/>
                      <w:caps w:val="0"/>
                      <w:smallCaps w:val="0"/>
                      <w:color w:val="auto"/>
                      <w:sz w:val="21"/>
                      <w:szCs w:val="21"/>
                      <w:highlight w:val="none"/>
                      <w:lang w:val="en-US" w:eastAsia="zh-CN"/>
                    </w:rPr>
                    <w:t>192</w:t>
                  </w:r>
                  <w:r>
                    <w:rPr>
                      <w:rFonts w:hint="default" w:ascii="Times New Roman" w:hAnsi="Times New Roman" w:eastAsia="宋体" w:cs="Times New Roman"/>
                      <w:caps w:val="0"/>
                      <w:smallCaps w:val="0"/>
                      <w:color w:val="auto"/>
                      <w:sz w:val="21"/>
                      <w:szCs w:val="21"/>
                      <w:highlight w:val="none"/>
                      <w:lang w:val="en-US" w:eastAsia="zh-CN"/>
                    </w:rPr>
                    <w:t>m</w:t>
                  </w:r>
                  <w:r>
                    <w:rPr>
                      <w:rFonts w:hint="default" w:ascii="Times New Roman" w:hAnsi="Times New Roman" w:cs="Times New Roman"/>
                      <w:caps w:val="0"/>
                      <w:smallCaps w:val="0"/>
                      <w:color w:val="auto"/>
                      <w:sz w:val="21"/>
                      <w:szCs w:val="21"/>
                      <w:highlight w:val="none"/>
                      <w:lang w:val="en-US" w:eastAsia="zh-CN"/>
                    </w:rPr>
                    <w:t>开采</w:t>
                  </w:r>
                  <w:r>
                    <w:rPr>
                      <w:rFonts w:hint="default" w:ascii="Times New Roman" w:hAnsi="Times New Roman" w:eastAsia="宋体" w:cs="Times New Roman"/>
                      <w:caps w:val="0"/>
                      <w:smallCaps w:val="0"/>
                      <w:color w:val="auto"/>
                      <w:sz w:val="21"/>
                      <w:szCs w:val="21"/>
                      <w:highlight w:val="none"/>
                      <w:lang w:val="en-US" w:eastAsia="zh-CN"/>
                    </w:rPr>
                    <w:t>平台</w:t>
                  </w:r>
                  <w:r>
                    <w:rPr>
                      <w:rFonts w:hint="default" w:ascii="Times New Roman" w:hAnsi="Times New Roman" w:cs="Times New Roman"/>
                      <w:caps w:val="0"/>
                      <w:smallCaps w:val="0"/>
                      <w:color w:val="auto"/>
                      <w:sz w:val="21"/>
                      <w:szCs w:val="21"/>
                      <w:highlight w:val="none"/>
                      <w:lang w:val="en-US" w:eastAsia="zh-CN"/>
                    </w:rPr>
                    <w:t>，</w:t>
                  </w:r>
                  <w:r>
                    <w:rPr>
                      <w:rFonts w:hint="default" w:ascii="Times New Roman" w:hAnsi="Times New Roman" w:eastAsia="宋体" w:cs="Times New Roman"/>
                      <w:color w:val="auto"/>
                      <w:sz w:val="21"/>
                      <w:szCs w:val="21"/>
                      <w:highlight w:val="none"/>
                    </w:rPr>
                    <w:t>台阶高</w:t>
                  </w:r>
                  <w:r>
                    <w:rPr>
                      <w:rFonts w:hint="default" w:ascii="Times New Roman" w:hAnsi="Times New Roman"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m，边坡角</w:t>
                  </w:r>
                  <w:r>
                    <w:rPr>
                      <w:rFonts w:hint="default" w:ascii="Times New Roman" w:hAnsi="Times New Roman" w:cs="Times New Roman"/>
                      <w:color w:val="auto"/>
                      <w:sz w:val="21"/>
                      <w:szCs w:val="21"/>
                      <w:highlight w:val="none"/>
                      <w:lang w:val="en-US" w:eastAsia="zh-CN"/>
                    </w:rPr>
                    <w:t>30</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43</w:t>
                  </w:r>
                  <w:r>
                    <w:rPr>
                      <w:rFonts w:hint="default" w:ascii="Times New Roman" w:hAnsi="Times New Roman" w:eastAsia="宋体" w:cs="Times New Roman"/>
                      <w:color w:val="auto"/>
                      <w:sz w:val="21"/>
                      <w:szCs w:val="21"/>
                      <w:highlight w:val="none"/>
                    </w:rPr>
                    <w:t>°，台阶宽为</w:t>
                  </w:r>
                  <w:r>
                    <w:rPr>
                      <w:rFonts w:hint="default" w:ascii="Times New Roman" w:hAnsi="Times New Roman" w:eastAsia="宋体" w:cs="Times New Roman"/>
                      <w:color w:val="auto"/>
                      <w:sz w:val="21"/>
                      <w:szCs w:val="21"/>
                      <w:highlight w:val="none"/>
                      <w:lang w:val="en-US" w:eastAsia="zh-CN"/>
                    </w:rPr>
                    <w:t>20</w:t>
                  </w:r>
                  <w:r>
                    <w:rPr>
                      <w:rFonts w:hint="eastAsia"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46</w:t>
                  </w:r>
                  <w:r>
                    <w:rPr>
                      <w:rFonts w:hint="default" w:ascii="Times New Roman" w:hAnsi="Times New Roman" w:eastAsia="宋体" w:cs="Times New Roman"/>
                      <w:color w:val="auto"/>
                      <w:sz w:val="21"/>
                      <w:szCs w:val="21"/>
                      <w:highlight w:val="none"/>
                    </w:rPr>
                    <w:t>m，边坡稳定，无滑坡、裂缝等现象</w:t>
                  </w:r>
                </w:p>
              </w:tc>
            </w:tr>
            <w:tr w14:paraId="6D84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9" w:type="dxa"/>
                  <w:vMerge w:val="restart"/>
                  <w:noWrap/>
                  <w:vAlign w:val="center"/>
                </w:tcPr>
                <w:p w14:paraId="0104B3EF">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辅助工程</w:t>
                  </w:r>
                </w:p>
              </w:tc>
              <w:tc>
                <w:tcPr>
                  <w:tcW w:w="506" w:type="dxa"/>
                  <w:vMerge w:val="restart"/>
                  <w:noWrap/>
                  <w:vAlign w:val="center"/>
                </w:tcPr>
                <w:p w14:paraId="234A1BC2">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caps w:val="0"/>
                      <w:smallCaps w:val="0"/>
                      <w:color w:val="auto"/>
                      <w:kern w:val="0"/>
                      <w:sz w:val="21"/>
                      <w:szCs w:val="21"/>
                      <w:highlight w:val="none"/>
                      <w:lang w:val="en-US" w:eastAsia="zh-CN"/>
                    </w:rPr>
                  </w:pPr>
                  <w:r>
                    <w:rPr>
                      <w:rFonts w:hint="default" w:ascii="Times New Roman" w:hAnsi="Times New Roman" w:cs="Times New Roman"/>
                      <w:caps w:val="0"/>
                      <w:smallCaps w:val="0"/>
                      <w:color w:val="auto"/>
                      <w:kern w:val="0"/>
                      <w:sz w:val="21"/>
                      <w:szCs w:val="21"/>
                      <w:highlight w:val="none"/>
                    </w:rPr>
                    <w:t>工业场地</w:t>
                  </w:r>
                  <w:r>
                    <w:rPr>
                      <w:rFonts w:hint="eastAsia" w:cs="Times New Roman"/>
                      <w:caps w:val="0"/>
                      <w:smallCaps w:val="0"/>
                      <w:color w:val="auto"/>
                      <w:kern w:val="0"/>
                      <w:sz w:val="21"/>
                      <w:szCs w:val="21"/>
                      <w:highlight w:val="none"/>
                      <w:lang w:val="en-US" w:eastAsia="zh-CN"/>
                    </w:rPr>
                    <w:t>区</w:t>
                  </w:r>
                </w:p>
              </w:tc>
              <w:tc>
                <w:tcPr>
                  <w:tcW w:w="5456" w:type="dxa"/>
                  <w:gridSpan w:val="2"/>
                  <w:noWrap/>
                  <w:vAlign w:val="center"/>
                </w:tcPr>
                <w:p w14:paraId="2D8472F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位于露天采区西北侧，占地面积1.09hm</w:t>
                  </w:r>
                  <w:r>
                    <w:rPr>
                      <w:rFonts w:hint="eastAsia" w:cs="Times New Roman"/>
                      <w:caps w:val="0"/>
                      <w:smallCaps w:val="0"/>
                      <w:color w:val="auto"/>
                      <w:sz w:val="21"/>
                      <w:szCs w:val="21"/>
                      <w:highlight w:val="none"/>
                      <w:vertAlign w:val="superscript"/>
                      <w:lang w:val="en-US" w:eastAsia="zh-CN"/>
                    </w:rPr>
                    <w:t>2</w:t>
                  </w:r>
                  <w:r>
                    <w:rPr>
                      <w:rFonts w:hint="eastAsia" w:cs="Times New Roman"/>
                      <w:caps w:val="0"/>
                      <w:smallCaps w:val="0"/>
                      <w:color w:val="auto"/>
                      <w:sz w:val="21"/>
                      <w:szCs w:val="21"/>
                      <w:highlight w:val="none"/>
                      <w:vertAlign w:val="baseline"/>
                      <w:lang w:val="en-US" w:eastAsia="zh-CN"/>
                    </w:rPr>
                    <w:t>，建设破碎站、砂料堆场和配电室，</w:t>
                  </w:r>
                  <w:r>
                    <w:rPr>
                      <w:rFonts w:hint="default" w:ascii="Times New Roman" w:hAnsi="Times New Roman" w:cs="Times New Roman"/>
                      <w:caps w:val="0"/>
                      <w:smallCaps w:val="0"/>
                      <w:color w:val="auto"/>
                      <w:sz w:val="21"/>
                      <w:szCs w:val="21"/>
                      <w:highlight w:val="none"/>
                      <w:lang w:val="en-US" w:eastAsia="zh-CN"/>
                    </w:rPr>
                    <w:t>其余区域为空地</w:t>
                  </w:r>
                  <w:r>
                    <w:rPr>
                      <w:rFonts w:hint="eastAsia" w:cs="Times New Roman"/>
                      <w:caps w:val="0"/>
                      <w:smallCaps w:val="0"/>
                      <w:color w:val="auto"/>
                      <w:sz w:val="21"/>
                      <w:szCs w:val="21"/>
                      <w:highlight w:val="none"/>
                      <w:vertAlign w:val="baseline"/>
                      <w:lang w:val="en-US" w:eastAsia="zh-CN"/>
                    </w:rPr>
                    <w:t>。</w:t>
                  </w:r>
                </w:p>
              </w:tc>
              <w:tc>
                <w:tcPr>
                  <w:tcW w:w="1202" w:type="dxa"/>
                  <w:noWrap/>
                  <w:vAlign w:val="center"/>
                </w:tcPr>
                <w:p w14:paraId="23808DBB">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caps w:val="0"/>
                      <w:smallCaps w:val="0"/>
                      <w:color w:val="auto"/>
                      <w:kern w:val="0"/>
                      <w:sz w:val="21"/>
                      <w:szCs w:val="21"/>
                      <w:highlight w:val="none"/>
                      <w:lang w:val="en-US" w:eastAsia="zh-CN"/>
                    </w:rPr>
                  </w:pPr>
                  <w:r>
                    <w:rPr>
                      <w:rFonts w:hint="eastAsia" w:cs="Times New Roman"/>
                      <w:caps w:val="0"/>
                      <w:smallCaps w:val="0"/>
                      <w:color w:val="auto"/>
                      <w:kern w:val="0"/>
                      <w:sz w:val="21"/>
                      <w:szCs w:val="21"/>
                      <w:highlight w:val="none"/>
                      <w:lang w:val="en-US" w:eastAsia="zh-CN"/>
                    </w:rPr>
                    <w:t>新建</w:t>
                  </w:r>
                </w:p>
              </w:tc>
            </w:tr>
            <w:tr w14:paraId="2FAB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9" w:type="dxa"/>
                  <w:vMerge w:val="continue"/>
                  <w:noWrap/>
                  <w:vAlign w:val="center"/>
                </w:tcPr>
                <w:p w14:paraId="0EBAC80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333F1E3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p>
              </w:tc>
              <w:tc>
                <w:tcPr>
                  <w:tcW w:w="1220" w:type="dxa"/>
                  <w:noWrap/>
                  <w:vAlign w:val="center"/>
                </w:tcPr>
                <w:p w14:paraId="40ABD269">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破碎站</w:t>
                  </w:r>
                </w:p>
              </w:tc>
              <w:tc>
                <w:tcPr>
                  <w:tcW w:w="4236" w:type="dxa"/>
                  <w:noWrap/>
                  <w:vAlign w:val="center"/>
                </w:tcPr>
                <w:p w14:paraId="265EAC84">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lang w:val="en-US" w:eastAsia="zh-CN"/>
                    </w:rPr>
                    <w:t>项目破碎站设置于项目区</w:t>
                  </w:r>
                  <w:r>
                    <w:rPr>
                      <w:rFonts w:hint="eastAsia" w:cs="Times New Roman"/>
                      <w:caps w:val="0"/>
                      <w:smallCaps w:val="0"/>
                      <w:color w:val="auto"/>
                      <w:sz w:val="21"/>
                      <w:szCs w:val="21"/>
                      <w:highlight w:val="none"/>
                      <w:lang w:val="en-US" w:eastAsia="zh-CN"/>
                    </w:rPr>
                    <w:t>西</w:t>
                  </w:r>
                  <w:r>
                    <w:rPr>
                      <w:rFonts w:hint="default" w:ascii="Times New Roman" w:hAnsi="Times New Roman" w:cs="Times New Roman"/>
                      <w:caps w:val="0"/>
                      <w:smallCaps w:val="0"/>
                      <w:color w:val="auto"/>
                      <w:sz w:val="21"/>
                      <w:szCs w:val="21"/>
                      <w:highlight w:val="none"/>
                      <w:lang w:val="en-US" w:eastAsia="zh-CN"/>
                    </w:rPr>
                    <w:t>北侧，位于</w:t>
                  </w:r>
                  <w:r>
                    <w:rPr>
                      <w:rFonts w:hint="eastAsia" w:cs="Times New Roman"/>
                      <w:caps w:val="0"/>
                      <w:smallCaps w:val="0"/>
                      <w:color w:val="auto"/>
                      <w:sz w:val="21"/>
                      <w:szCs w:val="21"/>
                      <w:highlight w:val="none"/>
                      <w:lang w:val="en-US" w:eastAsia="zh-CN"/>
                    </w:rPr>
                    <w:t>采矿区</w:t>
                  </w:r>
                  <w:r>
                    <w:rPr>
                      <w:rFonts w:hint="default" w:ascii="Times New Roman" w:hAnsi="Times New Roman" w:cs="Times New Roman"/>
                      <w:caps w:val="0"/>
                      <w:smallCaps w:val="0"/>
                      <w:color w:val="auto"/>
                      <w:sz w:val="21"/>
                      <w:szCs w:val="21"/>
                      <w:highlight w:val="none"/>
                      <w:lang w:val="en-US" w:eastAsia="zh-CN"/>
                    </w:rPr>
                    <w:t>矿点</w:t>
                  </w:r>
                  <w:r>
                    <w:rPr>
                      <w:rFonts w:hint="eastAsia" w:cs="Times New Roman"/>
                      <w:caps w:val="0"/>
                      <w:smallCaps w:val="0"/>
                      <w:color w:val="auto"/>
                      <w:sz w:val="21"/>
                      <w:szCs w:val="21"/>
                      <w:highlight w:val="none"/>
                      <w:lang w:val="en-US" w:eastAsia="zh-CN"/>
                    </w:rPr>
                    <w:t>2西侧</w:t>
                  </w:r>
                  <w:r>
                    <w:rPr>
                      <w:rFonts w:hint="default" w:ascii="Times New Roman" w:hAnsi="Times New Roman" w:cs="Times New Roman"/>
                      <w:caps w:val="0"/>
                      <w:smallCaps w:val="0"/>
                      <w:color w:val="auto"/>
                      <w:sz w:val="21"/>
                      <w:szCs w:val="21"/>
                      <w:highlight w:val="none"/>
                      <w:lang w:val="en-US" w:eastAsia="zh-CN"/>
                    </w:rPr>
                    <w:t>，破碎站建筑面积为</w:t>
                  </w:r>
                  <w:r>
                    <w:rPr>
                      <w:rFonts w:hint="eastAsia" w:cs="Times New Roman"/>
                      <w:caps w:val="0"/>
                      <w:smallCaps w:val="0"/>
                      <w:color w:val="auto"/>
                      <w:sz w:val="21"/>
                      <w:szCs w:val="21"/>
                      <w:highlight w:val="none"/>
                      <w:lang w:val="en-US" w:eastAsia="zh-CN"/>
                    </w:rPr>
                    <w:t>20</w:t>
                  </w:r>
                  <w:r>
                    <w:rPr>
                      <w:rFonts w:hint="default" w:ascii="Times New Roman" w:hAnsi="Times New Roman" w:cs="Times New Roman"/>
                      <w:caps w:val="0"/>
                      <w:smallCaps w:val="0"/>
                      <w:color w:val="auto"/>
                      <w:sz w:val="21"/>
                      <w:szCs w:val="21"/>
                      <w:highlight w:val="none"/>
                    </w:rPr>
                    <w:t>00m</w:t>
                  </w:r>
                  <w:r>
                    <w:rPr>
                      <w:rFonts w:hint="default" w:ascii="Times New Roman" w:hAnsi="Times New Roman" w:cs="Times New Roman"/>
                      <w:caps w:val="0"/>
                      <w:smallCaps w:val="0"/>
                      <w:color w:val="auto"/>
                      <w:sz w:val="21"/>
                      <w:szCs w:val="21"/>
                      <w:highlight w:val="none"/>
                      <w:vertAlign w:val="superscript"/>
                    </w:rPr>
                    <w:t>2</w:t>
                  </w:r>
                  <w:r>
                    <w:rPr>
                      <w:rFonts w:hint="default" w:ascii="Times New Roman" w:hAnsi="Times New Roman" w:cs="Times New Roman"/>
                      <w:caps w:val="0"/>
                      <w:smallCaps w:val="0"/>
                      <w:color w:val="auto"/>
                      <w:sz w:val="21"/>
                      <w:szCs w:val="21"/>
                      <w:highlight w:val="none"/>
                    </w:rPr>
                    <w:t>，对矿石</w:t>
                  </w:r>
                  <w:r>
                    <w:rPr>
                      <w:rFonts w:hint="default" w:ascii="Times New Roman" w:hAnsi="Times New Roman" w:cs="Times New Roman"/>
                      <w:caps w:val="0"/>
                      <w:smallCaps w:val="0"/>
                      <w:color w:val="auto"/>
                      <w:sz w:val="21"/>
                      <w:szCs w:val="21"/>
                      <w:highlight w:val="none"/>
                      <w:lang w:val="en-US" w:eastAsia="zh-CN"/>
                    </w:rPr>
                    <w:t>按照粒径</w:t>
                  </w:r>
                  <w:r>
                    <w:rPr>
                      <w:rFonts w:hint="default" w:ascii="Times New Roman" w:hAnsi="Times New Roman" w:cs="Times New Roman"/>
                      <w:caps w:val="0"/>
                      <w:smallCaps w:val="0"/>
                      <w:color w:val="auto"/>
                      <w:sz w:val="21"/>
                      <w:szCs w:val="21"/>
                      <w:highlight w:val="none"/>
                    </w:rPr>
                    <w:t>进行</w:t>
                  </w:r>
                  <w:r>
                    <w:rPr>
                      <w:rFonts w:hint="default" w:ascii="Times New Roman" w:hAnsi="Times New Roman" w:cs="Times New Roman"/>
                      <w:caps w:val="0"/>
                      <w:smallCaps w:val="0"/>
                      <w:color w:val="auto"/>
                      <w:sz w:val="21"/>
                      <w:szCs w:val="21"/>
                      <w:highlight w:val="none"/>
                      <w:lang w:val="en-US" w:eastAsia="zh-CN"/>
                    </w:rPr>
                    <w:t>一级破碎+二级破碎+筛分+制砂</w:t>
                  </w:r>
                  <w:r>
                    <w:rPr>
                      <w:rFonts w:hint="eastAsia" w:cs="Times New Roman"/>
                      <w:caps w:val="0"/>
                      <w:smallCaps w:val="0"/>
                      <w:color w:val="auto"/>
                      <w:sz w:val="21"/>
                      <w:szCs w:val="21"/>
                      <w:highlight w:val="none"/>
                      <w:lang w:val="en-US" w:eastAsia="zh-CN"/>
                    </w:rPr>
                    <w:t>+</w:t>
                  </w:r>
                  <w:r>
                    <w:rPr>
                      <w:rFonts w:hint="default" w:ascii="Times New Roman" w:hAnsi="Times New Roman" w:cs="Times New Roman"/>
                      <w:caps w:val="0"/>
                      <w:smallCaps w:val="0"/>
                      <w:color w:val="auto"/>
                      <w:sz w:val="21"/>
                      <w:szCs w:val="21"/>
                      <w:highlight w:val="none"/>
                      <w:lang w:val="en-US" w:eastAsia="zh-CN"/>
                    </w:rPr>
                    <w:t>筛分生产小于4mm的细砂，生产出来的细砂堆存于砂料堆场</w:t>
                  </w:r>
                  <w:r>
                    <w:rPr>
                      <w:rFonts w:hint="default" w:ascii="Times New Roman" w:hAnsi="Times New Roman" w:cs="Times New Roman"/>
                      <w:caps w:val="0"/>
                      <w:smallCaps w:val="0"/>
                      <w:color w:val="auto"/>
                      <w:sz w:val="21"/>
                      <w:szCs w:val="21"/>
                      <w:highlight w:val="none"/>
                    </w:rPr>
                    <w:t>。</w:t>
                  </w:r>
                </w:p>
              </w:tc>
              <w:tc>
                <w:tcPr>
                  <w:tcW w:w="1202" w:type="dxa"/>
                  <w:noWrap/>
                  <w:vAlign w:val="center"/>
                </w:tcPr>
                <w:p w14:paraId="253D4B3B">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kern w:val="0"/>
                      <w:sz w:val="21"/>
                      <w:szCs w:val="21"/>
                      <w:highlight w:val="none"/>
                    </w:rPr>
                    <w:t>新建</w:t>
                  </w:r>
                </w:p>
              </w:tc>
            </w:tr>
            <w:tr w14:paraId="05B3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89" w:type="dxa"/>
                  <w:vMerge w:val="continue"/>
                  <w:noWrap/>
                  <w:vAlign w:val="center"/>
                </w:tcPr>
                <w:p w14:paraId="27FE341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1507434C">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p>
              </w:tc>
              <w:tc>
                <w:tcPr>
                  <w:tcW w:w="1220" w:type="dxa"/>
                  <w:noWrap/>
                  <w:vAlign w:val="center"/>
                </w:tcPr>
                <w:p w14:paraId="27CBA5C5">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配电室</w:t>
                  </w:r>
                </w:p>
              </w:tc>
              <w:tc>
                <w:tcPr>
                  <w:tcW w:w="4236" w:type="dxa"/>
                  <w:noWrap/>
                  <w:vAlign w:val="center"/>
                </w:tcPr>
                <w:p w14:paraId="69E7498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位于</w:t>
                  </w:r>
                  <w:r>
                    <w:rPr>
                      <w:rFonts w:hint="default" w:ascii="Times New Roman" w:hAnsi="Times New Roman" w:cs="Times New Roman"/>
                      <w:caps w:val="0"/>
                      <w:smallCaps w:val="0"/>
                      <w:color w:val="auto"/>
                      <w:kern w:val="0"/>
                      <w:sz w:val="21"/>
                      <w:szCs w:val="21"/>
                      <w:highlight w:val="none"/>
                    </w:rPr>
                    <w:t>工业场地</w:t>
                  </w:r>
                  <w:r>
                    <w:rPr>
                      <w:rFonts w:hint="eastAsia" w:cs="Times New Roman"/>
                      <w:caps w:val="0"/>
                      <w:smallCaps w:val="0"/>
                      <w:color w:val="auto"/>
                      <w:sz w:val="21"/>
                      <w:szCs w:val="21"/>
                      <w:highlight w:val="none"/>
                      <w:lang w:val="en-US" w:eastAsia="zh-CN"/>
                    </w:rPr>
                    <w:t>北</w:t>
                  </w:r>
                  <w:r>
                    <w:rPr>
                      <w:rFonts w:hint="default" w:ascii="Times New Roman" w:hAnsi="Times New Roman" w:cs="Times New Roman"/>
                      <w:caps w:val="0"/>
                      <w:smallCaps w:val="0"/>
                      <w:color w:val="auto"/>
                      <w:sz w:val="21"/>
                      <w:szCs w:val="21"/>
                      <w:highlight w:val="none"/>
                      <w:lang w:val="en-US" w:eastAsia="zh-CN"/>
                    </w:rPr>
                    <w:t>侧，建筑面积约55m</w:t>
                  </w:r>
                  <w:r>
                    <w:rPr>
                      <w:rFonts w:hint="default" w:ascii="Times New Roman" w:hAnsi="Times New Roman" w:cs="Times New Roman"/>
                      <w:caps w:val="0"/>
                      <w:smallCaps w:val="0"/>
                      <w:color w:val="auto"/>
                      <w:sz w:val="21"/>
                      <w:szCs w:val="21"/>
                      <w:highlight w:val="none"/>
                      <w:vertAlign w:val="superscript"/>
                      <w:lang w:val="en-US" w:eastAsia="zh-CN"/>
                    </w:rPr>
                    <w:t>2</w:t>
                  </w:r>
                  <w:r>
                    <w:rPr>
                      <w:rFonts w:hint="default" w:ascii="Times New Roman" w:hAnsi="Times New Roman" w:cs="Times New Roman"/>
                      <w:caps w:val="0"/>
                      <w:smallCaps w:val="0"/>
                      <w:color w:val="auto"/>
                      <w:sz w:val="21"/>
                      <w:szCs w:val="21"/>
                      <w:highlight w:val="none"/>
                      <w:lang w:val="en-US" w:eastAsia="zh-CN"/>
                    </w:rPr>
                    <w:t>。主要给破碎站和员工办公生活供电。设置1台</w:t>
                  </w:r>
                  <w:r>
                    <w:rPr>
                      <w:rFonts w:hint="eastAsia" w:cs="Times New Roman"/>
                      <w:caps w:val="0"/>
                      <w:smallCaps w:val="0"/>
                      <w:color w:val="auto"/>
                      <w:sz w:val="21"/>
                      <w:szCs w:val="21"/>
                      <w:highlight w:val="none"/>
                      <w:lang w:val="en-US" w:eastAsia="zh-CN"/>
                    </w:rPr>
                    <w:t>80</w:t>
                  </w:r>
                  <w:r>
                    <w:rPr>
                      <w:rFonts w:hint="default" w:ascii="Times New Roman" w:hAnsi="Times New Roman" w:cs="Times New Roman"/>
                      <w:caps w:val="0"/>
                      <w:smallCaps w:val="0"/>
                      <w:color w:val="auto"/>
                      <w:sz w:val="21"/>
                      <w:szCs w:val="21"/>
                      <w:highlight w:val="none"/>
                      <w:lang w:val="en-US" w:eastAsia="zh-CN"/>
                    </w:rPr>
                    <w:t>0KVA变压器供生产生活用电。</w:t>
                  </w:r>
                </w:p>
              </w:tc>
              <w:tc>
                <w:tcPr>
                  <w:tcW w:w="1202" w:type="dxa"/>
                  <w:noWrap/>
                  <w:vAlign w:val="center"/>
                </w:tcPr>
                <w:p w14:paraId="5236F103">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kern w:val="0"/>
                      <w:sz w:val="21"/>
                      <w:szCs w:val="21"/>
                      <w:highlight w:val="none"/>
                    </w:rPr>
                    <w:t>新建</w:t>
                  </w:r>
                </w:p>
              </w:tc>
            </w:tr>
            <w:tr w14:paraId="03BA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89" w:type="dxa"/>
                  <w:vMerge w:val="continue"/>
                  <w:noWrap/>
                  <w:vAlign w:val="center"/>
                </w:tcPr>
                <w:p w14:paraId="728E1B9C">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71A6F3C3">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p>
              </w:tc>
              <w:tc>
                <w:tcPr>
                  <w:tcW w:w="1220" w:type="dxa"/>
                  <w:noWrap/>
                  <w:vAlign w:val="center"/>
                </w:tcPr>
                <w:p w14:paraId="78F5AF3C">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砂料堆场</w:t>
                  </w:r>
                </w:p>
              </w:tc>
              <w:tc>
                <w:tcPr>
                  <w:tcW w:w="4236" w:type="dxa"/>
                  <w:noWrap/>
                  <w:vAlign w:val="center"/>
                </w:tcPr>
                <w:p w14:paraId="4E0DC314">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项目砂料堆场位于项目区</w:t>
                  </w:r>
                  <w:r>
                    <w:rPr>
                      <w:rFonts w:hint="eastAsia" w:cs="Times New Roman"/>
                      <w:caps w:val="0"/>
                      <w:smallCaps w:val="0"/>
                      <w:color w:val="auto"/>
                      <w:sz w:val="21"/>
                      <w:szCs w:val="21"/>
                      <w:highlight w:val="none"/>
                      <w:lang w:val="en-US" w:eastAsia="zh-CN"/>
                    </w:rPr>
                    <w:t>西</w:t>
                  </w:r>
                  <w:r>
                    <w:rPr>
                      <w:rFonts w:hint="default" w:ascii="Times New Roman" w:hAnsi="Times New Roman" w:cs="Times New Roman"/>
                      <w:caps w:val="0"/>
                      <w:smallCaps w:val="0"/>
                      <w:color w:val="auto"/>
                      <w:sz w:val="21"/>
                      <w:szCs w:val="21"/>
                      <w:highlight w:val="none"/>
                      <w:lang w:val="en-US" w:eastAsia="zh-CN"/>
                    </w:rPr>
                    <w:t>北侧，</w:t>
                  </w:r>
                  <w:r>
                    <w:rPr>
                      <w:rFonts w:hint="eastAsia" w:cs="Times New Roman"/>
                      <w:caps w:val="0"/>
                      <w:smallCaps w:val="0"/>
                      <w:color w:val="auto"/>
                      <w:sz w:val="21"/>
                      <w:szCs w:val="21"/>
                      <w:highlight w:val="none"/>
                      <w:lang w:val="en-US" w:eastAsia="zh-CN"/>
                    </w:rPr>
                    <w:t>工业场地区南侧</w:t>
                  </w:r>
                  <w:r>
                    <w:rPr>
                      <w:rFonts w:hint="default" w:ascii="Times New Roman" w:hAnsi="Times New Roman" w:cs="Times New Roman"/>
                      <w:caps w:val="0"/>
                      <w:smallCaps w:val="0"/>
                      <w:color w:val="auto"/>
                      <w:sz w:val="21"/>
                      <w:szCs w:val="21"/>
                      <w:highlight w:val="none"/>
                      <w:lang w:val="en-US" w:eastAsia="zh-CN"/>
                    </w:rPr>
                    <w:t>，紧邻破碎站，砂料堆场建筑</w:t>
                  </w:r>
                  <w:r>
                    <w:rPr>
                      <w:rFonts w:hint="eastAsia" w:cs="Times New Roman"/>
                      <w:caps w:val="0"/>
                      <w:smallCaps w:val="0"/>
                      <w:color w:val="auto"/>
                      <w:sz w:val="21"/>
                      <w:szCs w:val="21"/>
                      <w:highlight w:val="none"/>
                      <w:lang w:val="en-US" w:eastAsia="zh-CN"/>
                    </w:rPr>
                    <w:t>面积</w:t>
                  </w:r>
                  <w:r>
                    <w:rPr>
                      <w:rFonts w:hint="default" w:ascii="Times New Roman" w:hAnsi="Times New Roman" w:cs="Times New Roman"/>
                      <w:caps w:val="0"/>
                      <w:smallCaps w:val="0"/>
                      <w:color w:val="auto"/>
                      <w:sz w:val="21"/>
                      <w:szCs w:val="21"/>
                      <w:highlight w:val="none"/>
                      <w:lang w:val="en-US" w:eastAsia="zh-CN"/>
                    </w:rPr>
                    <w:t>约3000m</w:t>
                  </w:r>
                  <w:r>
                    <w:rPr>
                      <w:rFonts w:hint="default" w:ascii="Times New Roman" w:hAnsi="Times New Roman" w:cs="Times New Roman"/>
                      <w:caps w:val="0"/>
                      <w:smallCaps w:val="0"/>
                      <w:color w:val="auto"/>
                      <w:sz w:val="21"/>
                      <w:szCs w:val="21"/>
                      <w:highlight w:val="none"/>
                      <w:vertAlign w:val="superscript"/>
                      <w:lang w:val="en-US" w:eastAsia="zh-CN"/>
                    </w:rPr>
                    <w:t>2</w:t>
                  </w:r>
                  <w:r>
                    <w:rPr>
                      <w:rFonts w:hint="default" w:ascii="Times New Roman" w:hAnsi="Times New Roman" w:cs="Times New Roman"/>
                      <w:caps w:val="0"/>
                      <w:smallCaps w:val="0"/>
                      <w:color w:val="auto"/>
                      <w:sz w:val="21"/>
                      <w:szCs w:val="21"/>
                      <w:highlight w:val="none"/>
                      <w:lang w:val="en-US" w:eastAsia="zh-CN"/>
                    </w:rPr>
                    <w:t>，采用三面围挡，上方设置顶棚，棚高7m，用于堆存项目破碎站生产出来的细砂产品。</w:t>
                  </w:r>
                </w:p>
              </w:tc>
              <w:tc>
                <w:tcPr>
                  <w:tcW w:w="1202" w:type="dxa"/>
                  <w:noWrap/>
                  <w:vAlign w:val="center"/>
                </w:tcPr>
                <w:p w14:paraId="3A6E7F3D">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kern w:val="0"/>
                      <w:sz w:val="21"/>
                      <w:szCs w:val="21"/>
                      <w:highlight w:val="none"/>
                    </w:rPr>
                    <w:t>新建</w:t>
                  </w:r>
                </w:p>
              </w:tc>
            </w:tr>
            <w:tr w14:paraId="2F4A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689" w:type="dxa"/>
                  <w:vMerge w:val="continue"/>
                  <w:noWrap/>
                  <w:vAlign w:val="center"/>
                </w:tcPr>
                <w:p w14:paraId="7A28F040">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noWrap/>
                  <w:vAlign w:val="center"/>
                </w:tcPr>
                <w:p w14:paraId="5DF5F5C1">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caps w:val="0"/>
                      <w:smallCaps w:val="0"/>
                      <w:color w:val="auto"/>
                      <w:kern w:val="0"/>
                      <w:sz w:val="21"/>
                      <w:szCs w:val="21"/>
                      <w:highlight w:val="none"/>
                      <w:lang w:eastAsia="zh-CN"/>
                    </w:rPr>
                  </w:pPr>
                  <w:r>
                    <w:rPr>
                      <w:rFonts w:hint="eastAsia" w:cs="Times New Roman"/>
                      <w:caps w:val="0"/>
                      <w:smallCaps w:val="0"/>
                      <w:color w:val="auto"/>
                      <w:kern w:val="0"/>
                      <w:sz w:val="21"/>
                      <w:szCs w:val="21"/>
                      <w:highlight w:val="none"/>
                      <w:lang w:eastAsia="zh-CN"/>
                    </w:rPr>
                    <w:t>办公生活区</w:t>
                  </w:r>
                </w:p>
              </w:tc>
              <w:tc>
                <w:tcPr>
                  <w:tcW w:w="5456" w:type="dxa"/>
                  <w:gridSpan w:val="2"/>
                  <w:noWrap/>
                  <w:vAlign w:val="center"/>
                </w:tcPr>
                <w:p w14:paraId="0AD8A02E">
                  <w:pPr>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办公生活区</w:t>
                  </w:r>
                  <w:r>
                    <w:rPr>
                      <w:rFonts w:hint="default" w:ascii="Times New Roman" w:hAnsi="Times New Roman" w:cs="Times New Roman"/>
                      <w:caps w:val="0"/>
                      <w:smallCaps w:val="0"/>
                      <w:color w:val="auto"/>
                      <w:sz w:val="21"/>
                      <w:szCs w:val="21"/>
                      <w:highlight w:val="none"/>
                      <w:lang w:val="en-US" w:eastAsia="zh-CN"/>
                    </w:rPr>
                    <w:t>位于西北侧，</w:t>
                  </w:r>
                  <w:r>
                    <w:rPr>
                      <w:rFonts w:hint="eastAsia" w:cs="Times New Roman"/>
                      <w:caps w:val="0"/>
                      <w:smallCaps w:val="0"/>
                      <w:color w:val="auto"/>
                      <w:sz w:val="21"/>
                      <w:szCs w:val="21"/>
                      <w:highlight w:val="none"/>
                      <w:lang w:val="en-US" w:eastAsia="zh-CN"/>
                    </w:rPr>
                    <w:t>占地面积0.25hm</w:t>
                  </w:r>
                  <w:r>
                    <w:rPr>
                      <w:rFonts w:hint="eastAsia" w:cs="Times New Roman"/>
                      <w:caps w:val="0"/>
                      <w:smallCaps w:val="0"/>
                      <w:color w:val="auto"/>
                      <w:sz w:val="21"/>
                      <w:szCs w:val="21"/>
                      <w:highlight w:val="none"/>
                      <w:vertAlign w:val="superscript"/>
                      <w:lang w:val="en-US" w:eastAsia="zh-CN"/>
                    </w:rPr>
                    <w:t>2</w:t>
                  </w:r>
                  <w:r>
                    <w:rPr>
                      <w:rFonts w:hint="eastAsia" w:cs="Times New Roman"/>
                      <w:caps w:val="0"/>
                      <w:smallCaps w:val="0"/>
                      <w:color w:val="auto"/>
                      <w:sz w:val="21"/>
                      <w:szCs w:val="21"/>
                      <w:highlight w:val="none"/>
                      <w:vertAlign w:val="baseline"/>
                      <w:lang w:val="en-US" w:eastAsia="zh-CN"/>
                    </w:rPr>
                    <w:t>。建设</w:t>
                  </w:r>
                  <w:r>
                    <w:rPr>
                      <w:rFonts w:hint="default" w:ascii="Times New Roman" w:hAnsi="Times New Roman" w:cs="Times New Roman"/>
                      <w:caps w:val="0"/>
                      <w:smallCaps w:val="0"/>
                      <w:color w:val="auto"/>
                      <w:sz w:val="21"/>
                      <w:szCs w:val="21"/>
                      <w:highlight w:val="none"/>
                      <w:lang w:val="en-US" w:eastAsia="zh-CN"/>
                    </w:rPr>
                    <w:t>1栋1层的建筑物，建筑面积约500m</w:t>
                  </w:r>
                  <w:r>
                    <w:rPr>
                      <w:rFonts w:hint="default" w:ascii="Times New Roman" w:hAnsi="Times New Roman" w:cs="Times New Roman"/>
                      <w:caps w:val="0"/>
                      <w:smallCaps w:val="0"/>
                      <w:color w:val="auto"/>
                      <w:sz w:val="21"/>
                      <w:szCs w:val="21"/>
                      <w:highlight w:val="none"/>
                      <w:vertAlign w:val="superscript"/>
                      <w:lang w:val="en-US" w:eastAsia="zh-CN"/>
                    </w:rPr>
                    <w:t>2</w:t>
                  </w:r>
                  <w:r>
                    <w:rPr>
                      <w:rFonts w:hint="eastAsia" w:cs="Times New Roman"/>
                      <w:caps w:val="0"/>
                      <w:smallCaps w:val="0"/>
                      <w:color w:val="auto"/>
                      <w:sz w:val="21"/>
                      <w:szCs w:val="21"/>
                      <w:highlight w:val="none"/>
                      <w:lang w:val="en-US" w:eastAsia="zh-CN"/>
                    </w:rPr>
                    <w:t>，用于生活办公，</w:t>
                  </w:r>
                  <w:r>
                    <w:rPr>
                      <w:rFonts w:hint="default" w:ascii="Times New Roman" w:hAnsi="Times New Roman" w:cs="Times New Roman"/>
                      <w:caps w:val="0"/>
                      <w:smallCaps w:val="0"/>
                      <w:color w:val="auto"/>
                      <w:sz w:val="21"/>
                      <w:szCs w:val="21"/>
                      <w:highlight w:val="none"/>
                      <w:lang w:val="en-US" w:eastAsia="zh-CN"/>
                    </w:rPr>
                    <w:t>布置</w:t>
                  </w:r>
                  <w:r>
                    <w:rPr>
                      <w:rFonts w:hint="eastAsia" w:cs="Times New Roman"/>
                      <w:caps w:val="0"/>
                      <w:smallCaps w:val="0"/>
                      <w:color w:val="auto"/>
                      <w:sz w:val="21"/>
                      <w:szCs w:val="21"/>
                      <w:highlight w:val="none"/>
                      <w:lang w:val="en-US" w:eastAsia="zh-CN"/>
                    </w:rPr>
                    <w:t>有</w:t>
                  </w:r>
                  <w:r>
                    <w:rPr>
                      <w:rFonts w:hint="default" w:ascii="Times New Roman" w:hAnsi="Times New Roman" w:cs="Times New Roman"/>
                      <w:caps w:val="0"/>
                      <w:smallCaps w:val="0"/>
                      <w:color w:val="auto"/>
                      <w:sz w:val="21"/>
                      <w:szCs w:val="21"/>
                      <w:highlight w:val="none"/>
                      <w:lang w:val="en-US" w:eastAsia="zh-CN"/>
                    </w:rPr>
                    <w:t>办公室、食堂、休息室、机修间</w:t>
                  </w:r>
                  <w:r>
                    <w:rPr>
                      <w:rFonts w:hint="eastAsia" w:cs="Times New Roman"/>
                      <w:caps w:val="0"/>
                      <w:smallCaps w:val="0"/>
                      <w:color w:val="auto"/>
                      <w:sz w:val="21"/>
                      <w:szCs w:val="21"/>
                      <w:highlight w:val="none"/>
                      <w:lang w:val="en-US" w:eastAsia="zh-CN"/>
                    </w:rPr>
                    <w:t>、卫生间等</w:t>
                  </w:r>
                  <w:r>
                    <w:rPr>
                      <w:rFonts w:hint="eastAsia" w:cs="Times New Roman"/>
                      <w:caps w:val="0"/>
                      <w:smallCaps w:val="0"/>
                      <w:color w:val="auto"/>
                      <w:sz w:val="21"/>
                      <w:szCs w:val="21"/>
                      <w:highlight w:val="none"/>
                      <w:vertAlign w:val="baseline"/>
                      <w:lang w:val="en-US" w:eastAsia="zh-CN"/>
                    </w:rPr>
                    <w:t>；修建一个值班室紧邻办公生活房屋，占地面积约40</w:t>
                  </w:r>
                  <w:r>
                    <w:rPr>
                      <w:rFonts w:hint="default" w:ascii="Times New Roman" w:hAnsi="Times New Roman" w:cs="Times New Roman"/>
                      <w:caps w:val="0"/>
                      <w:smallCaps w:val="0"/>
                      <w:color w:val="auto"/>
                      <w:sz w:val="21"/>
                      <w:szCs w:val="21"/>
                      <w:highlight w:val="none"/>
                      <w:lang w:val="en-US" w:eastAsia="zh-CN"/>
                    </w:rPr>
                    <w:t>m</w:t>
                  </w:r>
                  <w:r>
                    <w:rPr>
                      <w:rFonts w:hint="default" w:ascii="Times New Roman" w:hAnsi="Times New Roman" w:cs="Times New Roman"/>
                      <w:caps w:val="0"/>
                      <w:smallCaps w:val="0"/>
                      <w:color w:val="auto"/>
                      <w:sz w:val="21"/>
                      <w:szCs w:val="21"/>
                      <w:highlight w:val="none"/>
                      <w:vertAlign w:val="superscript"/>
                      <w:lang w:val="en-US" w:eastAsia="zh-CN"/>
                    </w:rPr>
                    <w:t>2</w:t>
                  </w:r>
                  <w:r>
                    <w:rPr>
                      <w:rFonts w:hint="default" w:ascii="Times New Roman" w:hAnsi="Times New Roman" w:cs="Times New Roman"/>
                      <w:caps w:val="0"/>
                      <w:smallCaps w:val="0"/>
                      <w:color w:val="auto"/>
                      <w:sz w:val="21"/>
                      <w:szCs w:val="21"/>
                      <w:highlight w:val="none"/>
                      <w:lang w:val="en-US" w:eastAsia="zh-CN"/>
                    </w:rPr>
                    <w:t>。其余区域为空地，主要用作停车、员工休闲活动使用。</w:t>
                  </w:r>
                </w:p>
              </w:tc>
              <w:tc>
                <w:tcPr>
                  <w:tcW w:w="1202" w:type="dxa"/>
                  <w:noWrap/>
                  <w:vAlign w:val="center"/>
                </w:tcPr>
                <w:p w14:paraId="2719EECB">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sz w:val="21"/>
                      <w:szCs w:val="21"/>
                      <w:highlight w:val="none"/>
                    </w:rPr>
                    <w:t>新建</w:t>
                  </w:r>
                </w:p>
              </w:tc>
            </w:tr>
            <w:tr w14:paraId="0FD9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689" w:type="dxa"/>
                  <w:vMerge w:val="continue"/>
                  <w:noWrap/>
                  <w:vAlign w:val="center"/>
                </w:tcPr>
                <w:p w14:paraId="07A0521C">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noWrap/>
                  <w:vAlign w:val="center"/>
                </w:tcPr>
                <w:p w14:paraId="7B1BD5FB">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cs="Times New Roman"/>
                      <w:caps w:val="0"/>
                      <w:smallCaps w:val="0"/>
                      <w:color w:val="auto"/>
                      <w:kern w:val="0"/>
                      <w:sz w:val="21"/>
                      <w:szCs w:val="21"/>
                      <w:highlight w:val="none"/>
                      <w:lang w:val="en-US" w:eastAsia="zh-CN"/>
                    </w:rPr>
                  </w:pPr>
                  <w:r>
                    <w:rPr>
                      <w:rFonts w:hint="eastAsia" w:cs="Times New Roman"/>
                      <w:caps w:val="0"/>
                      <w:smallCaps w:val="0"/>
                      <w:color w:val="auto"/>
                      <w:kern w:val="0"/>
                      <w:sz w:val="21"/>
                      <w:szCs w:val="21"/>
                      <w:highlight w:val="none"/>
                      <w:lang w:val="en-US" w:eastAsia="zh-CN"/>
                    </w:rPr>
                    <w:t>临时表土堆场</w:t>
                  </w:r>
                </w:p>
              </w:tc>
              <w:tc>
                <w:tcPr>
                  <w:tcW w:w="5456" w:type="dxa"/>
                  <w:gridSpan w:val="2"/>
                  <w:noWrap/>
                  <w:vAlign w:val="center"/>
                </w:tcPr>
                <w:p w14:paraId="0DF27050">
                  <w:pPr>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aps w:val="0"/>
                      <w:smallCaps w:val="0"/>
                      <w:color w:val="auto"/>
                      <w:sz w:val="21"/>
                      <w:szCs w:val="21"/>
                      <w:highlight w:val="none"/>
                      <w:vertAlign w:val="baseline"/>
                      <w:lang w:val="en-US" w:eastAsia="zh-CN"/>
                    </w:rPr>
                  </w:pPr>
                  <w:r>
                    <w:rPr>
                      <w:rFonts w:hint="eastAsia" w:cs="Times New Roman"/>
                      <w:caps w:val="0"/>
                      <w:smallCaps w:val="0"/>
                      <w:color w:val="auto"/>
                      <w:sz w:val="21"/>
                      <w:szCs w:val="21"/>
                      <w:highlight w:val="none"/>
                      <w:lang w:val="en-US" w:eastAsia="zh-CN"/>
                    </w:rPr>
                    <w:t>位于矿界西侧，占地面积3000m</w:t>
                  </w:r>
                  <w:r>
                    <w:rPr>
                      <w:rFonts w:hint="eastAsia" w:cs="Times New Roman"/>
                      <w:caps w:val="0"/>
                      <w:smallCaps w:val="0"/>
                      <w:color w:val="auto"/>
                      <w:sz w:val="21"/>
                      <w:szCs w:val="21"/>
                      <w:highlight w:val="none"/>
                      <w:vertAlign w:val="superscript"/>
                      <w:lang w:val="en-US" w:eastAsia="zh-CN"/>
                    </w:rPr>
                    <w:t>2</w:t>
                  </w:r>
                  <w:r>
                    <w:rPr>
                      <w:rFonts w:hint="eastAsia" w:cs="Times New Roman"/>
                      <w:caps w:val="0"/>
                      <w:smallCaps w:val="0"/>
                      <w:color w:val="auto"/>
                      <w:sz w:val="21"/>
                      <w:szCs w:val="21"/>
                      <w:highlight w:val="none"/>
                      <w:vertAlign w:val="baseline"/>
                      <w:lang w:val="en-US" w:eastAsia="zh-CN"/>
                    </w:rPr>
                    <w:t>，堆高8m，设计容量2万m</w:t>
                  </w:r>
                  <w:r>
                    <w:rPr>
                      <w:rFonts w:hint="eastAsia" w:cs="Times New Roman"/>
                      <w:caps w:val="0"/>
                      <w:smallCaps w:val="0"/>
                      <w:color w:val="auto"/>
                      <w:sz w:val="21"/>
                      <w:szCs w:val="21"/>
                      <w:highlight w:val="none"/>
                      <w:vertAlign w:val="superscript"/>
                      <w:lang w:val="en-US" w:eastAsia="zh-CN"/>
                    </w:rPr>
                    <w:t>3</w:t>
                  </w:r>
                  <w:r>
                    <w:rPr>
                      <w:rFonts w:hint="eastAsia" w:cs="Times New Roman"/>
                      <w:caps w:val="0"/>
                      <w:smallCaps w:val="0"/>
                      <w:color w:val="auto"/>
                      <w:sz w:val="21"/>
                      <w:szCs w:val="21"/>
                      <w:highlight w:val="none"/>
                      <w:vertAlign w:val="baseline"/>
                      <w:lang w:val="en-US" w:eastAsia="zh-CN"/>
                    </w:rPr>
                    <w:t>，用于堆放项目剥离表土。在其南侧新建浆砌石拦渣坝150m，采用梯形结构，顶宽 0.7m，面坡 1：0.4，背坡 1：0.1，排土场坝高 3m，坝长39m，基础埋深 1m。</w:t>
                  </w:r>
                </w:p>
                <w:p w14:paraId="7B599894">
                  <w:pPr>
                    <w:keepNext w:val="0"/>
                    <w:keepLines w:val="0"/>
                    <w:pageBreakBefore w:val="0"/>
                    <w:kinsoku/>
                    <w:wordWrap/>
                    <w:overflowPunct/>
                    <w:topLinePunct w:val="0"/>
                    <w:autoSpaceDE/>
                    <w:autoSpaceDN/>
                    <w:bidi w:val="0"/>
                    <w:spacing w:line="240" w:lineRule="auto"/>
                    <w:ind w:firstLine="0" w:firstLineChars="0"/>
                    <w:jc w:val="both"/>
                    <w:textAlignment w:val="auto"/>
                    <w:rPr>
                      <w:rFonts w:hint="default"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vertAlign w:val="baseline"/>
                      <w:lang w:val="en-US" w:eastAsia="zh-CN"/>
                    </w:rPr>
                    <w:t>临时表土堆场外围设置排水沟 157m，设计采用矩形断面，净断面尺寸 b×h（底宽×深）＝0.5×0.6m，沟底为 0.2m 的 C15 素混凝土垫层，沟帮采用 M7.5 浆砌砖 0.36m 厚，M10 砂浆抹面2cm。</w:t>
                  </w:r>
                </w:p>
              </w:tc>
              <w:tc>
                <w:tcPr>
                  <w:tcW w:w="1202" w:type="dxa"/>
                  <w:noWrap/>
                  <w:vAlign w:val="center"/>
                </w:tcPr>
                <w:p w14:paraId="6406B140">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新建</w:t>
                  </w:r>
                </w:p>
              </w:tc>
            </w:tr>
            <w:tr w14:paraId="76E7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689" w:type="dxa"/>
                  <w:vMerge w:val="continue"/>
                  <w:noWrap/>
                  <w:vAlign w:val="center"/>
                </w:tcPr>
                <w:p w14:paraId="06D31D05">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noWrap/>
                  <w:vAlign w:val="center"/>
                </w:tcPr>
                <w:p w14:paraId="02CE9C42">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kern w:val="0"/>
                      <w:sz w:val="21"/>
                      <w:szCs w:val="21"/>
                      <w:highlight w:val="none"/>
                    </w:rPr>
                    <w:t>炸药库</w:t>
                  </w:r>
                </w:p>
              </w:tc>
              <w:tc>
                <w:tcPr>
                  <w:tcW w:w="5456" w:type="dxa"/>
                  <w:gridSpan w:val="2"/>
                  <w:noWrap/>
                  <w:vAlign w:val="center"/>
                </w:tcPr>
                <w:p w14:paraId="149BAE07">
                  <w:pPr>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爆破器材由民爆公司提供并统一管理，矿区未设置炸药库。</w:t>
                  </w:r>
                </w:p>
              </w:tc>
              <w:tc>
                <w:tcPr>
                  <w:tcW w:w="1202" w:type="dxa"/>
                  <w:noWrap/>
                  <w:vAlign w:val="center"/>
                </w:tcPr>
                <w:p w14:paraId="739E5995">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w:t>
                  </w:r>
                </w:p>
              </w:tc>
            </w:tr>
            <w:tr w14:paraId="3983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9" w:type="dxa"/>
                  <w:vMerge w:val="restart"/>
                  <w:noWrap/>
                  <w:vAlign w:val="center"/>
                </w:tcPr>
                <w:p w14:paraId="598A465F">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公用工程</w:t>
                  </w:r>
                </w:p>
              </w:tc>
              <w:tc>
                <w:tcPr>
                  <w:tcW w:w="506" w:type="dxa"/>
                  <w:noWrap/>
                  <w:vAlign w:val="center"/>
                </w:tcPr>
                <w:p w14:paraId="67B2E079">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kern w:val="0"/>
                      <w:sz w:val="21"/>
                      <w:szCs w:val="21"/>
                      <w:highlight w:val="none"/>
                    </w:rPr>
                    <w:t>供电工程</w:t>
                  </w:r>
                </w:p>
              </w:tc>
              <w:tc>
                <w:tcPr>
                  <w:tcW w:w="5456" w:type="dxa"/>
                  <w:gridSpan w:val="2"/>
                  <w:noWrap/>
                  <w:vAlign w:val="center"/>
                </w:tcPr>
                <w:p w14:paraId="1DC2E882">
                  <w:pPr>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矿山用电主要供破碎站、行政办公生活用电、机修车间用电、矿区照明等。矿山从乐郎村10kV配电线路引入矿山，在</w:t>
                  </w:r>
                  <w:r>
                    <w:rPr>
                      <w:rFonts w:hint="eastAsia" w:cs="Times New Roman"/>
                      <w:caps w:val="0"/>
                      <w:smallCaps w:val="0"/>
                      <w:color w:val="auto"/>
                      <w:sz w:val="21"/>
                      <w:szCs w:val="21"/>
                      <w:highlight w:val="none"/>
                      <w:lang w:val="en-US" w:eastAsia="zh-CN"/>
                    </w:rPr>
                    <w:t>工业场地区</w:t>
                  </w:r>
                  <w:r>
                    <w:rPr>
                      <w:rFonts w:hint="default" w:ascii="Times New Roman" w:hAnsi="Times New Roman" w:cs="Times New Roman"/>
                      <w:caps w:val="0"/>
                      <w:smallCaps w:val="0"/>
                      <w:color w:val="auto"/>
                      <w:sz w:val="21"/>
                      <w:szCs w:val="21"/>
                      <w:highlight w:val="none"/>
                      <w:lang w:val="en-US" w:eastAsia="zh-CN"/>
                    </w:rPr>
                    <w:t>安装</w:t>
                  </w:r>
                  <w:r>
                    <w:rPr>
                      <w:rFonts w:hint="eastAsia" w:cs="Times New Roman"/>
                      <w:caps w:val="0"/>
                      <w:smallCaps w:val="0"/>
                      <w:color w:val="auto"/>
                      <w:sz w:val="21"/>
                      <w:szCs w:val="21"/>
                      <w:highlight w:val="none"/>
                      <w:lang w:val="en-US" w:eastAsia="zh-CN"/>
                    </w:rPr>
                    <w:t>1</w:t>
                  </w:r>
                  <w:r>
                    <w:rPr>
                      <w:rFonts w:hint="default" w:ascii="Times New Roman" w:hAnsi="Times New Roman" w:cs="Times New Roman"/>
                      <w:caps w:val="0"/>
                      <w:smallCaps w:val="0"/>
                      <w:color w:val="auto"/>
                      <w:sz w:val="21"/>
                      <w:szCs w:val="21"/>
                      <w:highlight w:val="none"/>
                      <w:lang w:val="en-US" w:eastAsia="zh-CN"/>
                    </w:rPr>
                    <w:t>台变压器就可以供生产、生活用电。</w:t>
                  </w:r>
                </w:p>
              </w:tc>
              <w:tc>
                <w:tcPr>
                  <w:tcW w:w="1202" w:type="dxa"/>
                  <w:noWrap/>
                  <w:vAlign w:val="center"/>
                </w:tcPr>
                <w:p w14:paraId="69305365">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sz w:val="21"/>
                      <w:szCs w:val="21"/>
                      <w:highlight w:val="none"/>
                    </w:rPr>
                    <w:t>新建</w:t>
                  </w:r>
                </w:p>
              </w:tc>
            </w:tr>
            <w:tr w14:paraId="132A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9" w:type="dxa"/>
                  <w:vMerge w:val="continue"/>
                  <w:noWrap/>
                  <w:vAlign w:val="center"/>
                </w:tcPr>
                <w:p w14:paraId="05484EB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506" w:type="dxa"/>
                  <w:noWrap/>
                  <w:vAlign w:val="center"/>
                </w:tcPr>
                <w:p w14:paraId="52EC997D">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olor w:val="auto"/>
                      <w:sz w:val="21"/>
                      <w:szCs w:val="21"/>
                      <w:highlight w:val="none"/>
                    </w:rPr>
                    <w:t>排水</w:t>
                  </w:r>
                </w:p>
              </w:tc>
              <w:tc>
                <w:tcPr>
                  <w:tcW w:w="5456" w:type="dxa"/>
                  <w:gridSpan w:val="2"/>
                  <w:noWrap/>
                  <w:vAlign w:val="center"/>
                </w:tcPr>
                <w:p w14:paraId="5A74659E">
                  <w:pPr>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aps w:val="0"/>
                      <w:smallCaps w:val="0"/>
                      <w:color w:val="auto"/>
                      <w:sz w:val="21"/>
                      <w:szCs w:val="21"/>
                      <w:highlight w:val="none"/>
                      <w:lang w:val="en-US" w:eastAsia="zh-CN"/>
                    </w:rPr>
                  </w:pPr>
                  <w:r>
                    <w:rPr>
                      <w:rFonts w:hint="default" w:cs="Times New Roman"/>
                      <w:caps w:val="0"/>
                      <w:smallCaps w:val="0"/>
                      <w:color w:val="auto"/>
                      <w:sz w:val="21"/>
                      <w:szCs w:val="21"/>
                      <w:highlight w:val="none"/>
                      <w:lang w:val="en-US" w:eastAsia="zh-CN"/>
                    </w:rPr>
                    <w:t>矿区实行“雨污分流”排水体制</w:t>
                  </w:r>
                  <w:r>
                    <w:rPr>
                      <w:rFonts w:hint="eastAsia" w:cs="Times New Roman"/>
                      <w:caps w:val="0"/>
                      <w:smallCaps w:val="0"/>
                      <w:color w:val="auto"/>
                      <w:sz w:val="21"/>
                      <w:szCs w:val="21"/>
                      <w:highlight w:val="none"/>
                      <w:lang w:val="en-US" w:eastAsia="zh-CN"/>
                    </w:rPr>
                    <w:t>。</w:t>
                  </w:r>
                </w:p>
                <w:p w14:paraId="3CC9D793">
                  <w:pPr>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办公生活区</w:t>
                  </w:r>
                  <w:r>
                    <w:rPr>
                      <w:rFonts w:hint="default" w:cs="Times New Roman"/>
                      <w:caps w:val="0"/>
                      <w:smallCaps w:val="0"/>
                      <w:color w:val="auto"/>
                      <w:sz w:val="21"/>
                      <w:szCs w:val="21"/>
                      <w:highlight w:val="none"/>
                      <w:lang w:val="en-US" w:eastAsia="zh-CN"/>
                    </w:rPr>
                    <w:t>食堂废水经隔油池预处理后同其他员工生活废水排入</w:t>
                  </w:r>
                  <w:r>
                    <w:rPr>
                      <w:rFonts w:hint="eastAsia" w:cs="Times New Roman"/>
                      <w:caps w:val="0"/>
                      <w:smallCaps w:val="0"/>
                      <w:color w:val="auto"/>
                      <w:sz w:val="21"/>
                      <w:szCs w:val="21"/>
                      <w:highlight w:val="none"/>
                      <w:lang w:val="en-US" w:eastAsia="zh-CN"/>
                    </w:rPr>
                    <w:t>化粪池</w:t>
                  </w:r>
                  <w:r>
                    <w:rPr>
                      <w:rFonts w:hint="default" w:cs="Times New Roman"/>
                      <w:caps w:val="0"/>
                      <w:smallCaps w:val="0"/>
                      <w:color w:val="auto"/>
                      <w:sz w:val="21"/>
                      <w:szCs w:val="21"/>
                      <w:highlight w:val="none"/>
                      <w:lang w:val="en-US" w:eastAsia="zh-CN"/>
                    </w:rPr>
                    <w:t>处理，</w:t>
                  </w:r>
                  <w:r>
                    <w:rPr>
                      <w:rFonts w:hint="eastAsia" w:cs="Times New Roman"/>
                      <w:caps w:val="0"/>
                      <w:smallCaps w:val="0"/>
                      <w:color w:val="auto"/>
                      <w:sz w:val="21"/>
                      <w:szCs w:val="21"/>
                      <w:highlight w:val="none"/>
                      <w:lang w:val="en-US" w:eastAsia="zh-CN"/>
                    </w:rPr>
                    <w:t>定期清掏用作农肥。</w:t>
                  </w:r>
                </w:p>
                <w:p w14:paraId="34227E69">
                  <w:pPr>
                    <w:keepNext w:val="0"/>
                    <w:keepLines w:val="0"/>
                    <w:pageBreakBefore w:val="0"/>
                    <w:kinsoku/>
                    <w:wordWrap/>
                    <w:overflowPunct/>
                    <w:topLinePunct w:val="0"/>
                    <w:autoSpaceDE/>
                    <w:autoSpaceDN/>
                    <w:bidi w:val="0"/>
                    <w:spacing w:line="240" w:lineRule="auto"/>
                    <w:ind w:firstLine="0" w:firstLineChars="0"/>
                    <w:jc w:val="both"/>
                    <w:textAlignment w:val="auto"/>
                    <w:rPr>
                      <w:rFonts w:hint="default"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办公生活区雨水通过修建的排水沟收集到办公生活区南侧沉砂池（容量53m</w:t>
                  </w:r>
                  <w:r>
                    <w:rPr>
                      <w:rFonts w:hint="eastAsia" w:cs="Times New Roman"/>
                      <w:caps w:val="0"/>
                      <w:smallCaps w:val="0"/>
                      <w:color w:val="auto"/>
                      <w:sz w:val="21"/>
                      <w:szCs w:val="21"/>
                      <w:highlight w:val="none"/>
                      <w:vertAlign w:val="superscript"/>
                      <w:lang w:val="en-US" w:eastAsia="zh-CN"/>
                    </w:rPr>
                    <w:t>3</w:t>
                  </w:r>
                  <w:r>
                    <w:rPr>
                      <w:rFonts w:hint="eastAsia" w:cs="Times New Roman"/>
                      <w:caps w:val="0"/>
                      <w:smallCaps w:val="0"/>
                      <w:color w:val="auto"/>
                      <w:sz w:val="21"/>
                      <w:szCs w:val="21"/>
                      <w:highlight w:val="none"/>
                      <w:lang w:val="en-US" w:eastAsia="zh-CN"/>
                    </w:rPr>
                    <w:t>），用于晴天洒水降尘，不外排。</w:t>
                  </w:r>
                </w:p>
                <w:p w14:paraId="79DBC76A">
                  <w:pPr>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道路和工业场地区雨水通过修建的排水沟收集到工业场地区南侧沉砂池（容量82m</w:t>
                  </w:r>
                  <w:r>
                    <w:rPr>
                      <w:rFonts w:hint="eastAsia" w:cs="Times New Roman"/>
                      <w:caps w:val="0"/>
                      <w:smallCaps w:val="0"/>
                      <w:color w:val="auto"/>
                      <w:sz w:val="21"/>
                      <w:szCs w:val="21"/>
                      <w:highlight w:val="none"/>
                      <w:vertAlign w:val="superscript"/>
                      <w:lang w:val="en-US" w:eastAsia="zh-CN"/>
                    </w:rPr>
                    <w:t>3</w:t>
                  </w:r>
                  <w:r>
                    <w:rPr>
                      <w:rFonts w:hint="eastAsia" w:cs="Times New Roman"/>
                      <w:caps w:val="0"/>
                      <w:smallCaps w:val="0"/>
                      <w:color w:val="auto"/>
                      <w:sz w:val="21"/>
                      <w:szCs w:val="21"/>
                      <w:highlight w:val="none"/>
                      <w:lang w:val="en-US" w:eastAsia="zh-CN"/>
                    </w:rPr>
                    <w:t>），用于晴天洒水降尘，不外排。</w:t>
                  </w:r>
                </w:p>
                <w:p w14:paraId="49ED128B">
                  <w:pPr>
                    <w:keepNext w:val="0"/>
                    <w:keepLines w:val="0"/>
                    <w:pageBreakBefore w:val="0"/>
                    <w:kinsoku/>
                    <w:wordWrap/>
                    <w:overflowPunct/>
                    <w:topLinePunct w:val="0"/>
                    <w:autoSpaceDE/>
                    <w:autoSpaceDN/>
                    <w:bidi w:val="0"/>
                    <w:spacing w:line="240" w:lineRule="auto"/>
                    <w:ind w:firstLine="0" w:firstLineChars="0"/>
                    <w:jc w:val="both"/>
                    <w:textAlignment w:val="auto"/>
                    <w:rPr>
                      <w:rFonts w:hint="default"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露天开采区雨水通过采区底部修建的排水沟收集到采区最低处的沉砂池（容量205m</w:t>
                  </w:r>
                  <w:r>
                    <w:rPr>
                      <w:rFonts w:hint="eastAsia" w:cs="Times New Roman"/>
                      <w:caps w:val="0"/>
                      <w:smallCaps w:val="0"/>
                      <w:color w:val="auto"/>
                      <w:sz w:val="21"/>
                      <w:szCs w:val="21"/>
                      <w:highlight w:val="none"/>
                      <w:vertAlign w:val="superscript"/>
                      <w:lang w:val="en-US" w:eastAsia="zh-CN"/>
                    </w:rPr>
                    <w:t>3</w:t>
                  </w:r>
                  <w:r>
                    <w:rPr>
                      <w:rFonts w:hint="eastAsia" w:cs="Times New Roman"/>
                      <w:caps w:val="0"/>
                      <w:smallCaps w:val="0"/>
                      <w:color w:val="auto"/>
                      <w:sz w:val="21"/>
                      <w:szCs w:val="21"/>
                      <w:highlight w:val="none"/>
                      <w:lang w:val="en-US" w:eastAsia="zh-CN"/>
                    </w:rPr>
                    <w:t>），用于晴天洒水降尘，不外排；</w:t>
                  </w:r>
                  <w:r>
                    <w:rPr>
                      <w:rFonts w:hint="default" w:cs="Times New Roman"/>
                      <w:caps w:val="0"/>
                      <w:smallCaps w:val="0"/>
                      <w:color w:val="auto"/>
                      <w:sz w:val="21"/>
                      <w:szCs w:val="21"/>
                      <w:highlight w:val="none"/>
                      <w:lang w:val="en-US" w:eastAsia="zh-CN"/>
                    </w:rPr>
                    <w:t>在各台阶设置简易排水沟，台阶汇水通过简易排水沟直接排出矿区。</w:t>
                  </w:r>
                </w:p>
                <w:p w14:paraId="1C72D4AC">
                  <w:pPr>
                    <w:keepNext w:val="0"/>
                    <w:keepLines w:val="0"/>
                    <w:pageBreakBefore w:val="0"/>
                    <w:kinsoku/>
                    <w:wordWrap/>
                    <w:overflowPunct/>
                    <w:topLinePunct w:val="0"/>
                    <w:autoSpaceDE/>
                    <w:autoSpaceDN/>
                    <w:bidi w:val="0"/>
                    <w:spacing w:line="240" w:lineRule="auto"/>
                    <w:ind w:firstLine="0" w:firstLineChars="0"/>
                    <w:jc w:val="both"/>
                    <w:textAlignment w:val="auto"/>
                    <w:rPr>
                      <w:rFonts w:hint="default"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临时表土堆场雨水通过排水沟收集到最低处的沉砂池（容量6m</w:t>
                  </w:r>
                  <w:r>
                    <w:rPr>
                      <w:rFonts w:hint="eastAsia" w:cs="Times New Roman"/>
                      <w:caps w:val="0"/>
                      <w:smallCaps w:val="0"/>
                      <w:color w:val="auto"/>
                      <w:sz w:val="21"/>
                      <w:szCs w:val="21"/>
                      <w:highlight w:val="none"/>
                      <w:vertAlign w:val="superscript"/>
                      <w:lang w:val="en-US" w:eastAsia="zh-CN"/>
                    </w:rPr>
                    <w:t>3</w:t>
                  </w:r>
                  <w:r>
                    <w:rPr>
                      <w:rFonts w:hint="eastAsia" w:cs="Times New Roman"/>
                      <w:caps w:val="0"/>
                      <w:smallCaps w:val="0"/>
                      <w:color w:val="auto"/>
                      <w:sz w:val="21"/>
                      <w:szCs w:val="21"/>
                      <w:highlight w:val="none"/>
                      <w:lang w:val="en-US" w:eastAsia="zh-CN"/>
                    </w:rPr>
                    <w:t>），用于晴天洒水降尘，不外排。</w:t>
                  </w:r>
                </w:p>
              </w:tc>
              <w:tc>
                <w:tcPr>
                  <w:tcW w:w="1202" w:type="dxa"/>
                  <w:noWrap/>
                  <w:vAlign w:val="center"/>
                </w:tcPr>
                <w:p w14:paraId="1BD9AEFA">
                  <w:pPr>
                    <w:pStyle w:val="21"/>
                    <w:snapToGrid/>
                    <w:spacing w:line="240" w:lineRule="auto"/>
                    <w:ind w:firstLine="0" w:firstLineChars="0"/>
                    <w:jc w:val="center"/>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sz w:val="21"/>
                      <w:szCs w:val="21"/>
                      <w:highlight w:val="none"/>
                    </w:rPr>
                    <w:t>新建</w:t>
                  </w:r>
                </w:p>
              </w:tc>
            </w:tr>
            <w:tr w14:paraId="118E2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9" w:type="dxa"/>
                  <w:vMerge w:val="continue"/>
                  <w:noWrap/>
                  <w:vAlign w:val="center"/>
                </w:tcPr>
                <w:p w14:paraId="25756E1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506" w:type="dxa"/>
                  <w:noWrap/>
                  <w:vAlign w:val="center"/>
                </w:tcPr>
                <w:p w14:paraId="1551DF00">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sz w:val="21"/>
                      <w:szCs w:val="21"/>
                      <w:highlight w:val="none"/>
                    </w:rPr>
                    <w:t>供水工程</w:t>
                  </w:r>
                </w:p>
              </w:tc>
              <w:tc>
                <w:tcPr>
                  <w:tcW w:w="5456" w:type="dxa"/>
                  <w:gridSpan w:val="2"/>
                  <w:noWrap/>
                  <w:vAlign w:val="center"/>
                </w:tcPr>
                <w:p w14:paraId="005BCA65">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露天采</w:t>
                  </w:r>
                  <w:r>
                    <w:rPr>
                      <w:rFonts w:hint="default" w:ascii="Times New Roman" w:hAnsi="Times New Roman" w:cs="Times New Roman"/>
                      <w:caps w:val="0"/>
                      <w:smallCaps w:val="0"/>
                      <w:color w:val="auto"/>
                      <w:sz w:val="21"/>
                      <w:szCs w:val="21"/>
                      <w:highlight w:val="none"/>
                      <w:lang w:val="en-US" w:eastAsia="zh-CN"/>
                    </w:rPr>
                    <w:t>区</w:t>
                  </w:r>
                  <w:r>
                    <w:rPr>
                      <w:rFonts w:hint="eastAsia" w:cs="Times New Roman"/>
                      <w:caps w:val="0"/>
                      <w:smallCaps w:val="0"/>
                      <w:color w:val="auto"/>
                      <w:sz w:val="21"/>
                      <w:szCs w:val="21"/>
                      <w:highlight w:val="none"/>
                      <w:lang w:val="en-US" w:eastAsia="zh-CN"/>
                    </w:rPr>
                    <w:t>西侧及工业场地区北侧各1个蓄水罐，容量均为20m</w:t>
                  </w:r>
                  <w:r>
                    <w:rPr>
                      <w:rFonts w:hint="eastAsia" w:cs="Times New Roman"/>
                      <w:caps w:val="0"/>
                      <w:smallCaps w:val="0"/>
                      <w:color w:val="auto"/>
                      <w:sz w:val="21"/>
                      <w:szCs w:val="21"/>
                      <w:highlight w:val="none"/>
                      <w:vertAlign w:val="superscript"/>
                      <w:lang w:val="en-US" w:eastAsia="zh-CN"/>
                    </w:rPr>
                    <w:t>3</w:t>
                  </w:r>
                  <w:r>
                    <w:rPr>
                      <w:rFonts w:hint="default" w:ascii="Times New Roman" w:hAnsi="Times New Roman" w:cs="Times New Roman"/>
                      <w:caps w:val="0"/>
                      <w:smallCaps w:val="0"/>
                      <w:color w:val="auto"/>
                      <w:sz w:val="21"/>
                      <w:szCs w:val="21"/>
                      <w:highlight w:val="none"/>
                      <w:lang w:val="en-US" w:eastAsia="zh-CN"/>
                    </w:rPr>
                    <w:t>。用于满足矿山生产、生活及消防用水。</w:t>
                  </w:r>
                </w:p>
              </w:tc>
              <w:tc>
                <w:tcPr>
                  <w:tcW w:w="1202" w:type="dxa"/>
                  <w:noWrap/>
                  <w:vAlign w:val="center"/>
                </w:tcPr>
                <w:p w14:paraId="77ECD4CF">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新建</w:t>
                  </w:r>
                </w:p>
              </w:tc>
            </w:tr>
            <w:tr w14:paraId="0B78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9" w:type="dxa"/>
                  <w:vMerge w:val="continue"/>
                  <w:noWrap/>
                  <w:vAlign w:val="center"/>
                </w:tcPr>
                <w:p w14:paraId="78BF816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506" w:type="dxa"/>
                  <w:vMerge w:val="restart"/>
                  <w:noWrap/>
                  <w:vAlign w:val="center"/>
                </w:tcPr>
                <w:p w14:paraId="18C5FC64">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道路工程</w:t>
                  </w:r>
                </w:p>
              </w:tc>
              <w:tc>
                <w:tcPr>
                  <w:tcW w:w="1220" w:type="dxa"/>
                  <w:noWrap/>
                  <w:vAlign w:val="center"/>
                </w:tcPr>
                <w:p w14:paraId="5244C17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内部道路</w:t>
                  </w:r>
                </w:p>
              </w:tc>
              <w:tc>
                <w:tcPr>
                  <w:tcW w:w="4236" w:type="dxa"/>
                  <w:noWrap/>
                  <w:vAlign w:val="center"/>
                </w:tcPr>
                <w:p w14:paraId="174511E3">
                  <w:pPr>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现有项目已完成从矿区（矿2拐点）西北侧已有的森林防火通道处修建一条进场通道至露天开采区长约130m、路面宽6m，现有交通条件可以满足入场要求，本项目无需另行修建进场道路。</w:t>
                  </w:r>
                </w:p>
                <w:p w14:paraId="60EB2F6A">
                  <w:pPr>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本项目新建矿区内部道路491.92m，路面宽6m、路肩宽0.5m。</w:t>
                  </w:r>
                </w:p>
              </w:tc>
              <w:tc>
                <w:tcPr>
                  <w:tcW w:w="1202" w:type="dxa"/>
                  <w:noWrap/>
                  <w:vAlign w:val="center"/>
                </w:tcPr>
                <w:p w14:paraId="7C6AB6AC">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sz w:val="21"/>
                      <w:szCs w:val="21"/>
                      <w:highlight w:val="none"/>
                    </w:rPr>
                    <w:t>新建</w:t>
                  </w:r>
                </w:p>
              </w:tc>
            </w:tr>
            <w:tr w14:paraId="7511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89" w:type="dxa"/>
                  <w:vMerge w:val="continue"/>
                  <w:noWrap/>
                  <w:vAlign w:val="center"/>
                </w:tcPr>
                <w:p w14:paraId="690FB6F4">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1B89EE5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1220" w:type="dxa"/>
                  <w:noWrap/>
                  <w:vAlign w:val="center"/>
                </w:tcPr>
                <w:p w14:paraId="6C99707C">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外部道路</w:t>
                  </w:r>
                </w:p>
              </w:tc>
              <w:tc>
                <w:tcPr>
                  <w:tcW w:w="4236" w:type="dxa"/>
                  <w:noWrap/>
                  <w:vAlign w:val="center"/>
                </w:tcPr>
                <w:p w14:paraId="4959E150">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自项目区</w:t>
                  </w:r>
                  <w:r>
                    <w:rPr>
                      <w:rFonts w:hint="eastAsia" w:cs="Times New Roman"/>
                      <w:caps w:val="0"/>
                      <w:smallCaps w:val="0"/>
                      <w:color w:val="auto"/>
                      <w:sz w:val="21"/>
                      <w:szCs w:val="21"/>
                      <w:highlight w:val="none"/>
                      <w:lang w:val="en-US" w:eastAsia="zh-CN"/>
                    </w:rPr>
                    <w:t>西</w:t>
                  </w:r>
                  <w:r>
                    <w:rPr>
                      <w:rFonts w:hint="default" w:ascii="Times New Roman" w:hAnsi="Times New Roman" w:cs="Times New Roman"/>
                      <w:caps w:val="0"/>
                      <w:smallCaps w:val="0"/>
                      <w:color w:val="auto"/>
                      <w:sz w:val="21"/>
                      <w:szCs w:val="21"/>
                      <w:highlight w:val="none"/>
                      <w:lang w:val="en-US" w:eastAsia="zh-CN"/>
                    </w:rPr>
                    <w:t>侧裨子田村附近已修建一条乡村道路连接到项目</w:t>
                  </w:r>
                  <w:r>
                    <w:rPr>
                      <w:rFonts w:hint="eastAsia" w:cs="Times New Roman"/>
                      <w:caps w:val="0"/>
                      <w:smallCaps w:val="0"/>
                      <w:color w:val="auto"/>
                      <w:sz w:val="21"/>
                      <w:szCs w:val="21"/>
                      <w:highlight w:val="none"/>
                      <w:lang w:val="en-US" w:eastAsia="zh-CN"/>
                    </w:rPr>
                    <w:t>办公生活区、</w:t>
                  </w:r>
                  <w:r>
                    <w:rPr>
                      <w:rFonts w:hint="default" w:ascii="Times New Roman" w:hAnsi="Times New Roman" w:cs="Times New Roman"/>
                      <w:caps w:val="0"/>
                      <w:smallCaps w:val="0"/>
                      <w:color w:val="auto"/>
                      <w:sz w:val="21"/>
                      <w:szCs w:val="21"/>
                      <w:highlight w:val="none"/>
                      <w:lang w:val="en-US" w:eastAsia="zh-CN"/>
                    </w:rPr>
                    <w:t>工业场地，供物料运输车辆出入。现有交通条件可以满足入场要求，无需另行修建进场道路。</w:t>
                  </w:r>
                </w:p>
              </w:tc>
              <w:tc>
                <w:tcPr>
                  <w:tcW w:w="1202" w:type="dxa"/>
                  <w:noWrap/>
                  <w:vAlign w:val="center"/>
                </w:tcPr>
                <w:p w14:paraId="1BC53BCC">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caps w:val="0"/>
                      <w:smallCaps w:val="0"/>
                      <w:color w:val="auto"/>
                      <w:sz w:val="21"/>
                      <w:szCs w:val="21"/>
                      <w:highlight w:val="none"/>
                      <w:lang w:eastAsia="zh-CN"/>
                    </w:rPr>
                  </w:pPr>
                  <w:r>
                    <w:rPr>
                      <w:rFonts w:hint="eastAsia" w:cs="Times New Roman"/>
                      <w:caps w:val="0"/>
                      <w:smallCaps w:val="0"/>
                      <w:color w:val="auto"/>
                      <w:sz w:val="21"/>
                      <w:szCs w:val="21"/>
                      <w:highlight w:val="none"/>
                      <w:lang w:val="en-US" w:eastAsia="zh-CN"/>
                    </w:rPr>
                    <w:t>/</w:t>
                  </w:r>
                </w:p>
              </w:tc>
            </w:tr>
            <w:tr w14:paraId="4E4E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9" w:type="dxa"/>
                  <w:vMerge w:val="restart"/>
                  <w:noWrap/>
                  <w:vAlign w:val="center"/>
                </w:tcPr>
                <w:p w14:paraId="640398F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环保工程</w:t>
                  </w:r>
                </w:p>
              </w:tc>
              <w:tc>
                <w:tcPr>
                  <w:tcW w:w="506" w:type="dxa"/>
                  <w:vMerge w:val="restart"/>
                  <w:noWrap/>
                  <w:vAlign w:val="center"/>
                </w:tcPr>
                <w:p w14:paraId="68B7D11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废气治理设施</w:t>
                  </w:r>
                </w:p>
              </w:tc>
              <w:tc>
                <w:tcPr>
                  <w:tcW w:w="1220" w:type="dxa"/>
                  <w:noWrap/>
                  <w:vAlign w:val="center"/>
                </w:tcPr>
                <w:p w14:paraId="4A3A3CA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雾炮</w:t>
                  </w:r>
                  <w:r>
                    <w:rPr>
                      <w:rFonts w:hint="default" w:ascii="Times New Roman" w:hAnsi="Times New Roman" w:cs="Times New Roman"/>
                      <w:caps w:val="0"/>
                      <w:smallCaps w:val="0"/>
                      <w:color w:val="auto"/>
                      <w:sz w:val="21"/>
                      <w:szCs w:val="21"/>
                      <w:highlight w:val="none"/>
                      <w:lang w:val="en-US" w:eastAsia="zh-CN"/>
                    </w:rPr>
                    <w:t>除尘设施</w:t>
                  </w:r>
                </w:p>
              </w:tc>
              <w:tc>
                <w:tcPr>
                  <w:tcW w:w="4236" w:type="dxa"/>
                  <w:noWrap/>
                  <w:vAlign w:val="center"/>
                </w:tcPr>
                <w:p w14:paraId="6C7A61E8">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配置</w:t>
                  </w:r>
                  <w:r>
                    <w:rPr>
                      <w:rFonts w:hint="eastAsia" w:cs="Times New Roman"/>
                      <w:caps w:val="0"/>
                      <w:smallCaps w:val="0"/>
                      <w:color w:val="auto"/>
                      <w:sz w:val="21"/>
                      <w:szCs w:val="21"/>
                      <w:highlight w:val="none"/>
                      <w:lang w:val="en-US" w:eastAsia="zh-CN"/>
                    </w:rPr>
                    <w:t>1台雾炮机</w:t>
                  </w:r>
                  <w:r>
                    <w:rPr>
                      <w:rFonts w:hint="default" w:ascii="Times New Roman" w:hAnsi="Times New Roman" w:cs="Times New Roman"/>
                      <w:caps w:val="0"/>
                      <w:smallCaps w:val="0"/>
                      <w:color w:val="auto"/>
                      <w:sz w:val="21"/>
                      <w:szCs w:val="21"/>
                      <w:highlight w:val="none"/>
                      <w:lang w:val="en-US" w:eastAsia="zh-CN"/>
                    </w:rPr>
                    <w:t>，用于采矿区洒水降尘。</w:t>
                  </w:r>
                </w:p>
              </w:tc>
              <w:tc>
                <w:tcPr>
                  <w:tcW w:w="1202" w:type="dxa"/>
                  <w:noWrap/>
                  <w:vAlign w:val="center"/>
                </w:tcPr>
                <w:p w14:paraId="65A46EF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aps w:val="0"/>
                      <w:smallCaps w:val="0"/>
                      <w:color w:val="auto"/>
                      <w:sz w:val="21"/>
                      <w:szCs w:val="21"/>
                      <w:highlight w:val="none"/>
                      <w:lang w:eastAsia="zh-CN"/>
                    </w:rPr>
                  </w:pPr>
                  <w:r>
                    <w:rPr>
                      <w:rFonts w:hint="default" w:ascii="Times New Roman" w:hAnsi="Times New Roman" w:cs="Times New Roman"/>
                      <w:caps w:val="0"/>
                      <w:smallCaps w:val="0"/>
                      <w:color w:val="auto"/>
                      <w:sz w:val="21"/>
                      <w:szCs w:val="21"/>
                      <w:highlight w:val="none"/>
                      <w:lang w:eastAsia="zh-CN"/>
                    </w:rPr>
                    <w:t>环评提出</w:t>
                  </w:r>
                </w:p>
              </w:tc>
            </w:tr>
            <w:tr w14:paraId="4773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9" w:type="dxa"/>
                  <w:vMerge w:val="continue"/>
                  <w:noWrap/>
                  <w:vAlign w:val="center"/>
                </w:tcPr>
                <w:p w14:paraId="6E5F3919">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19A0225C">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1220" w:type="dxa"/>
                  <w:noWrap/>
                  <w:vAlign w:val="center"/>
                </w:tcPr>
                <w:p w14:paraId="2CDB567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道路洒水车</w:t>
                  </w:r>
                </w:p>
              </w:tc>
              <w:tc>
                <w:tcPr>
                  <w:tcW w:w="4236" w:type="dxa"/>
                  <w:noWrap/>
                  <w:vAlign w:val="center"/>
                </w:tcPr>
                <w:p w14:paraId="5B82D23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项目配备1辆洒水车，用于道路洒水降尘。</w:t>
                  </w:r>
                </w:p>
              </w:tc>
              <w:tc>
                <w:tcPr>
                  <w:tcW w:w="1202" w:type="dxa"/>
                  <w:noWrap/>
                  <w:vAlign w:val="center"/>
                </w:tcPr>
                <w:p w14:paraId="15F4614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lang w:eastAsia="zh-CN"/>
                    </w:rPr>
                    <w:t>环评提出</w:t>
                  </w:r>
                </w:p>
              </w:tc>
            </w:tr>
            <w:tr w14:paraId="4AC4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9" w:type="dxa"/>
                  <w:vMerge w:val="continue"/>
                  <w:noWrap/>
                  <w:vAlign w:val="center"/>
                </w:tcPr>
                <w:p w14:paraId="2C22C169">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68C71B5B">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1220" w:type="dxa"/>
                  <w:noWrap/>
                  <w:vAlign w:val="center"/>
                </w:tcPr>
                <w:p w14:paraId="36B3ADD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破碎站破碎筛分机封闭收集+布袋除尘器+15m高排气筒</w:t>
                  </w:r>
                </w:p>
              </w:tc>
              <w:tc>
                <w:tcPr>
                  <w:tcW w:w="4236" w:type="dxa"/>
                  <w:noWrap/>
                  <w:vAlign w:val="center"/>
                </w:tcPr>
                <w:p w14:paraId="2DA03DC3">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项目一级破碎、二级破碎、筛分、制砂的产尘点拟分别设置彩钢瓦封闭隔间负压收集装置，产生的颗粒物经收集后进入1台布袋除尘器处理，最终经1根高度为15m高的排气筒排放。封闭隔间负压收集效率按90%，布袋除尘器风量为</w:t>
                  </w:r>
                  <w:r>
                    <w:rPr>
                      <w:rFonts w:hint="eastAsia" w:cs="Times New Roman"/>
                      <w:caps w:val="0"/>
                      <w:smallCaps w:val="0"/>
                      <w:color w:val="auto"/>
                      <w:sz w:val="21"/>
                      <w:szCs w:val="21"/>
                      <w:highlight w:val="none"/>
                      <w:lang w:val="en-US" w:eastAsia="zh-CN"/>
                    </w:rPr>
                    <w:t>2</w:t>
                  </w:r>
                  <w:r>
                    <w:rPr>
                      <w:rFonts w:hint="default" w:ascii="Times New Roman" w:hAnsi="Times New Roman" w:cs="Times New Roman"/>
                      <w:caps w:val="0"/>
                      <w:smallCaps w:val="0"/>
                      <w:color w:val="auto"/>
                      <w:sz w:val="21"/>
                      <w:szCs w:val="21"/>
                      <w:highlight w:val="none"/>
                      <w:lang w:val="en-US" w:eastAsia="zh-CN"/>
                    </w:rPr>
                    <w:t>0000m</w:t>
                  </w:r>
                  <w:r>
                    <w:rPr>
                      <w:rFonts w:hint="default" w:ascii="Times New Roman" w:hAnsi="Times New Roman" w:cs="Times New Roman"/>
                      <w:caps w:val="0"/>
                      <w:smallCaps w:val="0"/>
                      <w:color w:val="auto"/>
                      <w:sz w:val="21"/>
                      <w:szCs w:val="21"/>
                      <w:highlight w:val="none"/>
                      <w:vertAlign w:val="superscript"/>
                      <w:lang w:val="en-US" w:eastAsia="zh-CN"/>
                    </w:rPr>
                    <w:t>3</w:t>
                  </w:r>
                  <w:r>
                    <w:rPr>
                      <w:rFonts w:hint="default" w:ascii="Times New Roman" w:hAnsi="Times New Roman" w:cs="Times New Roman"/>
                      <w:caps w:val="0"/>
                      <w:smallCaps w:val="0"/>
                      <w:color w:val="auto"/>
                      <w:sz w:val="21"/>
                      <w:szCs w:val="21"/>
                      <w:highlight w:val="none"/>
                      <w:lang w:val="en-US" w:eastAsia="zh-CN"/>
                    </w:rPr>
                    <w:t>/h，除尘效率为99%。</w:t>
                  </w:r>
                </w:p>
              </w:tc>
              <w:tc>
                <w:tcPr>
                  <w:tcW w:w="1202" w:type="dxa"/>
                  <w:noWrap/>
                  <w:vAlign w:val="center"/>
                </w:tcPr>
                <w:p w14:paraId="0587E5B6">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lang w:eastAsia="zh-CN"/>
                    </w:rPr>
                    <w:t>环评提出</w:t>
                  </w:r>
                </w:p>
              </w:tc>
            </w:tr>
            <w:tr w14:paraId="3022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9" w:type="dxa"/>
                  <w:vMerge w:val="continue"/>
                  <w:noWrap/>
                  <w:vAlign w:val="center"/>
                </w:tcPr>
                <w:p w14:paraId="146F018F">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3D9B891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1220" w:type="dxa"/>
                  <w:noWrap/>
                  <w:vAlign w:val="center"/>
                </w:tcPr>
                <w:p w14:paraId="4F26AF80">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运输皮带除尘系统</w:t>
                  </w:r>
                </w:p>
              </w:tc>
              <w:tc>
                <w:tcPr>
                  <w:tcW w:w="4236" w:type="dxa"/>
                  <w:noWrap/>
                  <w:vAlign w:val="center"/>
                </w:tcPr>
                <w:p w14:paraId="1B6ED26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皮带运输系统廊道采用彩钢瓦进行封闭，进料口、下料口采用喷淋装置洒水降尘措施。</w:t>
                  </w:r>
                </w:p>
              </w:tc>
              <w:tc>
                <w:tcPr>
                  <w:tcW w:w="1202" w:type="dxa"/>
                  <w:noWrap/>
                  <w:vAlign w:val="center"/>
                </w:tcPr>
                <w:p w14:paraId="198ED42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lang w:eastAsia="zh-CN"/>
                    </w:rPr>
                    <w:t>环评提出</w:t>
                  </w:r>
                </w:p>
              </w:tc>
            </w:tr>
            <w:tr w14:paraId="5357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9" w:type="dxa"/>
                  <w:vMerge w:val="continue"/>
                  <w:noWrap/>
                  <w:vAlign w:val="center"/>
                </w:tcPr>
                <w:p w14:paraId="4041120E">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4B6BA369">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1220" w:type="dxa"/>
                  <w:noWrap/>
                  <w:vAlign w:val="center"/>
                </w:tcPr>
                <w:p w14:paraId="78DE3188">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砂料堆场大棚</w:t>
                  </w:r>
                </w:p>
              </w:tc>
              <w:tc>
                <w:tcPr>
                  <w:tcW w:w="4236" w:type="dxa"/>
                  <w:noWrap/>
                  <w:vAlign w:val="center"/>
                </w:tcPr>
                <w:p w14:paraId="2ADD153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砂料堆场大棚进行三面+顶棚封闭处理，并对大棚</w:t>
                  </w:r>
                  <w:r>
                    <w:rPr>
                      <w:rFonts w:hint="eastAsia" w:cs="Times New Roman"/>
                      <w:caps w:val="0"/>
                      <w:smallCaps w:val="0"/>
                      <w:color w:val="auto"/>
                      <w:sz w:val="21"/>
                      <w:szCs w:val="21"/>
                      <w:highlight w:val="none"/>
                      <w:lang w:val="en-US" w:eastAsia="zh-CN"/>
                    </w:rPr>
                    <w:t>内</w:t>
                  </w:r>
                  <w:r>
                    <w:rPr>
                      <w:rFonts w:hint="default" w:ascii="Times New Roman" w:hAnsi="Times New Roman" w:cs="Times New Roman"/>
                      <w:caps w:val="0"/>
                      <w:smallCaps w:val="0"/>
                      <w:color w:val="auto"/>
                      <w:sz w:val="21"/>
                      <w:szCs w:val="21"/>
                      <w:highlight w:val="none"/>
                      <w:lang w:val="en-US" w:eastAsia="zh-CN"/>
                    </w:rPr>
                    <w:t>设置</w:t>
                  </w:r>
                  <w:r>
                    <w:rPr>
                      <w:rFonts w:hint="eastAsia" w:cs="Times New Roman"/>
                      <w:caps w:val="0"/>
                      <w:smallCaps w:val="0"/>
                      <w:color w:val="auto"/>
                      <w:sz w:val="21"/>
                      <w:szCs w:val="21"/>
                      <w:highlight w:val="none"/>
                      <w:lang w:val="en-US" w:eastAsia="zh-CN"/>
                    </w:rPr>
                    <w:t>2套</w:t>
                  </w:r>
                  <w:r>
                    <w:rPr>
                      <w:rFonts w:hint="default" w:ascii="Times New Roman" w:hAnsi="Times New Roman" w:cs="Times New Roman"/>
                      <w:caps w:val="0"/>
                      <w:smallCaps w:val="0"/>
                      <w:color w:val="auto"/>
                      <w:sz w:val="21"/>
                      <w:szCs w:val="21"/>
                      <w:highlight w:val="none"/>
                      <w:lang w:val="en-US" w:eastAsia="zh-CN"/>
                    </w:rPr>
                    <w:t>喷淋装置进行洒水降尘处理。</w:t>
                  </w:r>
                </w:p>
              </w:tc>
              <w:tc>
                <w:tcPr>
                  <w:tcW w:w="1202" w:type="dxa"/>
                  <w:noWrap/>
                  <w:vAlign w:val="center"/>
                </w:tcPr>
                <w:p w14:paraId="0DF8BEB5">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lang w:eastAsia="zh-CN"/>
                    </w:rPr>
                    <w:t>环评提出</w:t>
                  </w:r>
                </w:p>
              </w:tc>
            </w:tr>
            <w:tr w14:paraId="439F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689" w:type="dxa"/>
                  <w:vMerge w:val="continue"/>
                  <w:noWrap/>
                  <w:vAlign w:val="center"/>
                </w:tcPr>
                <w:p w14:paraId="0B5C9BF0">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vMerge w:val="restart"/>
                  <w:noWrap/>
                  <w:vAlign w:val="center"/>
                </w:tcPr>
                <w:p w14:paraId="03D21004">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废水治理设施</w:t>
                  </w:r>
                </w:p>
              </w:tc>
              <w:tc>
                <w:tcPr>
                  <w:tcW w:w="1220" w:type="dxa"/>
                  <w:noWrap/>
                  <w:vAlign w:val="center"/>
                </w:tcPr>
                <w:p w14:paraId="20549854">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隔油池</w:t>
                  </w:r>
                </w:p>
              </w:tc>
              <w:tc>
                <w:tcPr>
                  <w:tcW w:w="4236" w:type="dxa"/>
                  <w:noWrap/>
                  <w:vAlign w:val="center"/>
                </w:tcPr>
                <w:p w14:paraId="61A427A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在</w:t>
                  </w:r>
                  <w:r>
                    <w:rPr>
                      <w:rFonts w:hint="eastAsia" w:cs="Times New Roman"/>
                      <w:caps w:val="0"/>
                      <w:smallCaps w:val="0"/>
                      <w:color w:val="auto"/>
                      <w:sz w:val="21"/>
                      <w:szCs w:val="21"/>
                      <w:highlight w:val="none"/>
                      <w:lang w:val="en-US" w:eastAsia="zh-CN"/>
                    </w:rPr>
                    <w:t>办公生活区</w:t>
                  </w:r>
                  <w:r>
                    <w:rPr>
                      <w:rFonts w:hint="default" w:ascii="Times New Roman" w:hAnsi="Times New Roman" w:cs="Times New Roman"/>
                      <w:caps w:val="0"/>
                      <w:smallCaps w:val="0"/>
                      <w:color w:val="auto"/>
                      <w:sz w:val="21"/>
                      <w:szCs w:val="21"/>
                      <w:highlight w:val="none"/>
                      <w:lang w:val="en-US" w:eastAsia="zh-CN"/>
                    </w:rPr>
                    <w:t>食堂出水口设置一个0.</w:t>
                  </w:r>
                  <w:r>
                    <w:rPr>
                      <w:rFonts w:hint="eastAsia" w:cs="Times New Roman"/>
                      <w:caps w:val="0"/>
                      <w:smallCaps w:val="0"/>
                      <w:color w:val="auto"/>
                      <w:sz w:val="21"/>
                      <w:szCs w:val="21"/>
                      <w:highlight w:val="none"/>
                      <w:lang w:val="en-US" w:eastAsia="zh-CN"/>
                    </w:rPr>
                    <w:t>5</w:t>
                  </w:r>
                  <w:r>
                    <w:rPr>
                      <w:rFonts w:hint="default" w:ascii="Times New Roman" w:hAnsi="Times New Roman" w:cs="Times New Roman"/>
                      <w:caps w:val="0"/>
                      <w:smallCaps w:val="0"/>
                      <w:color w:val="auto"/>
                      <w:sz w:val="21"/>
                      <w:szCs w:val="21"/>
                      <w:highlight w:val="none"/>
                      <w:lang w:val="en-US" w:eastAsia="zh-CN"/>
                    </w:rPr>
                    <w:t>m</w:t>
                  </w:r>
                  <w:r>
                    <w:rPr>
                      <w:rFonts w:hint="default" w:ascii="Times New Roman" w:hAnsi="Times New Roman" w:cs="Times New Roman"/>
                      <w:caps w:val="0"/>
                      <w:smallCaps w:val="0"/>
                      <w:color w:val="auto"/>
                      <w:sz w:val="21"/>
                      <w:szCs w:val="21"/>
                      <w:highlight w:val="none"/>
                      <w:vertAlign w:val="superscript"/>
                      <w:lang w:val="en-US" w:eastAsia="zh-CN"/>
                    </w:rPr>
                    <w:t>3</w:t>
                  </w:r>
                  <w:r>
                    <w:rPr>
                      <w:rFonts w:hint="default" w:ascii="Times New Roman" w:hAnsi="Times New Roman" w:cs="Times New Roman"/>
                      <w:caps w:val="0"/>
                      <w:smallCaps w:val="0"/>
                      <w:color w:val="auto"/>
                      <w:sz w:val="21"/>
                      <w:szCs w:val="21"/>
                      <w:highlight w:val="none"/>
                      <w:lang w:val="en-US" w:eastAsia="zh-CN"/>
                    </w:rPr>
                    <w:t>的隔油池，对项目员工食堂废水进行处理。</w:t>
                  </w:r>
                </w:p>
              </w:tc>
              <w:tc>
                <w:tcPr>
                  <w:tcW w:w="1202" w:type="dxa"/>
                  <w:noWrap/>
                  <w:vAlign w:val="center"/>
                </w:tcPr>
                <w:p w14:paraId="7127C1D5">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olor w:val="auto"/>
                      <w:sz w:val="21"/>
                      <w:szCs w:val="21"/>
                      <w:highlight w:val="none"/>
                    </w:rPr>
                    <w:t>环评提出</w:t>
                  </w:r>
                </w:p>
              </w:tc>
            </w:tr>
            <w:tr w14:paraId="4334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689" w:type="dxa"/>
                  <w:vMerge w:val="continue"/>
                  <w:noWrap/>
                  <w:vAlign w:val="center"/>
                </w:tcPr>
                <w:p w14:paraId="0EE7DB8D">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47ED3AC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1220" w:type="dxa"/>
                  <w:noWrap/>
                  <w:vAlign w:val="center"/>
                </w:tcPr>
                <w:p w14:paraId="6F3F8DF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化粪池</w:t>
                  </w:r>
                </w:p>
              </w:tc>
              <w:tc>
                <w:tcPr>
                  <w:tcW w:w="4236" w:type="dxa"/>
                  <w:noWrap/>
                  <w:vAlign w:val="center"/>
                </w:tcPr>
                <w:p w14:paraId="0A14D11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在</w:t>
                  </w:r>
                  <w:r>
                    <w:rPr>
                      <w:rFonts w:hint="eastAsia" w:cs="Times New Roman"/>
                      <w:caps w:val="0"/>
                      <w:smallCaps w:val="0"/>
                      <w:color w:val="auto"/>
                      <w:sz w:val="21"/>
                      <w:szCs w:val="21"/>
                      <w:highlight w:val="none"/>
                      <w:lang w:val="en-US" w:eastAsia="zh-CN"/>
                    </w:rPr>
                    <w:t>办公生活区</w:t>
                  </w:r>
                  <w:r>
                    <w:rPr>
                      <w:rFonts w:hint="default" w:ascii="Times New Roman" w:hAnsi="Times New Roman" w:cs="Times New Roman"/>
                      <w:caps w:val="0"/>
                      <w:smallCaps w:val="0"/>
                      <w:color w:val="auto"/>
                      <w:sz w:val="21"/>
                      <w:szCs w:val="21"/>
                      <w:highlight w:val="none"/>
                      <w:lang w:val="en-US" w:eastAsia="zh-CN"/>
                    </w:rPr>
                    <w:t>设置一个5m</w:t>
                  </w:r>
                  <w:r>
                    <w:rPr>
                      <w:rFonts w:hint="default" w:ascii="Times New Roman" w:hAnsi="Times New Roman" w:cs="Times New Roman"/>
                      <w:caps w:val="0"/>
                      <w:smallCaps w:val="0"/>
                      <w:color w:val="auto"/>
                      <w:sz w:val="21"/>
                      <w:szCs w:val="21"/>
                      <w:highlight w:val="none"/>
                      <w:vertAlign w:val="superscript"/>
                      <w:lang w:val="en-US" w:eastAsia="zh-CN"/>
                    </w:rPr>
                    <w:t>3</w:t>
                  </w:r>
                  <w:r>
                    <w:rPr>
                      <w:rFonts w:hint="eastAsia" w:cs="Times New Roman"/>
                      <w:caps w:val="0"/>
                      <w:smallCaps w:val="0"/>
                      <w:color w:val="auto"/>
                      <w:sz w:val="21"/>
                      <w:szCs w:val="21"/>
                      <w:highlight w:val="none"/>
                      <w:lang w:val="en-US" w:eastAsia="zh-CN"/>
                    </w:rPr>
                    <w:t>化粪池</w:t>
                  </w:r>
                  <w:r>
                    <w:rPr>
                      <w:rFonts w:hint="default" w:ascii="Times New Roman" w:hAnsi="Times New Roman" w:cs="Times New Roman"/>
                      <w:caps w:val="0"/>
                      <w:smallCaps w:val="0"/>
                      <w:color w:val="auto"/>
                      <w:sz w:val="21"/>
                      <w:szCs w:val="21"/>
                      <w:highlight w:val="none"/>
                      <w:lang w:val="en-US" w:eastAsia="zh-CN"/>
                    </w:rPr>
                    <w:t>，对生活污水进行</w:t>
                  </w:r>
                  <w:r>
                    <w:rPr>
                      <w:rFonts w:hint="eastAsia" w:cs="Times New Roman"/>
                      <w:caps w:val="0"/>
                      <w:smallCaps w:val="0"/>
                      <w:color w:val="auto"/>
                      <w:sz w:val="21"/>
                      <w:szCs w:val="21"/>
                      <w:highlight w:val="none"/>
                      <w:lang w:val="en-US" w:eastAsia="zh-CN"/>
                    </w:rPr>
                    <w:t>收集</w:t>
                  </w:r>
                  <w:r>
                    <w:rPr>
                      <w:rFonts w:hint="default" w:ascii="Times New Roman" w:hAnsi="Times New Roman" w:cs="Times New Roman"/>
                      <w:caps w:val="0"/>
                      <w:smallCaps w:val="0"/>
                      <w:color w:val="auto"/>
                      <w:sz w:val="21"/>
                      <w:szCs w:val="21"/>
                      <w:highlight w:val="none"/>
                      <w:lang w:val="en-US" w:eastAsia="zh-CN"/>
                    </w:rPr>
                    <w:t>处理，</w:t>
                  </w:r>
                  <w:r>
                    <w:rPr>
                      <w:rFonts w:hint="eastAsia" w:cs="Times New Roman"/>
                      <w:caps w:val="0"/>
                      <w:smallCaps w:val="0"/>
                      <w:color w:val="auto"/>
                      <w:sz w:val="21"/>
                      <w:szCs w:val="21"/>
                      <w:highlight w:val="none"/>
                      <w:lang w:val="en-US" w:eastAsia="zh-CN"/>
                    </w:rPr>
                    <w:t>定期清掏用作农肥</w:t>
                  </w:r>
                  <w:r>
                    <w:rPr>
                      <w:rFonts w:hint="default" w:ascii="Times New Roman" w:hAnsi="Times New Roman" w:cs="Times New Roman"/>
                      <w:caps w:val="0"/>
                      <w:smallCaps w:val="0"/>
                      <w:color w:val="auto"/>
                      <w:sz w:val="21"/>
                      <w:szCs w:val="21"/>
                      <w:highlight w:val="none"/>
                      <w:lang w:val="en-US" w:eastAsia="zh-CN"/>
                    </w:rPr>
                    <w:t>。</w:t>
                  </w:r>
                </w:p>
              </w:tc>
              <w:tc>
                <w:tcPr>
                  <w:tcW w:w="1202" w:type="dxa"/>
                  <w:noWrap/>
                  <w:vAlign w:val="center"/>
                </w:tcPr>
                <w:p w14:paraId="2816F4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环评提出</w:t>
                  </w:r>
                </w:p>
              </w:tc>
            </w:tr>
            <w:tr w14:paraId="0843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689" w:type="dxa"/>
                  <w:vMerge w:val="continue"/>
                  <w:noWrap/>
                  <w:vAlign w:val="center"/>
                </w:tcPr>
                <w:p w14:paraId="50C04E89">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63E5667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1220" w:type="dxa"/>
                  <w:noWrap/>
                  <w:vAlign w:val="center"/>
                </w:tcPr>
                <w:p w14:paraId="0284B3C6">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汽车清洗池</w:t>
                  </w:r>
                </w:p>
              </w:tc>
              <w:tc>
                <w:tcPr>
                  <w:tcW w:w="4236" w:type="dxa"/>
                  <w:noWrap/>
                  <w:vAlign w:val="center"/>
                </w:tcPr>
                <w:p w14:paraId="4EF804E3">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caps w:val="0"/>
                      <w:smallCaps w:val="0"/>
                      <w:color w:val="auto"/>
                      <w:sz w:val="21"/>
                      <w:szCs w:val="21"/>
                      <w:highlight w:val="none"/>
                      <w:lang w:val="en-US" w:eastAsia="zh-CN"/>
                    </w:rPr>
                  </w:pPr>
                  <w:r>
                    <w:rPr>
                      <w:rFonts w:hint="eastAsia"/>
                      <w:color w:val="auto"/>
                      <w:sz w:val="21"/>
                      <w:szCs w:val="21"/>
                    </w:rPr>
                    <w:t>在厂区入口处设置1个容积为</w:t>
                  </w:r>
                  <w:r>
                    <w:rPr>
                      <w:rFonts w:hint="eastAsia"/>
                      <w:color w:val="auto"/>
                      <w:sz w:val="21"/>
                      <w:szCs w:val="21"/>
                      <w:lang w:val="en-US" w:eastAsia="zh-CN"/>
                    </w:rPr>
                    <w:t>5</w:t>
                  </w:r>
                  <w:r>
                    <w:rPr>
                      <w:rFonts w:hint="eastAsia"/>
                      <w:color w:val="auto"/>
                      <w:sz w:val="21"/>
                      <w:szCs w:val="21"/>
                    </w:rPr>
                    <w:t>m</w:t>
                  </w:r>
                  <w:r>
                    <w:rPr>
                      <w:rFonts w:hint="eastAsia"/>
                      <w:color w:val="auto"/>
                      <w:sz w:val="21"/>
                      <w:szCs w:val="21"/>
                      <w:vertAlign w:val="superscript"/>
                    </w:rPr>
                    <w:t>3</w:t>
                  </w:r>
                  <w:r>
                    <w:rPr>
                      <w:rFonts w:hint="eastAsia"/>
                      <w:color w:val="auto"/>
                      <w:sz w:val="21"/>
                      <w:szCs w:val="21"/>
                    </w:rPr>
                    <w:t>的</w:t>
                  </w:r>
                  <w:r>
                    <w:rPr>
                      <w:rFonts w:hint="eastAsia"/>
                      <w:color w:val="auto"/>
                      <w:sz w:val="21"/>
                      <w:szCs w:val="21"/>
                      <w:lang w:val="en-US" w:eastAsia="zh-CN"/>
                    </w:rPr>
                    <w:t>清洗池</w:t>
                  </w:r>
                </w:p>
              </w:tc>
              <w:tc>
                <w:tcPr>
                  <w:tcW w:w="1202" w:type="dxa"/>
                  <w:noWrap/>
                  <w:vAlign w:val="center"/>
                </w:tcPr>
                <w:p w14:paraId="563E90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环评提出</w:t>
                  </w:r>
                </w:p>
              </w:tc>
            </w:tr>
            <w:tr w14:paraId="0091E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9" w:type="dxa"/>
                  <w:vMerge w:val="continue"/>
                  <w:noWrap/>
                  <w:vAlign w:val="center"/>
                </w:tcPr>
                <w:p w14:paraId="1CE3CAFB">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0168CA0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p>
              </w:tc>
              <w:tc>
                <w:tcPr>
                  <w:tcW w:w="1220" w:type="dxa"/>
                  <w:noWrap/>
                  <w:vAlign w:val="center"/>
                </w:tcPr>
                <w:p w14:paraId="3A0C4948">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排水沟</w:t>
                  </w:r>
                </w:p>
              </w:tc>
              <w:tc>
                <w:tcPr>
                  <w:tcW w:w="4236" w:type="dxa"/>
                  <w:noWrap/>
                  <w:vAlign w:val="center"/>
                </w:tcPr>
                <w:p w14:paraId="35B7EE3B">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拟在</w:t>
                  </w:r>
                  <w:r>
                    <w:rPr>
                      <w:rFonts w:hint="eastAsia" w:cs="Times New Roman"/>
                      <w:caps w:val="0"/>
                      <w:smallCaps w:val="0"/>
                      <w:color w:val="auto"/>
                      <w:sz w:val="21"/>
                      <w:szCs w:val="21"/>
                      <w:highlight w:val="none"/>
                      <w:lang w:val="en-US" w:eastAsia="zh-CN"/>
                    </w:rPr>
                    <w:t>露天开采区底部</w:t>
                  </w:r>
                  <w:r>
                    <w:rPr>
                      <w:rFonts w:hint="default" w:ascii="Times New Roman" w:hAnsi="Times New Roman" w:cs="Times New Roman"/>
                      <w:caps w:val="0"/>
                      <w:smallCaps w:val="0"/>
                      <w:color w:val="auto"/>
                      <w:sz w:val="21"/>
                      <w:szCs w:val="21"/>
                      <w:highlight w:val="none"/>
                      <w:lang w:val="en-US" w:eastAsia="zh-CN"/>
                    </w:rPr>
                    <w:t>四周、</w:t>
                  </w:r>
                  <w:r>
                    <w:rPr>
                      <w:rFonts w:hint="eastAsia" w:cs="Times New Roman"/>
                      <w:caps w:val="0"/>
                      <w:smallCaps w:val="0"/>
                      <w:color w:val="auto"/>
                      <w:sz w:val="21"/>
                      <w:szCs w:val="21"/>
                      <w:highlight w:val="none"/>
                      <w:lang w:val="en-US" w:eastAsia="zh-CN"/>
                    </w:rPr>
                    <w:t>运输道路、工业场地区、办公生活区修建浆</w:t>
                  </w:r>
                  <w:r>
                    <w:rPr>
                      <w:rFonts w:hint="default" w:ascii="Times New Roman" w:hAnsi="Times New Roman" w:cs="Times New Roman"/>
                      <w:caps w:val="0"/>
                      <w:smallCaps w:val="0"/>
                      <w:color w:val="auto"/>
                      <w:sz w:val="21"/>
                      <w:szCs w:val="21"/>
                      <w:highlight w:val="none"/>
                      <w:lang w:val="en-US" w:eastAsia="zh-CN"/>
                    </w:rPr>
                    <w:t>砌石沟倒梯形断面，上宽1.0m，下底宽0.5m，深0.5m，水沟边壁55°的排水沟，总长1388m。</w:t>
                  </w:r>
                </w:p>
              </w:tc>
              <w:tc>
                <w:tcPr>
                  <w:tcW w:w="1202" w:type="dxa"/>
                  <w:noWrap/>
                  <w:vAlign w:val="center"/>
                </w:tcPr>
                <w:p w14:paraId="78550CA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olor w:val="auto"/>
                      <w:sz w:val="21"/>
                      <w:szCs w:val="21"/>
                      <w:highlight w:val="none"/>
                    </w:rPr>
                    <w:t>环评提出</w:t>
                  </w:r>
                </w:p>
              </w:tc>
            </w:tr>
            <w:tr w14:paraId="379D4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9" w:type="dxa"/>
                  <w:vMerge w:val="continue"/>
                  <w:noWrap/>
                  <w:vAlign w:val="center"/>
                </w:tcPr>
                <w:p w14:paraId="3F141C9D">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61A383C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p>
              </w:tc>
              <w:tc>
                <w:tcPr>
                  <w:tcW w:w="1220" w:type="dxa"/>
                  <w:noWrap/>
                  <w:vAlign w:val="center"/>
                </w:tcPr>
                <w:p w14:paraId="4898088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沉砂池</w:t>
                  </w:r>
                </w:p>
              </w:tc>
              <w:tc>
                <w:tcPr>
                  <w:tcW w:w="4236" w:type="dxa"/>
                  <w:noWrap/>
                  <w:vAlign w:val="center"/>
                </w:tcPr>
                <w:p w14:paraId="20DDF605">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在</w:t>
                  </w:r>
                  <w:r>
                    <w:rPr>
                      <w:rFonts w:hint="eastAsia" w:cs="Times New Roman"/>
                      <w:caps w:val="0"/>
                      <w:smallCaps w:val="0"/>
                      <w:color w:val="auto"/>
                      <w:sz w:val="21"/>
                      <w:szCs w:val="21"/>
                      <w:highlight w:val="none"/>
                      <w:lang w:val="en-US" w:eastAsia="zh-CN"/>
                    </w:rPr>
                    <w:t>露天开采区</w:t>
                  </w:r>
                  <w:r>
                    <w:rPr>
                      <w:rFonts w:hint="default" w:ascii="Times New Roman" w:hAnsi="Times New Roman" w:cs="Times New Roman"/>
                      <w:caps w:val="0"/>
                      <w:smallCaps w:val="0"/>
                      <w:color w:val="auto"/>
                      <w:sz w:val="21"/>
                      <w:szCs w:val="21"/>
                      <w:highlight w:val="none"/>
                      <w:lang w:val="en-US" w:eastAsia="zh-CN"/>
                    </w:rPr>
                    <w:t>下游设置1个</w:t>
                  </w:r>
                  <w:r>
                    <w:rPr>
                      <w:rFonts w:hint="eastAsia" w:cs="Times New Roman"/>
                      <w:caps w:val="0"/>
                      <w:smallCaps w:val="0"/>
                      <w:color w:val="auto"/>
                      <w:sz w:val="21"/>
                      <w:szCs w:val="21"/>
                      <w:highlight w:val="none"/>
                      <w:lang w:val="en-US" w:eastAsia="zh-CN"/>
                    </w:rPr>
                    <w:t>205m</w:t>
                  </w:r>
                  <w:r>
                    <w:rPr>
                      <w:rFonts w:hint="eastAsia" w:cs="Times New Roman"/>
                      <w:caps w:val="0"/>
                      <w:smallCaps w:val="0"/>
                      <w:color w:val="auto"/>
                      <w:sz w:val="21"/>
                      <w:szCs w:val="21"/>
                      <w:highlight w:val="none"/>
                      <w:vertAlign w:val="superscript"/>
                      <w:lang w:val="en-US" w:eastAsia="zh-CN"/>
                    </w:rPr>
                    <w:t>3</w:t>
                  </w:r>
                  <w:r>
                    <w:rPr>
                      <w:rFonts w:hint="eastAsia" w:cs="Times New Roman"/>
                      <w:caps w:val="0"/>
                      <w:smallCaps w:val="0"/>
                      <w:color w:val="auto"/>
                      <w:sz w:val="21"/>
                      <w:szCs w:val="21"/>
                      <w:highlight w:val="none"/>
                      <w:lang w:val="en-US" w:eastAsia="zh-CN"/>
                    </w:rPr>
                    <w:t>沉砂池</w:t>
                  </w:r>
                  <w:r>
                    <w:rPr>
                      <w:rFonts w:hint="default" w:ascii="Times New Roman" w:hAnsi="Times New Roman" w:cs="Times New Roman"/>
                      <w:caps w:val="0"/>
                      <w:smallCaps w:val="0"/>
                      <w:color w:val="auto"/>
                      <w:sz w:val="21"/>
                      <w:szCs w:val="21"/>
                      <w:highlight w:val="none"/>
                      <w:lang w:val="en-US" w:eastAsia="zh-CN"/>
                    </w:rPr>
                    <w:t>，工业场地</w:t>
                  </w:r>
                  <w:r>
                    <w:rPr>
                      <w:rFonts w:hint="eastAsia" w:cs="Times New Roman"/>
                      <w:caps w:val="0"/>
                      <w:smallCaps w:val="0"/>
                      <w:color w:val="auto"/>
                      <w:sz w:val="21"/>
                      <w:szCs w:val="21"/>
                      <w:highlight w:val="none"/>
                      <w:lang w:val="en-US" w:eastAsia="zh-CN"/>
                    </w:rPr>
                    <w:t>南侧</w:t>
                  </w:r>
                  <w:r>
                    <w:rPr>
                      <w:rFonts w:hint="default" w:ascii="Times New Roman" w:hAnsi="Times New Roman" w:cs="Times New Roman"/>
                      <w:caps w:val="0"/>
                      <w:smallCaps w:val="0"/>
                      <w:color w:val="auto"/>
                      <w:sz w:val="21"/>
                      <w:szCs w:val="21"/>
                      <w:highlight w:val="none"/>
                      <w:lang w:val="en-US" w:eastAsia="zh-CN"/>
                    </w:rPr>
                    <w:t>设置1个8</w:t>
                  </w:r>
                  <w:r>
                    <w:rPr>
                      <w:rFonts w:hint="eastAsia" w:cs="Times New Roman"/>
                      <w:caps w:val="0"/>
                      <w:smallCaps w:val="0"/>
                      <w:color w:val="auto"/>
                      <w:sz w:val="21"/>
                      <w:szCs w:val="21"/>
                      <w:highlight w:val="none"/>
                      <w:lang w:val="en-US" w:eastAsia="zh-CN"/>
                    </w:rPr>
                    <w:t>2</w:t>
                  </w:r>
                  <w:r>
                    <w:rPr>
                      <w:rFonts w:hint="default" w:ascii="Times New Roman" w:hAnsi="Times New Roman" w:cs="Times New Roman"/>
                      <w:caps w:val="0"/>
                      <w:smallCaps w:val="0"/>
                      <w:color w:val="auto"/>
                      <w:sz w:val="21"/>
                      <w:szCs w:val="21"/>
                      <w:highlight w:val="none"/>
                      <w:lang w:val="en-US" w:eastAsia="zh-CN"/>
                    </w:rPr>
                    <w:t>m</w:t>
                  </w:r>
                  <w:r>
                    <w:rPr>
                      <w:rFonts w:hint="default" w:ascii="Times New Roman" w:hAnsi="Times New Roman" w:cs="Times New Roman"/>
                      <w:caps w:val="0"/>
                      <w:smallCaps w:val="0"/>
                      <w:color w:val="auto"/>
                      <w:sz w:val="21"/>
                      <w:szCs w:val="21"/>
                      <w:highlight w:val="none"/>
                      <w:vertAlign w:val="superscript"/>
                      <w:lang w:val="en-US" w:eastAsia="zh-CN"/>
                    </w:rPr>
                    <w:t>3</w:t>
                  </w:r>
                  <w:r>
                    <w:rPr>
                      <w:rFonts w:hint="eastAsia" w:cs="Times New Roman"/>
                      <w:caps w:val="0"/>
                      <w:smallCaps w:val="0"/>
                      <w:color w:val="auto"/>
                      <w:sz w:val="21"/>
                      <w:szCs w:val="21"/>
                      <w:highlight w:val="none"/>
                      <w:lang w:val="en-US" w:eastAsia="zh-CN"/>
                    </w:rPr>
                    <w:t>沉砂池，临时表土堆场低处设置</w:t>
                  </w:r>
                  <w:r>
                    <w:rPr>
                      <w:rFonts w:hint="default" w:ascii="Times New Roman" w:hAnsi="Times New Roman" w:cs="Times New Roman"/>
                      <w:caps w:val="0"/>
                      <w:smallCaps w:val="0"/>
                      <w:color w:val="auto"/>
                      <w:sz w:val="21"/>
                      <w:szCs w:val="21"/>
                      <w:highlight w:val="none"/>
                      <w:lang w:val="en-US" w:eastAsia="zh-CN"/>
                    </w:rPr>
                    <w:t>1个</w:t>
                  </w:r>
                  <w:r>
                    <w:rPr>
                      <w:rFonts w:hint="eastAsia" w:cs="Times New Roman"/>
                      <w:caps w:val="0"/>
                      <w:smallCaps w:val="0"/>
                      <w:color w:val="auto"/>
                      <w:sz w:val="21"/>
                      <w:szCs w:val="21"/>
                      <w:highlight w:val="none"/>
                      <w:lang w:val="en-US" w:eastAsia="zh-CN"/>
                    </w:rPr>
                    <w:t>6</w:t>
                  </w:r>
                  <w:r>
                    <w:rPr>
                      <w:rFonts w:hint="default" w:ascii="Times New Roman" w:hAnsi="Times New Roman" w:cs="Times New Roman"/>
                      <w:caps w:val="0"/>
                      <w:smallCaps w:val="0"/>
                      <w:color w:val="auto"/>
                      <w:sz w:val="21"/>
                      <w:szCs w:val="21"/>
                      <w:highlight w:val="none"/>
                      <w:lang w:val="en-US" w:eastAsia="zh-CN"/>
                    </w:rPr>
                    <w:t>m</w:t>
                  </w:r>
                  <w:r>
                    <w:rPr>
                      <w:rFonts w:hint="default" w:ascii="Times New Roman" w:hAnsi="Times New Roman" w:cs="Times New Roman"/>
                      <w:caps w:val="0"/>
                      <w:smallCaps w:val="0"/>
                      <w:color w:val="auto"/>
                      <w:sz w:val="21"/>
                      <w:szCs w:val="21"/>
                      <w:highlight w:val="none"/>
                      <w:vertAlign w:val="superscript"/>
                      <w:lang w:val="en-US" w:eastAsia="zh-CN"/>
                    </w:rPr>
                    <w:t>3</w:t>
                  </w:r>
                  <w:r>
                    <w:rPr>
                      <w:rFonts w:hint="eastAsia" w:cs="Times New Roman"/>
                      <w:caps w:val="0"/>
                      <w:smallCaps w:val="0"/>
                      <w:color w:val="auto"/>
                      <w:sz w:val="21"/>
                      <w:szCs w:val="21"/>
                      <w:highlight w:val="none"/>
                      <w:lang w:val="en-US" w:eastAsia="zh-CN"/>
                    </w:rPr>
                    <w:t>沉砂池，办公生活区南侧设置1个53</w:t>
                  </w:r>
                  <w:r>
                    <w:rPr>
                      <w:rFonts w:hint="default" w:ascii="Times New Roman" w:hAnsi="Times New Roman" w:cs="Times New Roman"/>
                      <w:caps w:val="0"/>
                      <w:smallCaps w:val="0"/>
                      <w:color w:val="auto"/>
                      <w:sz w:val="21"/>
                      <w:szCs w:val="21"/>
                      <w:highlight w:val="none"/>
                      <w:lang w:val="en-US" w:eastAsia="zh-CN"/>
                    </w:rPr>
                    <w:t>m</w:t>
                  </w:r>
                  <w:r>
                    <w:rPr>
                      <w:rFonts w:hint="default" w:ascii="Times New Roman" w:hAnsi="Times New Roman" w:cs="Times New Roman"/>
                      <w:caps w:val="0"/>
                      <w:smallCaps w:val="0"/>
                      <w:color w:val="auto"/>
                      <w:sz w:val="21"/>
                      <w:szCs w:val="21"/>
                      <w:highlight w:val="none"/>
                      <w:vertAlign w:val="superscript"/>
                      <w:lang w:val="en-US" w:eastAsia="zh-CN"/>
                    </w:rPr>
                    <w:t>3</w:t>
                  </w:r>
                  <w:r>
                    <w:rPr>
                      <w:rFonts w:hint="eastAsia" w:cs="Times New Roman"/>
                      <w:caps w:val="0"/>
                      <w:smallCaps w:val="0"/>
                      <w:color w:val="auto"/>
                      <w:sz w:val="21"/>
                      <w:szCs w:val="21"/>
                      <w:highlight w:val="none"/>
                      <w:lang w:val="en-US" w:eastAsia="zh-CN"/>
                    </w:rPr>
                    <w:t>沉砂池</w:t>
                  </w:r>
                  <w:r>
                    <w:rPr>
                      <w:rFonts w:hint="default" w:ascii="Times New Roman" w:hAnsi="Times New Roman" w:cs="Times New Roman"/>
                      <w:caps w:val="0"/>
                      <w:smallCaps w:val="0"/>
                      <w:color w:val="auto"/>
                      <w:sz w:val="21"/>
                      <w:szCs w:val="21"/>
                      <w:highlight w:val="none"/>
                      <w:lang w:val="en-US" w:eastAsia="zh-CN"/>
                    </w:rPr>
                    <w:t>。对淋滤水</w:t>
                  </w:r>
                  <w:r>
                    <w:rPr>
                      <w:rFonts w:hint="eastAsia" w:cs="Times New Roman"/>
                      <w:caps w:val="0"/>
                      <w:smallCaps w:val="0"/>
                      <w:color w:val="auto"/>
                      <w:sz w:val="21"/>
                      <w:szCs w:val="21"/>
                      <w:highlight w:val="none"/>
                      <w:lang w:val="en-US" w:eastAsia="zh-CN"/>
                    </w:rPr>
                    <w:t>和初期雨水</w:t>
                  </w:r>
                  <w:r>
                    <w:rPr>
                      <w:rFonts w:hint="default" w:ascii="Times New Roman" w:hAnsi="Times New Roman" w:cs="Times New Roman"/>
                      <w:caps w:val="0"/>
                      <w:smallCaps w:val="0"/>
                      <w:color w:val="auto"/>
                      <w:sz w:val="21"/>
                      <w:szCs w:val="21"/>
                      <w:highlight w:val="none"/>
                      <w:lang w:val="en-US" w:eastAsia="zh-CN"/>
                    </w:rPr>
                    <w:t>进行沉淀后回用于洒水降尘。</w:t>
                  </w:r>
                </w:p>
              </w:tc>
              <w:tc>
                <w:tcPr>
                  <w:tcW w:w="1202" w:type="dxa"/>
                  <w:noWrap/>
                  <w:vAlign w:val="center"/>
                </w:tcPr>
                <w:p w14:paraId="65990B7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olor w:val="auto"/>
                      <w:sz w:val="21"/>
                      <w:szCs w:val="21"/>
                      <w:highlight w:val="none"/>
                    </w:rPr>
                    <w:t>环评提出</w:t>
                  </w:r>
                </w:p>
              </w:tc>
            </w:tr>
            <w:tr w14:paraId="754F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89" w:type="dxa"/>
                  <w:vMerge w:val="continue"/>
                  <w:noWrap/>
                  <w:vAlign w:val="center"/>
                </w:tcPr>
                <w:p w14:paraId="1649A00B">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vMerge w:val="restart"/>
                  <w:noWrap/>
                  <w:vAlign w:val="center"/>
                </w:tcPr>
                <w:p w14:paraId="5EDCD6D0">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kern w:val="0"/>
                      <w:sz w:val="21"/>
                      <w:szCs w:val="21"/>
                      <w:highlight w:val="none"/>
                    </w:rPr>
                    <w:t>噪声治理措施</w:t>
                  </w:r>
                </w:p>
              </w:tc>
              <w:tc>
                <w:tcPr>
                  <w:tcW w:w="1220" w:type="dxa"/>
                  <w:noWrap/>
                  <w:vAlign w:val="center"/>
                </w:tcPr>
                <w:p w14:paraId="6A4247F9">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彩钢瓦封闭</w:t>
                  </w:r>
                </w:p>
              </w:tc>
              <w:tc>
                <w:tcPr>
                  <w:tcW w:w="4236" w:type="dxa"/>
                  <w:noWrap/>
                  <w:vAlign w:val="center"/>
                </w:tcPr>
                <w:p w14:paraId="6BC39758">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项目破碎机、筛分机、皮带运输机等均采用彩钢瓦封闭。</w:t>
                  </w:r>
                </w:p>
              </w:tc>
              <w:tc>
                <w:tcPr>
                  <w:tcW w:w="1202" w:type="dxa"/>
                  <w:noWrap/>
                  <w:vAlign w:val="center"/>
                </w:tcPr>
                <w:p w14:paraId="05ED5560">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olor w:val="auto"/>
                      <w:sz w:val="21"/>
                      <w:szCs w:val="21"/>
                      <w:highlight w:val="none"/>
                    </w:rPr>
                    <w:t>环评提出</w:t>
                  </w:r>
                </w:p>
              </w:tc>
            </w:tr>
            <w:tr w14:paraId="7D99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89" w:type="dxa"/>
                  <w:vMerge w:val="continue"/>
                  <w:noWrap/>
                  <w:vAlign w:val="center"/>
                </w:tcPr>
                <w:p w14:paraId="64E50796">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1C0D8820">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p>
              </w:tc>
              <w:tc>
                <w:tcPr>
                  <w:tcW w:w="1220" w:type="dxa"/>
                  <w:noWrap/>
                  <w:vAlign w:val="center"/>
                </w:tcPr>
                <w:p w14:paraId="2EAAB21A">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eastAsia" w:cs="Times New Roman"/>
                      <w:caps w:val="0"/>
                      <w:smallCaps w:val="0"/>
                      <w:color w:val="auto"/>
                      <w:sz w:val="21"/>
                      <w:szCs w:val="21"/>
                      <w:highlight w:val="none"/>
                      <w:lang w:val="en-US" w:eastAsia="zh-CN"/>
                    </w:rPr>
                    <w:t>低噪声设备</w:t>
                  </w:r>
                </w:p>
              </w:tc>
              <w:tc>
                <w:tcPr>
                  <w:tcW w:w="4236" w:type="dxa"/>
                  <w:noWrap/>
                  <w:vAlign w:val="center"/>
                </w:tcPr>
                <w:p w14:paraId="0ED2D869">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项目</w:t>
                  </w:r>
                  <w:r>
                    <w:rPr>
                      <w:rFonts w:hint="eastAsia" w:cs="Times New Roman"/>
                      <w:caps w:val="0"/>
                      <w:smallCaps w:val="0"/>
                      <w:color w:val="auto"/>
                      <w:sz w:val="21"/>
                      <w:szCs w:val="21"/>
                      <w:highlight w:val="none"/>
                      <w:lang w:val="en-US" w:eastAsia="zh-CN"/>
                    </w:rPr>
                    <w:t>尽可能选用低噪声设备</w:t>
                  </w:r>
                </w:p>
              </w:tc>
              <w:tc>
                <w:tcPr>
                  <w:tcW w:w="1202" w:type="dxa"/>
                  <w:noWrap/>
                  <w:vAlign w:val="center"/>
                </w:tcPr>
                <w:p w14:paraId="03DD59E0">
                  <w:pPr>
                    <w:keepNext w:val="0"/>
                    <w:keepLines w:val="0"/>
                    <w:pageBreakBefore w:val="0"/>
                    <w:kinsoku/>
                    <w:wordWrap/>
                    <w:overflowPunct/>
                    <w:topLinePunct w:val="0"/>
                    <w:autoSpaceDE/>
                    <w:autoSpaceDN/>
                    <w:bidi w:val="0"/>
                    <w:spacing w:line="240" w:lineRule="auto"/>
                    <w:ind w:left="0" w:leftChars="0"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olor w:val="auto"/>
                      <w:sz w:val="21"/>
                      <w:szCs w:val="21"/>
                      <w:highlight w:val="none"/>
                    </w:rPr>
                    <w:t>环评提出</w:t>
                  </w:r>
                </w:p>
              </w:tc>
            </w:tr>
            <w:tr w14:paraId="4B226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89" w:type="dxa"/>
                  <w:vMerge w:val="continue"/>
                  <w:noWrap/>
                  <w:vAlign w:val="center"/>
                </w:tcPr>
                <w:p w14:paraId="300C28D1">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vMerge w:val="restart"/>
                  <w:noWrap/>
                  <w:vAlign w:val="center"/>
                </w:tcPr>
                <w:p w14:paraId="42490D0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固废治理设施</w:t>
                  </w:r>
                </w:p>
              </w:tc>
              <w:tc>
                <w:tcPr>
                  <w:tcW w:w="1220" w:type="dxa"/>
                  <w:noWrap/>
                  <w:vAlign w:val="center"/>
                </w:tcPr>
                <w:p w14:paraId="3B3CC463">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垃圾收集设施</w:t>
                  </w:r>
                </w:p>
              </w:tc>
              <w:tc>
                <w:tcPr>
                  <w:tcW w:w="4236" w:type="dxa"/>
                  <w:noWrap/>
                  <w:vAlign w:val="center"/>
                </w:tcPr>
                <w:p w14:paraId="1D74A2E5">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生活办公区布置垃圾桶。</w:t>
                  </w:r>
                </w:p>
              </w:tc>
              <w:tc>
                <w:tcPr>
                  <w:tcW w:w="1202" w:type="dxa"/>
                  <w:noWrap/>
                  <w:vAlign w:val="center"/>
                </w:tcPr>
                <w:p w14:paraId="52F7321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olor w:val="auto"/>
                      <w:sz w:val="21"/>
                      <w:szCs w:val="21"/>
                      <w:highlight w:val="none"/>
                    </w:rPr>
                    <w:t>环评提出</w:t>
                  </w:r>
                </w:p>
              </w:tc>
            </w:tr>
            <w:tr w14:paraId="34A6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9" w:type="dxa"/>
                  <w:vMerge w:val="continue"/>
                  <w:noWrap/>
                  <w:vAlign w:val="center"/>
                </w:tcPr>
                <w:p w14:paraId="3DCDCB8A">
                  <w:pPr>
                    <w:keepNext w:val="0"/>
                    <w:keepLines w:val="0"/>
                    <w:pageBreakBefore w:val="0"/>
                    <w:kinsoku/>
                    <w:wordWrap/>
                    <w:overflowPunct/>
                    <w:topLinePunct w:val="0"/>
                    <w:autoSpaceDE/>
                    <w:autoSpaceDN/>
                    <w:bidi w:val="0"/>
                    <w:spacing w:line="240" w:lineRule="auto"/>
                    <w:ind w:firstLine="0" w:firstLineChars="0"/>
                    <w:textAlignment w:val="auto"/>
                    <w:rPr>
                      <w:rFonts w:hint="default" w:ascii="Times New Roman" w:hAnsi="Times New Roman" w:cs="Times New Roman"/>
                      <w:caps w:val="0"/>
                      <w:smallCaps w:val="0"/>
                      <w:color w:val="auto"/>
                      <w:sz w:val="21"/>
                      <w:szCs w:val="21"/>
                      <w:highlight w:val="none"/>
                    </w:rPr>
                  </w:pPr>
                </w:p>
              </w:tc>
              <w:tc>
                <w:tcPr>
                  <w:tcW w:w="506" w:type="dxa"/>
                  <w:vMerge w:val="continue"/>
                  <w:noWrap/>
                  <w:vAlign w:val="center"/>
                </w:tcPr>
                <w:p w14:paraId="48951970">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kern w:val="0"/>
                      <w:sz w:val="21"/>
                      <w:szCs w:val="21"/>
                      <w:highlight w:val="none"/>
                    </w:rPr>
                  </w:pPr>
                </w:p>
              </w:tc>
              <w:tc>
                <w:tcPr>
                  <w:tcW w:w="1220" w:type="dxa"/>
                  <w:noWrap/>
                  <w:vAlign w:val="center"/>
                </w:tcPr>
                <w:p w14:paraId="59894EB8">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危废暂存间</w:t>
                  </w:r>
                </w:p>
              </w:tc>
              <w:tc>
                <w:tcPr>
                  <w:tcW w:w="4236" w:type="dxa"/>
                  <w:noWrap/>
                  <w:vAlign w:val="center"/>
                </w:tcPr>
                <w:p w14:paraId="0B4D803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本次矿山拟在</w:t>
                  </w:r>
                  <w:r>
                    <w:rPr>
                      <w:rFonts w:hint="eastAsia" w:cs="Times New Roman"/>
                      <w:caps w:val="0"/>
                      <w:smallCaps w:val="0"/>
                      <w:color w:val="auto"/>
                      <w:sz w:val="21"/>
                      <w:szCs w:val="21"/>
                      <w:highlight w:val="none"/>
                      <w:lang w:val="en-US" w:eastAsia="zh-CN"/>
                    </w:rPr>
                    <w:t>办公生活区</w:t>
                  </w:r>
                  <w:r>
                    <w:rPr>
                      <w:rFonts w:hint="default" w:ascii="Times New Roman" w:hAnsi="Times New Roman" w:cs="Times New Roman"/>
                      <w:caps w:val="0"/>
                      <w:smallCaps w:val="0"/>
                      <w:color w:val="auto"/>
                      <w:sz w:val="21"/>
                      <w:szCs w:val="21"/>
                      <w:highlight w:val="none"/>
                      <w:lang w:val="en-US" w:eastAsia="zh-CN"/>
                    </w:rPr>
                    <w:t>，新修1个5m</w:t>
                  </w:r>
                  <w:r>
                    <w:rPr>
                      <w:rFonts w:hint="default" w:ascii="Times New Roman" w:hAnsi="Times New Roman" w:cs="Times New Roman"/>
                      <w:caps w:val="0"/>
                      <w:smallCaps w:val="0"/>
                      <w:color w:val="auto"/>
                      <w:sz w:val="21"/>
                      <w:szCs w:val="21"/>
                      <w:highlight w:val="none"/>
                      <w:vertAlign w:val="superscript"/>
                      <w:lang w:val="en-US" w:eastAsia="zh-CN"/>
                    </w:rPr>
                    <w:t>2</w:t>
                  </w:r>
                  <w:r>
                    <w:rPr>
                      <w:rFonts w:hint="default" w:ascii="Times New Roman" w:hAnsi="Times New Roman" w:cs="Times New Roman"/>
                      <w:caps w:val="0"/>
                      <w:smallCaps w:val="0"/>
                      <w:color w:val="auto"/>
                      <w:sz w:val="21"/>
                      <w:szCs w:val="21"/>
                      <w:highlight w:val="none"/>
                      <w:lang w:val="en-US" w:eastAsia="zh-CN"/>
                    </w:rPr>
                    <w:t>的危废暂存间用于收集废旧机油。危废暂存间严格按照《危险废物贮存污染控制标准》（GB 18597-20</w:t>
                  </w:r>
                  <w:r>
                    <w:rPr>
                      <w:rFonts w:hint="eastAsia" w:cs="Times New Roman"/>
                      <w:caps w:val="0"/>
                      <w:smallCaps w:val="0"/>
                      <w:color w:val="auto"/>
                      <w:sz w:val="21"/>
                      <w:szCs w:val="21"/>
                      <w:highlight w:val="none"/>
                      <w:lang w:val="en-US" w:eastAsia="zh-CN"/>
                    </w:rPr>
                    <w:t>23</w:t>
                  </w:r>
                  <w:r>
                    <w:rPr>
                      <w:rFonts w:hint="default" w:ascii="Times New Roman" w:hAnsi="Times New Roman" w:cs="Times New Roman"/>
                      <w:caps w:val="0"/>
                      <w:smallCaps w:val="0"/>
                      <w:color w:val="auto"/>
                      <w:sz w:val="21"/>
                      <w:szCs w:val="21"/>
                      <w:highlight w:val="none"/>
                      <w:lang w:val="en-US" w:eastAsia="zh-CN"/>
                    </w:rPr>
                    <w:t>）中的相关要求，做好防雨、防渗，防止二次污染。地面用坚固、防渗的材料建造，建筑材料必须与危险废物相容，防渗层为2mm厚高密度聚乙烯，或2mm厚的其它人工材料（渗透系数10</w:t>
                  </w:r>
                  <w:r>
                    <w:rPr>
                      <w:rFonts w:hint="default" w:ascii="Times New Roman" w:hAnsi="Times New Roman" w:cs="Times New Roman"/>
                      <w:caps w:val="0"/>
                      <w:smallCaps w:val="0"/>
                      <w:color w:val="auto"/>
                      <w:sz w:val="21"/>
                      <w:szCs w:val="21"/>
                      <w:highlight w:val="none"/>
                      <w:vertAlign w:val="superscript"/>
                      <w:lang w:val="en-US" w:eastAsia="zh-CN"/>
                    </w:rPr>
                    <w:t>-10</w:t>
                  </w:r>
                  <w:r>
                    <w:rPr>
                      <w:rFonts w:hint="default" w:ascii="Times New Roman" w:hAnsi="Times New Roman" w:cs="Times New Roman"/>
                      <w:caps w:val="0"/>
                      <w:smallCaps w:val="0"/>
                      <w:color w:val="auto"/>
                      <w:sz w:val="21"/>
                      <w:szCs w:val="21"/>
                      <w:highlight w:val="none"/>
                      <w:lang w:val="en-US" w:eastAsia="zh-CN"/>
                    </w:rPr>
                    <w:t>cm/s）。</w:t>
                  </w:r>
                </w:p>
              </w:tc>
              <w:tc>
                <w:tcPr>
                  <w:tcW w:w="1202" w:type="dxa"/>
                  <w:noWrap/>
                  <w:vAlign w:val="center"/>
                </w:tcPr>
                <w:p w14:paraId="4DB2149A">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olor w:val="auto"/>
                      <w:sz w:val="21"/>
                      <w:szCs w:val="21"/>
                      <w:highlight w:val="none"/>
                    </w:rPr>
                    <w:t>环评提出</w:t>
                  </w:r>
                </w:p>
              </w:tc>
            </w:tr>
          </w:tbl>
          <w:p w14:paraId="36BE01F6">
            <w:pPr>
              <w:ind w:firstLine="482"/>
              <w:rPr>
                <w:b/>
                <w:bCs/>
                <w:color w:val="auto"/>
                <w:highlight w:val="none"/>
              </w:rPr>
            </w:pPr>
            <w:r>
              <w:rPr>
                <w:rFonts w:hint="eastAsia"/>
                <w:b/>
                <w:bCs/>
                <w:color w:val="auto"/>
                <w:highlight w:val="none"/>
              </w:rPr>
              <w:t>3、本</w:t>
            </w:r>
            <w:r>
              <w:rPr>
                <w:b/>
                <w:bCs/>
                <w:color w:val="auto"/>
                <w:highlight w:val="none"/>
              </w:rPr>
              <w:t>项目矿区范围</w:t>
            </w:r>
          </w:p>
          <w:p w14:paraId="10BA90B8">
            <w:pPr>
              <w:adjustRightInd w:val="0"/>
              <w:ind w:firstLine="480"/>
              <w:rPr>
                <w:rFonts w:hint="eastAsia" w:ascii="Times New Roman" w:hAnsi="Times New Roman" w:eastAsia="宋体" w:cs="Times New Roman"/>
                <w:color w:val="auto"/>
                <w:szCs w:val="24"/>
                <w:highlight w:val="none"/>
              </w:rPr>
            </w:pPr>
            <w:r>
              <w:rPr>
                <w:rFonts w:hint="eastAsia" w:ascii="Times New Roman" w:hAnsi="Times New Roman" w:eastAsia="宋体" w:cs="Times New Roman"/>
                <w:color w:val="auto"/>
                <w:szCs w:val="24"/>
                <w:highlight w:val="none"/>
                <w:lang w:val="en-US" w:eastAsia="zh-CN"/>
              </w:rPr>
              <w:t>昆明达泽商贸有限公司</w:t>
            </w:r>
            <w:r>
              <w:rPr>
                <w:rFonts w:hint="eastAsia" w:ascii="Times New Roman" w:hAnsi="Times New Roman" w:eastAsia="宋体" w:cs="Times New Roman"/>
                <w:color w:val="auto"/>
                <w:szCs w:val="24"/>
                <w:highlight w:val="none"/>
              </w:rPr>
              <w:t>于2021年3月29日取得寻甸回族彝族自治县自然资源局颁发的采矿许可证，证号；C5301292021037100151679</w:t>
            </w:r>
            <w:r>
              <w:rPr>
                <w:rFonts w:hint="eastAsia" w:ascii="Times New Roman" w:hAnsi="Times New Roman" w:eastAsia="宋体" w:cs="Times New Roman"/>
                <w:color w:val="auto"/>
                <w:szCs w:val="24"/>
                <w:highlight w:val="none"/>
                <w:lang w:eastAsia="zh-CN"/>
              </w:rPr>
              <w:t>，</w:t>
            </w:r>
            <w:r>
              <w:rPr>
                <w:rFonts w:hint="eastAsia" w:ascii="Times New Roman" w:hAnsi="Times New Roman" w:eastAsia="宋体" w:cs="Times New Roman"/>
                <w:color w:val="auto"/>
                <w:szCs w:val="24"/>
                <w:highlight w:val="none"/>
              </w:rPr>
              <w:t>采矿权人昆明达泽商贸有限公司，矿区面积：0.0399</w:t>
            </w:r>
            <w:r>
              <w:rPr>
                <w:rFonts w:hint="eastAsia" w:ascii="Times New Roman" w:hAnsi="Times New Roman" w:eastAsia="宋体" w:cs="Times New Roman"/>
                <w:color w:val="auto"/>
                <w:szCs w:val="24"/>
                <w:highlight w:val="none"/>
                <w:lang w:eastAsia="zh-CN"/>
              </w:rPr>
              <w:t>km</w:t>
            </w:r>
            <w:r>
              <w:rPr>
                <w:rFonts w:hint="eastAsia" w:ascii="Times New Roman" w:hAnsi="Times New Roman" w:eastAsia="宋体" w:cs="Times New Roman"/>
                <w:color w:val="auto"/>
                <w:szCs w:val="24"/>
                <w:highlight w:val="none"/>
                <w:vertAlign w:val="superscript"/>
              </w:rPr>
              <w:t>2</w:t>
            </w:r>
            <w:r>
              <w:rPr>
                <w:rFonts w:hint="eastAsia" w:ascii="Times New Roman" w:hAnsi="Times New Roman" w:eastAsia="宋体" w:cs="Times New Roman"/>
                <w:color w:val="auto"/>
                <w:szCs w:val="24"/>
                <w:highlight w:val="none"/>
              </w:rPr>
              <w:t>，矿区范围由5个拐点圈定，矿权范围拐点坐标见表2-5。</w:t>
            </w:r>
          </w:p>
          <w:p w14:paraId="16687EAA">
            <w:pPr>
              <w:spacing w:line="240" w:lineRule="auto"/>
              <w:ind w:firstLine="0" w:firstLineChars="0"/>
              <w:jc w:val="center"/>
              <w:rPr>
                <w:rFonts w:hint="eastAsia" w:ascii="Times New Roman" w:hAnsi="Times New Roman" w:eastAsia="宋体" w:cs="Times New Roman"/>
                <w:b/>
                <w:color w:val="auto"/>
                <w:sz w:val="21"/>
                <w:szCs w:val="21"/>
                <w:highlight w:val="none"/>
              </w:rPr>
            </w:pPr>
            <w:r>
              <w:rPr>
                <w:rFonts w:hint="eastAsia" w:ascii="Times New Roman" w:hAnsi="Times New Roman" w:eastAsia="宋体" w:cs="Times New Roman"/>
                <w:b/>
                <w:color w:val="auto"/>
                <w:sz w:val="21"/>
                <w:szCs w:val="21"/>
                <w:highlight w:val="none"/>
              </w:rPr>
              <w:t xml:space="preserve">表2-5  </w:t>
            </w:r>
            <w:r>
              <w:rPr>
                <w:rFonts w:hint="eastAsia" w:ascii="Times New Roman" w:hAnsi="Times New Roman" w:eastAsia="宋体" w:cs="Times New Roman"/>
                <w:b/>
                <w:color w:val="auto"/>
                <w:sz w:val="21"/>
                <w:szCs w:val="21"/>
                <w:highlight w:val="none"/>
                <w:lang w:val="en-US" w:eastAsia="zh-CN"/>
              </w:rPr>
              <w:t>项目</w:t>
            </w:r>
            <w:r>
              <w:rPr>
                <w:rFonts w:hint="eastAsia" w:ascii="Times New Roman" w:hAnsi="Times New Roman" w:eastAsia="宋体" w:cs="Times New Roman"/>
                <w:b/>
                <w:color w:val="auto"/>
                <w:sz w:val="21"/>
                <w:szCs w:val="21"/>
                <w:highlight w:val="none"/>
              </w:rPr>
              <w:t>矿权范围拐点坐标表</w:t>
            </w:r>
          </w:p>
          <w:tbl>
            <w:tblPr>
              <w:tblStyle w:val="30"/>
              <w:tblW w:w="4998" w:type="pct"/>
              <w:jc w:val="center"/>
              <w:tblLayout w:type="fixed"/>
              <w:tblCellMar>
                <w:top w:w="0" w:type="dxa"/>
                <w:left w:w="108" w:type="dxa"/>
                <w:bottom w:w="0" w:type="dxa"/>
                <w:right w:w="108" w:type="dxa"/>
              </w:tblCellMar>
            </w:tblPr>
            <w:tblGrid>
              <w:gridCol w:w="1230"/>
              <w:gridCol w:w="1761"/>
              <w:gridCol w:w="1589"/>
              <w:gridCol w:w="1668"/>
              <w:gridCol w:w="1617"/>
            </w:tblGrid>
            <w:tr w14:paraId="368DCFEA">
              <w:tblPrEx>
                <w:tblCellMar>
                  <w:top w:w="0" w:type="dxa"/>
                  <w:left w:w="108" w:type="dxa"/>
                  <w:bottom w:w="0" w:type="dxa"/>
                  <w:right w:w="108" w:type="dxa"/>
                </w:tblCellMar>
              </w:tblPrEx>
              <w:trPr>
                <w:trHeight w:val="338" w:hRule="atLeast"/>
                <w:jc w:val="center"/>
              </w:trPr>
              <w:tc>
                <w:tcPr>
                  <w:tcW w:w="782" w:type="pct"/>
                  <w:vMerge w:val="restart"/>
                  <w:tcBorders>
                    <w:top w:val="single" w:color="auto" w:sz="4" w:space="0"/>
                    <w:left w:val="single" w:color="auto" w:sz="4" w:space="0"/>
                    <w:bottom w:val="single" w:color="auto" w:sz="4" w:space="0"/>
                    <w:right w:val="single" w:color="auto" w:sz="4" w:space="0"/>
                  </w:tcBorders>
                  <w:noWrap w:val="0"/>
                  <w:vAlign w:val="center"/>
                </w:tcPr>
                <w:p w14:paraId="4C7C80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拐点编号</w:t>
                  </w:r>
                </w:p>
              </w:tc>
              <w:tc>
                <w:tcPr>
                  <w:tcW w:w="2130" w:type="pct"/>
                  <w:gridSpan w:val="2"/>
                  <w:tcBorders>
                    <w:top w:val="single" w:color="auto" w:sz="4" w:space="0"/>
                    <w:left w:val="nil"/>
                    <w:bottom w:val="single" w:color="auto" w:sz="4" w:space="0"/>
                    <w:right w:val="single" w:color="auto" w:sz="4" w:space="0"/>
                  </w:tcBorders>
                  <w:noWrap w:val="0"/>
                  <w:vAlign w:val="center"/>
                </w:tcPr>
                <w:p w14:paraId="0C024C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西安80坐标（3°带）</w:t>
                  </w:r>
                </w:p>
              </w:tc>
              <w:tc>
                <w:tcPr>
                  <w:tcW w:w="2087" w:type="pct"/>
                  <w:gridSpan w:val="2"/>
                  <w:tcBorders>
                    <w:top w:val="single" w:color="auto" w:sz="4" w:space="0"/>
                    <w:left w:val="nil"/>
                    <w:bottom w:val="single" w:color="auto" w:sz="4" w:space="0"/>
                    <w:right w:val="single" w:color="auto" w:sz="4" w:space="0"/>
                  </w:tcBorders>
                  <w:noWrap/>
                  <w:vAlign w:val="center"/>
                </w:tcPr>
                <w:p w14:paraId="0826160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国家2000坐标（3°带）</w:t>
                  </w:r>
                </w:p>
              </w:tc>
            </w:tr>
            <w:tr w14:paraId="16B35F04">
              <w:tblPrEx>
                <w:tblCellMar>
                  <w:top w:w="0" w:type="dxa"/>
                  <w:left w:w="108" w:type="dxa"/>
                  <w:bottom w:w="0" w:type="dxa"/>
                  <w:right w:w="108" w:type="dxa"/>
                </w:tblCellMar>
              </w:tblPrEx>
              <w:trPr>
                <w:trHeight w:val="338" w:hRule="atLeast"/>
                <w:jc w:val="center"/>
              </w:trPr>
              <w:tc>
                <w:tcPr>
                  <w:tcW w:w="782" w:type="pct"/>
                  <w:vMerge w:val="continue"/>
                  <w:tcBorders>
                    <w:top w:val="single" w:color="auto" w:sz="4" w:space="0"/>
                    <w:left w:val="single" w:color="auto" w:sz="4" w:space="0"/>
                    <w:bottom w:val="single" w:color="auto" w:sz="4" w:space="0"/>
                    <w:right w:val="single" w:color="auto" w:sz="4" w:space="0"/>
                  </w:tcBorders>
                  <w:noWrap w:val="0"/>
                  <w:vAlign w:val="center"/>
                </w:tcPr>
                <w:p w14:paraId="1C0020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2130" w:type="pct"/>
                  <w:gridSpan w:val="2"/>
                  <w:tcBorders>
                    <w:top w:val="single" w:color="auto" w:sz="4" w:space="0"/>
                    <w:left w:val="nil"/>
                    <w:bottom w:val="single" w:color="auto" w:sz="4" w:space="0"/>
                    <w:right w:val="single" w:color="auto" w:sz="4" w:space="0"/>
                  </w:tcBorders>
                  <w:noWrap w:val="0"/>
                  <w:vAlign w:val="center"/>
                </w:tcPr>
                <w:p w14:paraId="0ED896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直角坐标</w:t>
                  </w:r>
                </w:p>
              </w:tc>
              <w:tc>
                <w:tcPr>
                  <w:tcW w:w="2087" w:type="pct"/>
                  <w:gridSpan w:val="2"/>
                  <w:tcBorders>
                    <w:top w:val="single" w:color="auto" w:sz="4" w:space="0"/>
                    <w:left w:val="nil"/>
                    <w:bottom w:val="single" w:color="auto" w:sz="4" w:space="0"/>
                    <w:right w:val="single" w:color="auto" w:sz="4" w:space="0"/>
                  </w:tcBorders>
                  <w:noWrap w:val="0"/>
                  <w:vAlign w:val="center"/>
                </w:tcPr>
                <w:p w14:paraId="5943B6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直角坐标</w:t>
                  </w:r>
                </w:p>
              </w:tc>
            </w:tr>
            <w:tr w14:paraId="66D30F23">
              <w:tblPrEx>
                <w:tblCellMar>
                  <w:top w:w="0" w:type="dxa"/>
                  <w:left w:w="108" w:type="dxa"/>
                  <w:bottom w:w="0" w:type="dxa"/>
                  <w:right w:w="108" w:type="dxa"/>
                </w:tblCellMar>
              </w:tblPrEx>
              <w:trPr>
                <w:trHeight w:val="338" w:hRule="atLeast"/>
                <w:jc w:val="center"/>
              </w:trPr>
              <w:tc>
                <w:tcPr>
                  <w:tcW w:w="782" w:type="pct"/>
                  <w:vMerge w:val="continue"/>
                  <w:tcBorders>
                    <w:top w:val="single" w:color="auto" w:sz="4" w:space="0"/>
                    <w:left w:val="single" w:color="auto" w:sz="4" w:space="0"/>
                    <w:bottom w:val="single" w:color="auto" w:sz="4" w:space="0"/>
                    <w:right w:val="single" w:color="auto" w:sz="4" w:space="0"/>
                  </w:tcBorders>
                  <w:noWrap w:val="0"/>
                  <w:vAlign w:val="center"/>
                </w:tcPr>
                <w:p w14:paraId="6937F52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p>
              </w:tc>
              <w:tc>
                <w:tcPr>
                  <w:tcW w:w="1120" w:type="pct"/>
                  <w:tcBorders>
                    <w:top w:val="nil"/>
                    <w:left w:val="nil"/>
                    <w:bottom w:val="single" w:color="auto" w:sz="4" w:space="0"/>
                    <w:right w:val="single" w:color="auto" w:sz="4" w:space="0"/>
                  </w:tcBorders>
                  <w:noWrap w:val="0"/>
                  <w:vAlign w:val="center"/>
                </w:tcPr>
                <w:p w14:paraId="001B848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X坐标</w:t>
                  </w:r>
                </w:p>
              </w:tc>
              <w:tc>
                <w:tcPr>
                  <w:tcW w:w="1010" w:type="pct"/>
                  <w:tcBorders>
                    <w:top w:val="nil"/>
                    <w:left w:val="nil"/>
                    <w:bottom w:val="single" w:color="auto" w:sz="4" w:space="0"/>
                    <w:right w:val="single" w:color="auto" w:sz="4" w:space="0"/>
                  </w:tcBorders>
                  <w:noWrap w:val="0"/>
                  <w:vAlign w:val="center"/>
                </w:tcPr>
                <w:p w14:paraId="29E3871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Y坐标</w:t>
                  </w:r>
                </w:p>
              </w:tc>
              <w:tc>
                <w:tcPr>
                  <w:tcW w:w="1060" w:type="pct"/>
                  <w:tcBorders>
                    <w:top w:val="nil"/>
                    <w:left w:val="nil"/>
                    <w:bottom w:val="single" w:color="auto" w:sz="4" w:space="0"/>
                    <w:right w:val="single" w:color="auto" w:sz="4" w:space="0"/>
                  </w:tcBorders>
                  <w:noWrap w:val="0"/>
                  <w:vAlign w:val="center"/>
                </w:tcPr>
                <w:p w14:paraId="03E58C6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X坐标</w:t>
                  </w:r>
                </w:p>
              </w:tc>
              <w:tc>
                <w:tcPr>
                  <w:tcW w:w="1026" w:type="pct"/>
                  <w:tcBorders>
                    <w:top w:val="nil"/>
                    <w:left w:val="nil"/>
                    <w:bottom w:val="single" w:color="auto" w:sz="4" w:space="0"/>
                    <w:right w:val="single" w:color="auto" w:sz="4" w:space="0"/>
                  </w:tcBorders>
                  <w:noWrap w:val="0"/>
                  <w:vAlign w:val="center"/>
                </w:tcPr>
                <w:p w14:paraId="1EDB8B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Y坐标</w:t>
                  </w:r>
                </w:p>
              </w:tc>
            </w:tr>
            <w:tr w14:paraId="7083B8A6">
              <w:tblPrEx>
                <w:tblCellMar>
                  <w:top w:w="0" w:type="dxa"/>
                  <w:left w:w="108" w:type="dxa"/>
                  <w:bottom w:w="0" w:type="dxa"/>
                  <w:right w:w="108" w:type="dxa"/>
                </w:tblCellMar>
              </w:tblPrEx>
              <w:trPr>
                <w:trHeight w:val="338" w:hRule="atLeast"/>
                <w:jc w:val="center"/>
              </w:trPr>
              <w:tc>
                <w:tcPr>
                  <w:tcW w:w="782" w:type="pct"/>
                  <w:tcBorders>
                    <w:top w:val="nil"/>
                    <w:left w:val="single" w:color="auto" w:sz="4" w:space="0"/>
                    <w:bottom w:val="single" w:color="auto" w:sz="4" w:space="0"/>
                    <w:right w:val="single" w:color="auto" w:sz="4" w:space="0"/>
                  </w:tcBorders>
                  <w:noWrap w:val="0"/>
                  <w:vAlign w:val="center"/>
                </w:tcPr>
                <w:p w14:paraId="42F7E7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矿1</w:t>
                  </w:r>
                </w:p>
              </w:tc>
              <w:tc>
                <w:tcPr>
                  <w:tcW w:w="1120" w:type="pct"/>
                  <w:tcBorders>
                    <w:top w:val="nil"/>
                    <w:left w:val="nil"/>
                    <w:bottom w:val="single" w:color="auto" w:sz="4" w:space="0"/>
                    <w:right w:val="single" w:color="auto" w:sz="4" w:space="0"/>
                  </w:tcBorders>
                  <w:noWrap w:val="0"/>
                  <w:vAlign w:val="center"/>
                </w:tcPr>
                <w:p w14:paraId="5DC4026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2820739.49 </w:t>
                  </w:r>
                </w:p>
              </w:tc>
              <w:tc>
                <w:tcPr>
                  <w:tcW w:w="1010" w:type="pct"/>
                  <w:tcBorders>
                    <w:top w:val="nil"/>
                    <w:left w:val="nil"/>
                    <w:bottom w:val="single" w:color="auto" w:sz="4" w:space="0"/>
                    <w:right w:val="single" w:color="auto" w:sz="4" w:space="0"/>
                  </w:tcBorders>
                  <w:noWrap w:val="0"/>
                  <w:vAlign w:val="center"/>
                </w:tcPr>
                <w:p w14:paraId="3834FC0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34578397.83 </w:t>
                  </w:r>
                </w:p>
              </w:tc>
              <w:tc>
                <w:tcPr>
                  <w:tcW w:w="1060" w:type="pct"/>
                  <w:tcBorders>
                    <w:top w:val="nil"/>
                    <w:left w:val="nil"/>
                    <w:bottom w:val="single" w:color="auto" w:sz="4" w:space="0"/>
                    <w:right w:val="single" w:color="auto" w:sz="4" w:space="0"/>
                  </w:tcBorders>
                  <w:noWrap/>
                  <w:vAlign w:val="center"/>
                </w:tcPr>
                <w:p w14:paraId="66FCBF7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2820746.00</w:t>
                  </w:r>
                </w:p>
              </w:tc>
              <w:tc>
                <w:tcPr>
                  <w:tcW w:w="1026" w:type="pct"/>
                  <w:tcBorders>
                    <w:top w:val="nil"/>
                    <w:left w:val="nil"/>
                    <w:bottom w:val="single" w:color="auto" w:sz="4" w:space="0"/>
                    <w:right w:val="single" w:color="auto" w:sz="4" w:space="0"/>
                  </w:tcBorders>
                  <w:noWrap/>
                  <w:vAlign w:val="center"/>
                </w:tcPr>
                <w:p w14:paraId="572F225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34578509.00</w:t>
                  </w:r>
                </w:p>
              </w:tc>
            </w:tr>
            <w:tr w14:paraId="628A4AE6">
              <w:tblPrEx>
                <w:tblCellMar>
                  <w:top w:w="0" w:type="dxa"/>
                  <w:left w:w="108" w:type="dxa"/>
                  <w:bottom w:w="0" w:type="dxa"/>
                  <w:right w:w="108" w:type="dxa"/>
                </w:tblCellMar>
              </w:tblPrEx>
              <w:trPr>
                <w:trHeight w:val="338" w:hRule="atLeast"/>
                <w:jc w:val="center"/>
              </w:trPr>
              <w:tc>
                <w:tcPr>
                  <w:tcW w:w="782" w:type="pct"/>
                  <w:tcBorders>
                    <w:top w:val="nil"/>
                    <w:left w:val="single" w:color="auto" w:sz="4" w:space="0"/>
                    <w:bottom w:val="single" w:color="auto" w:sz="4" w:space="0"/>
                    <w:right w:val="single" w:color="auto" w:sz="4" w:space="0"/>
                  </w:tcBorders>
                  <w:noWrap w:val="0"/>
                  <w:vAlign w:val="center"/>
                </w:tcPr>
                <w:p w14:paraId="7E24198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矿2</w:t>
                  </w:r>
                </w:p>
              </w:tc>
              <w:tc>
                <w:tcPr>
                  <w:tcW w:w="1120" w:type="pct"/>
                  <w:tcBorders>
                    <w:top w:val="nil"/>
                    <w:left w:val="nil"/>
                    <w:bottom w:val="single" w:color="auto" w:sz="4" w:space="0"/>
                    <w:right w:val="single" w:color="auto" w:sz="4" w:space="0"/>
                  </w:tcBorders>
                  <w:noWrap w:val="0"/>
                  <w:vAlign w:val="center"/>
                </w:tcPr>
                <w:p w14:paraId="0A23CF9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2820924.14 </w:t>
                  </w:r>
                </w:p>
              </w:tc>
              <w:tc>
                <w:tcPr>
                  <w:tcW w:w="1010" w:type="pct"/>
                  <w:tcBorders>
                    <w:top w:val="nil"/>
                    <w:left w:val="nil"/>
                    <w:bottom w:val="single" w:color="auto" w:sz="4" w:space="0"/>
                    <w:right w:val="single" w:color="auto" w:sz="4" w:space="0"/>
                  </w:tcBorders>
                  <w:noWrap w:val="0"/>
                  <w:vAlign w:val="center"/>
                </w:tcPr>
                <w:p w14:paraId="6CC288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34578396.74 </w:t>
                  </w:r>
                </w:p>
              </w:tc>
              <w:tc>
                <w:tcPr>
                  <w:tcW w:w="1060" w:type="pct"/>
                  <w:tcBorders>
                    <w:top w:val="nil"/>
                    <w:left w:val="nil"/>
                    <w:bottom w:val="single" w:color="auto" w:sz="4" w:space="0"/>
                    <w:right w:val="single" w:color="auto" w:sz="4" w:space="0"/>
                  </w:tcBorders>
                  <w:noWrap/>
                  <w:vAlign w:val="center"/>
                </w:tcPr>
                <w:p w14:paraId="23F793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2820931.00</w:t>
                  </w:r>
                </w:p>
              </w:tc>
              <w:tc>
                <w:tcPr>
                  <w:tcW w:w="1026" w:type="pct"/>
                  <w:tcBorders>
                    <w:top w:val="nil"/>
                    <w:left w:val="nil"/>
                    <w:bottom w:val="single" w:color="auto" w:sz="4" w:space="0"/>
                    <w:right w:val="single" w:color="auto" w:sz="4" w:space="0"/>
                  </w:tcBorders>
                  <w:noWrap/>
                  <w:vAlign w:val="center"/>
                </w:tcPr>
                <w:p w14:paraId="7502AE4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34578508.00</w:t>
                  </w:r>
                </w:p>
              </w:tc>
            </w:tr>
            <w:tr w14:paraId="22FA8AA1">
              <w:tblPrEx>
                <w:tblCellMar>
                  <w:top w:w="0" w:type="dxa"/>
                  <w:left w:w="108" w:type="dxa"/>
                  <w:bottom w:w="0" w:type="dxa"/>
                  <w:right w:w="108" w:type="dxa"/>
                </w:tblCellMar>
              </w:tblPrEx>
              <w:trPr>
                <w:trHeight w:val="338" w:hRule="atLeast"/>
                <w:jc w:val="center"/>
              </w:trPr>
              <w:tc>
                <w:tcPr>
                  <w:tcW w:w="782" w:type="pct"/>
                  <w:tcBorders>
                    <w:top w:val="nil"/>
                    <w:left w:val="single" w:color="auto" w:sz="4" w:space="0"/>
                    <w:bottom w:val="single" w:color="auto" w:sz="4" w:space="0"/>
                    <w:right w:val="single" w:color="auto" w:sz="4" w:space="0"/>
                  </w:tcBorders>
                  <w:noWrap w:val="0"/>
                  <w:vAlign w:val="center"/>
                </w:tcPr>
                <w:p w14:paraId="24064C2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矿3</w:t>
                  </w:r>
                </w:p>
              </w:tc>
              <w:tc>
                <w:tcPr>
                  <w:tcW w:w="1120" w:type="pct"/>
                  <w:tcBorders>
                    <w:top w:val="nil"/>
                    <w:left w:val="nil"/>
                    <w:bottom w:val="single" w:color="auto" w:sz="4" w:space="0"/>
                    <w:right w:val="single" w:color="auto" w:sz="4" w:space="0"/>
                  </w:tcBorders>
                  <w:noWrap w:val="0"/>
                  <w:vAlign w:val="center"/>
                </w:tcPr>
                <w:p w14:paraId="3114ED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2820924.96 </w:t>
                  </w:r>
                </w:p>
              </w:tc>
              <w:tc>
                <w:tcPr>
                  <w:tcW w:w="1010" w:type="pct"/>
                  <w:tcBorders>
                    <w:top w:val="nil"/>
                    <w:left w:val="nil"/>
                    <w:bottom w:val="single" w:color="auto" w:sz="4" w:space="0"/>
                    <w:right w:val="single" w:color="auto" w:sz="4" w:space="0"/>
                  </w:tcBorders>
                  <w:noWrap w:val="0"/>
                  <w:vAlign w:val="center"/>
                </w:tcPr>
                <w:p w14:paraId="0E185AD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34578536.40 </w:t>
                  </w:r>
                </w:p>
              </w:tc>
              <w:tc>
                <w:tcPr>
                  <w:tcW w:w="1060" w:type="pct"/>
                  <w:tcBorders>
                    <w:top w:val="nil"/>
                    <w:left w:val="nil"/>
                    <w:bottom w:val="single" w:color="auto" w:sz="4" w:space="0"/>
                    <w:right w:val="single" w:color="auto" w:sz="4" w:space="0"/>
                  </w:tcBorders>
                  <w:noWrap/>
                  <w:vAlign w:val="center"/>
                </w:tcPr>
                <w:p w14:paraId="66A317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2820932.00</w:t>
                  </w:r>
                </w:p>
              </w:tc>
              <w:tc>
                <w:tcPr>
                  <w:tcW w:w="1026" w:type="pct"/>
                  <w:tcBorders>
                    <w:top w:val="nil"/>
                    <w:left w:val="nil"/>
                    <w:bottom w:val="single" w:color="auto" w:sz="4" w:space="0"/>
                    <w:right w:val="single" w:color="auto" w:sz="4" w:space="0"/>
                  </w:tcBorders>
                  <w:noWrap/>
                  <w:vAlign w:val="center"/>
                </w:tcPr>
                <w:p w14:paraId="4AF132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34578647.00</w:t>
                  </w:r>
                </w:p>
              </w:tc>
            </w:tr>
            <w:tr w14:paraId="7BC34185">
              <w:tblPrEx>
                <w:tblCellMar>
                  <w:top w:w="0" w:type="dxa"/>
                  <w:left w:w="108" w:type="dxa"/>
                  <w:bottom w:w="0" w:type="dxa"/>
                  <w:right w:w="108" w:type="dxa"/>
                </w:tblCellMar>
              </w:tblPrEx>
              <w:trPr>
                <w:trHeight w:val="338" w:hRule="atLeast"/>
                <w:jc w:val="center"/>
              </w:trPr>
              <w:tc>
                <w:tcPr>
                  <w:tcW w:w="782" w:type="pct"/>
                  <w:tcBorders>
                    <w:top w:val="nil"/>
                    <w:left w:val="single" w:color="auto" w:sz="4" w:space="0"/>
                    <w:bottom w:val="single" w:color="auto" w:sz="4" w:space="0"/>
                    <w:right w:val="single" w:color="auto" w:sz="4" w:space="0"/>
                  </w:tcBorders>
                  <w:noWrap w:val="0"/>
                  <w:vAlign w:val="center"/>
                </w:tcPr>
                <w:p w14:paraId="67231A1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矿4</w:t>
                  </w:r>
                </w:p>
              </w:tc>
              <w:tc>
                <w:tcPr>
                  <w:tcW w:w="1120" w:type="pct"/>
                  <w:tcBorders>
                    <w:top w:val="nil"/>
                    <w:left w:val="nil"/>
                    <w:bottom w:val="single" w:color="auto" w:sz="4" w:space="0"/>
                    <w:right w:val="single" w:color="auto" w:sz="4" w:space="0"/>
                  </w:tcBorders>
                  <w:noWrap w:val="0"/>
                  <w:vAlign w:val="center"/>
                </w:tcPr>
                <w:p w14:paraId="6B13044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2820833.29 </w:t>
                  </w:r>
                </w:p>
              </w:tc>
              <w:tc>
                <w:tcPr>
                  <w:tcW w:w="1010" w:type="pct"/>
                  <w:tcBorders>
                    <w:top w:val="nil"/>
                    <w:left w:val="nil"/>
                    <w:bottom w:val="single" w:color="auto" w:sz="4" w:space="0"/>
                    <w:right w:val="single" w:color="auto" w:sz="4" w:space="0"/>
                  </w:tcBorders>
                  <w:noWrap w:val="0"/>
                  <w:vAlign w:val="center"/>
                </w:tcPr>
                <w:p w14:paraId="2B5E59E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34578648.67 </w:t>
                  </w:r>
                </w:p>
              </w:tc>
              <w:tc>
                <w:tcPr>
                  <w:tcW w:w="1060" w:type="pct"/>
                  <w:tcBorders>
                    <w:top w:val="nil"/>
                    <w:left w:val="nil"/>
                    <w:bottom w:val="single" w:color="auto" w:sz="4" w:space="0"/>
                    <w:right w:val="single" w:color="auto" w:sz="4" w:space="0"/>
                  </w:tcBorders>
                  <w:noWrap/>
                  <w:vAlign w:val="center"/>
                </w:tcPr>
                <w:p w14:paraId="7CF8560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2820840.00</w:t>
                  </w:r>
                </w:p>
              </w:tc>
              <w:tc>
                <w:tcPr>
                  <w:tcW w:w="1026" w:type="pct"/>
                  <w:tcBorders>
                    <w:top w:val="nil"/>
                    <w:left w:val="nil"/>
                    <w:bottom w:val="single" w:color="auto" w:sz="4" w:space="0"/>
                    <w:right w:val="single" w:color="auto" w:sz="4" w:space="0"/>
                  </w:tcBorders>
                  <w:noWrap/>
                  <w:vAlign w:val="center"/>
                </w:tcPr>
                <w:p w14:paraId="7E0AC40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34578760.00</w:t>
                  </w:r>
                </w:p>
              </w:tc>
            </w:tr>
            <w:tr w14:paraId="2F36CCD4">
              <w:tblPrEx>
                <w:tblCellMar>
                  <w:top w:w="0" w:type="dxa"/>
                  <w:left w:w="108" w:type="dxa"/>
                  <w:bottom w:w="0" w:type="dxa"/>
                  <w:right w:w="108" w:type="dxa"/>
                </w:tblCellMar>
              </w:tblPrEx>
              <w:trPr>
                <w:trHeight w:val="338" w:hRule="atLeast"/>
                <w:jc w:val="center"/>
              </w:trPr>
              <w:tc>
                <w:tcPr>
                  <w:tcW w:w="782" w:type="pct"/>
                  <w:tcBorders>
                    <w:top w:val="nil"/>
                    <w:left w:val="single" w:color="auto" w:sz="4" w:space="0"/>
                    <w:bottom w:val="single" w:color="auto" w:sz="4" w:space="0"/>
                    <w:right w:val="single" w:color="auto" w:sz="4" w:space="0"/>
                  </w:tcBorders>
                  <w:noWrap w:val="0"/>
                  <w:vAlign w:val="center"/>
                </w:tcPr>
                <w:p w14:paraId="0F5056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矿5</w:t>
                  </w:r>
                </w:p>
              </w:tc>
              <w:tc>
                <w:tcPr>
                  <w:tcW w:w="1120" w:type="pct"/>
                  <w:tcBorders>
                    <w:top w:val="nil"/>
                    <w:left w:val="nil"/>
                    <w:bottom w:val="single" w:color="auto" w:sz="4" w:space="0"/>
                    <w:right w:val="single" w:color="auto" w:sz="4" w:space="0"/>
                  </w:tcBorders>
                  <w:noWrap w:val="0"/>
                  <w:vAlign w:val="center"/>
                </w:tcPr>
                <w:p w14:paraId="07C4C2E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2820709.53 </w:t>
                  </w:r>
                </w:p>
              </w:tc>
              <w:tc>
                <w:tcPr>
                  <w:tcW w:w="1010" w:type="pct"/>
                  <w:tcBorders>
                    <w:top w:val="nil"/>
                    <w:left w:val="nil"/>
                    <w:bottom w:val="single" w:color="auto" w:sz="4" w:space="0"/>
                    <w:right w:val="single" w:color="auto" w:sz="4" w:space="0"/>
                  </w:tcBorders>
                  <w:noWrap w:val="0"/>
                  <w:vAlign w:val="center"/>
                </w:tcPr>
                <w:p w14:paraId="70401E1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xml:space="preserve">34578537.67 </w:t>
                  </w:r>
                </w:p>
              </w:tc>
              <w:tc>
                <w:tcPr>
                  <w:tcW w:w="1060" w:type="pct"/>
                  <w:tcBorders>
                    <w:top w:val="nil"/>
                    <w:left w:val="nil"/>
                    <w:bottom w:val="single" w:color="auto" w:sz="4" w:space="0"/>
                    <w:right w:val="single" w:color="auto" w:sz="4" w:space="0"/>
                  </w:tcBorders>
                  <w:noWrap/>
                  <w:vAlign w:val="center"/>
                </w:tcPr>
                <w:p w14:paraId="37FDF73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2820717.00</w:t>
                  </w:r>
                </w:p>
              </w:tc>
              <w:tc>
                <w:tcPr>
                  <w:tcW w:w="1026" w:type="pct"/>
                  <w:tcBorders>
                    <w:top w:val="nil"/>
                    <w:left w:val="nil"/>
                    <w:bottom w:val="single" w:color="auto" w:sz="4" w:space="0"/>
                    <w:right w:val="single" w:color="auto" w:sz="4" w:space="0"/>
                  </w:tcBorders>
                  <w:noWrap/>
                  <w:vAlign w:val="center"/>
                </w:tcPr>
                <w:p w14:paraId="76F45D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34578649.00</w:t>
                  </w:r>
                </w:p>
              </w:tc>
            </w:tr>
            <w:tr w14:paraId="40B2821C">
              <w:tblPrEx>
                <w:tblCellMar>
                  <w:top w:w="0" w:type="dxa"/>
                  <w:left w:w="108" w:type="dxa"/>
                  <w:bottom w:w="0" w:type="dxa"/>
                  <w:right w:w="108" w:type="dxa"/>
                </w:tblCellMar>
              </w:tblPrEx>
              <w:trPr>
                <w:trHeight w:val="338" w:hRule="atLeast"/>
                <w:jc w:val="center"/>
              </w:trPr>
              <w:tc>
                <w:tcPr>
                  <w:tcW w:w="5000" w:type="pct"/>
                  <w:gridSpan w:val="5"/>
                  <w:tcBorders>
                    <w:top w:val="single" w:color="auto" w:sz="4" w:space="0"/>
                    <w:left w:val="single" w:color="auto" w:sz="4" w:space="0"/>
                    <w:bottom w:val="single" w:color="auto" w:sz="4" w:space="0"/>
                    <w:right w:val="single" w:color="auto" w:sz="4" w:space="0"/>
                  </w:tcBorders>
                  <w:noWrap w:val="0"/>
                  <w:vAlign w:val="center"/>
                </w:tcPr>
                <w:p w14:paraId="255685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面积：0.0399</w:t>
                  </w:r>
                  <w:r>
                    <w:rPr>
                      <w:rFonts w:hint="default" w:ascii="Times New Roman" w:hAnsi="Times New Roman" w:eastAsia="宋体" w:cs="Times New Roman"/>
                      <w:color w:val="auto"/>
                      <w:kern w:val="0"/>
                      <w:sz w:val="21"/>
                      <w:szCs w:val="21"/>
                      <w:highlight w:val="none"/>
                      <w:lang w:eastAsia="zh-CN"/>
                    </w:rPr>
                    <w:t>km</w:t>
                  </w:r>
                  <w:r>
                    <w:rPr>
                      <w:rFonts w:hint="default" w:ascii="Times New Roman" w:hAnsi="Times New Roman" w:eastAsia="宋体" w:cs="Times New Roman"/>
                      <w:color w:val="auto"/>
                      <w:kern w:val="0"/>
                      <w:sz w:val="21"/>
                      <w:szCs w:val="21"/>
                      <w:highlight w:val="none"/>
                    </w:rPr>
                    <w:t>²</w:t>
                  </w:r>
                </w:p>
              </w:tc>
            </w:tr>
          </w:tbl>
          <w:p w14:paraId="2040AFC9">
            <w:pPr>
              <w:spacing w:line="240" w:lineRule="auto"/>
              <w:ind w:left="0" w:leftChars="0" w:firstLine="0" w:firstLineChars="0"/>
              <w:jc w:val="center"/>
              <w:rPr>
                <w:rFonts w:ascii="Times New Roman" w:hAnsi="Times New Roman"/>
                <w:b/>
                <w:caps w:val="0"/>
                <w:smallCaps w:val="0"/>
                <w:color w:val="auto"/>
                <w:highlight w:val="none"/>
              </w:rPr>
            </w:pPr>
            <w:r>
              <w:rPr>
                <w:rFonts w:ascii="Times New Roman" w:hAnsi="Times New Roman"/>
                <w:caps w:val="0"/>
                <w:smallCaps w:val="0"/>
                <w:color w:val="auto"/>
                <w:highlight w:val="none"/>
              </w:rPr>
              <w:drawing>
                <wp:inline distT="0" distB="0" distL="0" distR="0">
                  <wp:extent cx="4917440" cy="3224530"/>
                  <wp:effectExtent l="0" t="0" r="16510" b="13970"/>
                  <wp:docPr id="6" name="图片 6" descr="矿界关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矿界关系图"/>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917440" cy="3224530"/>
                          </a:xfrm>
                          <a:prstGeom prst="rect">
                            <a:avLst/>
                          </a:prstGeom>
                          <a:noFill/>
                          <a:ln>
                            <a:noFill/>
                          </a:ln>
                        </pic:spPr>
                      </pic:pic>
                    </a:graphicData>
                  </a:graphic>
                </wp:inline>
              </w:drawing>
            </w:r>
          </w:p>
          <w:p w14:paraId="5E64C9F7">
            <w:pPr>
              <w:pStyle w:val="9"/>
              <w:jc w:val="center"/>
              <w:rPr>
                <w:rFonts w:hint="eastAsia" w:ascii="Times New Roman" w:hAnsi="Times New Roman" w:eastAsia="宋体" w:cs="宋体"/>
                <w:b/>
                <w:caps w:val="0"/>
                <w:smallCaps w:val="0"/>
                <w:color w:val="auto"/>
                <w:highlight w:val="none"/>
              </w:rPr>
            </w:pPr>
            <w:r>
              <w:rPr>
                <w:rFonts w:hint="eastAsia" w:ascii="Times New Roman" w:hAnsi="Times New Roman" w:eastAsia="宋体" w:cs="宋体"/>
                <w:b/>
                <w:caps w:val="0"/>
                <w:smallCaps w:val="0"/>
                <w:color w:val="auto"/>
                <w:highlight w:val="none"/>
              </w:rPr>
              <w:t xml:space="preserve">图 </w:t>
            </w:r>
            <w:r>
              <w:rPr>
                <w:rFonts w:hint="eastAsia" w:ascii="Times New Roman" w:hAnsi="Times New Roman" w:eastAsia="宋体" w:cs="宋体"/>
                <w:b/>
                <w:caps w:val="0"/>
                <w:smallCaps w:val="0"/>
                <w:color w:val="auto"/>
                <w:highlight w:val="none"/>
              </w:rPr>
              <w:fldChar w:fldCharType="begin"/>
            </w:r>
            <w:r>
              <w:rPr>
                <w:rFonts w:hint="eastAsia" w:ascii="Times New Roman" w:hAnsi="Times New Roman" w:eastAsia="宋体" w:cs="宋体"/>
                <w:b/>
                <w:caps w:val="0"/>
                <w:smallCaps w:val="0"/>
                <w:color w:val="auto"/>
                <w:highlight w:val="none"/>
              </w:rPr>
              <w:instrText xml:space="preserve">STYLEREF 1 \s</w:instrText>
            </w:r>
            <w:r>
              <w:rPr>
                <w:rFonts w:hint="eastAsia" w:ascii="Times New Roman" w:hAnsi="Times New Roman" w:eastAsia="宋体" w:cs="宋体"/>
                <w:b/>
                <w:caps w:val="0"/>
                <w:smallCaps w:val="0"/>
                <w:color w:val="auto"/>
                <w:highlight w:val="none"/>
              </w:rPr>
              <w:fldChar w:fldCharType="separate"/>
            </w:r>
            <w:r>
              <w:rPr>
                <w:rFonts w:hint="eastAsia" w:ascii="Times New Roman" w:hAnsi="Times New Roman" w:eastAsia="宋体" w:cs="宋体"/>
                <w:b/>
                <w:caps w:val="0"/>
                <w:smallCaps w:val="0"/>
                <w:color w:val="auto"/>
                <w:highlight w:val="none"/>
              </w:rPr>
              <w:t>2</w:t>
            </w:r>
            <w:r>
              <w:rPr>
                <w:rFonts w:hint="eastAsia" w:ascii="Times New Roman" w:hAnsi="Times New Roman" w:eastAsia="宋体" w:cs="宋体"/>
                <w:b/>
                <w:caps w:val="0"/>
                <w:smallCaps w:val="0"/>
                <w:color w:val="auto"/>
                <w:highlight w:val="none"/>
              </w:rPr>
              <w:fldChar w:fldCharType="end"/>
            </w:r>
            <w:r>
              <w:rPr>
                <w:rFonts w:hint="eastAsia" w:ascii="Times New Roman" w:hAnsi="Times New Roman" w:eastAsia="宋体" w:cs="宋体"/>
                <w:b/>
                <w:caps w:val="0"/>
                <w:smallCaps w:val="0"/>
                <w:color w:val="auto"/>
                <w:highlight w:val="none"/>
              </w:rPr>
              <w:noBreakHyphen/>
            </w:r>
            <w:r>
              <w:rPr>
                <w:rFonts w:hint="eastAsia" w:ascii="Times New Roman" w:hAnsi="Times New Roman" w:eastAsia="宋体" w:cs="宋体"/>
                <w:b/>
                <w:caps w:val="0"/>
                <w:smallCaps w:val="0"/>
                <w:color w:val="auto"/>
                <w:highlight w:val="none"/>
              </w:rPr>
              <w:t>1矿界范围图</w:t>
            </w:r>
          </w:p>
          <w:p w14:paraId="7E3EEDB6">
            <w:pPr>
              <w:autoSpaceDE w:val="0"/>
              <w:autoSpaceDN w:val="0"/>
              <w:adjustRightInd w:val="0"/>
              <w:ind w:firstLine="482"/>
              <w:rPr>
                <w:b/>
                <w:bCs/>
                <w:color w:val="auto"/>
                <w:kern w:val="0"/>
                <w:szCs w:val="21"/>
                <w:highlight w:val="none"/>
              </w:rPr>
            </w:pPr>
            <w:r>
              <w:rPr>
                <w:rFonts w:hint="eastAsia"/>
                <w:b/>
                <w:bCs/>
                <w:color w:val="auto"/>
                <w:kern w:val="0"/>
                <w:szCs w:val="21"/>
                <w:highlight w:val="none"/>
              </w:rPr>
              <w:t>4、矿山资源储量情况及服务年限</w:t>
            </w:r>
          </w:p>
          <w:p w14:paraId="587A415A">
            <w:pPr>
              <w:autoSpaceDE w:val="0"/>
              <w:autoSpaceDN w:val="0"/>
              <w:adjustRightInd w:val="0"/>
              <w:ind w:firstLine="480"/>
              <w:rPr>
                <w:rFonts w:hint="eastAsia" w:ascii="宋体" w:hAnsi="宋体" w:eastAsia="宋体" w:cs="宋体"/>
                <w:b w:val="0"/>
                <w:bCs w:val="0"/>
                <w:color w:val="auto"/>
                <w:w w:val="96"/>
                <w:sz w:val="24"/>
                <w:szCs w:val="24"/>
                <w:highlight w:val="none"/>
                <w:lang w:val="en-US" w:eastAsia="zh-CN"/>
              </w:rPr>
            </w:pPr>
            <w:r>
              <w:rPr>
                <w:rFonts w:hint="eastAsia"/>
                <w:color w:val="auto"/>
                <w:kern w:val="0"/>
                <w:szCs w:val="21"/>
                <w:highlight w:val="none"/>
              </w:rPr>
              <w:t>根据</w:t>
            </w:r>
            <w:r>
              <w:rPr>
                <w:rFonts w:hint="eastAsia" w:ascii="宋体" w:hAnsi="宋体" w:eastAsia="宋体" w:cs="宋体"/>
                <w:b w:val="0"/>
                <w:bCs w:val="0"/>
                <w:color w:val="auto"/>
                <w:w w:val="96"/>
                <w:sz w:val="24"/>
                <w:szCs w:val="24"/>
                <w:highlight w:val="none"/>
                <w:lang w:val="en-US" w:eastAsia="zh-CN"/>
              </w:rPr>
              <w:t>《云南省寻甸县柯渡黄龙溏普通建筑材料用砂岩矿50万t/a露天采矿工程安全设施设计》计算，矿区设计利用资源量为205.94万t（83.04万m³）。回采率为95%，矿山设计采出资源量为195.64万t(78.89万m</w:t>
            </w:r>
            <w:r>
              <w:rPr>
                <w:rFonts w:hint="eastAsia" w:ascii="宋体" w:hAnsi="宋体" w:eastAsia="宋体" w:cs="宋体"/>
                <w:b w:val="0"/>
                <w:bCs w:val="0"/>
                <w:color w:val="auto"/>
                <w:w w:val="96"/>
                <w:sz w:val="24"/>
                <w:szCs w:val="24"/>
                <w:highlight w:val="none"/>
                <w:vertAlign w:val="superscript"/>
                <w:lang w:val="en-US" w:eastAsia="zh-CN"/>
              </w:rPr>
              <w:t>3</w:t>
            </w:r>
            <w:r>
              <w:rPr>
                <w:rFonts w:hint="eastAsia" w:ascii="宋体" w:hAnsi="宋体" w:eastAsia="宋体" w:cs="宋体"/>
                <w:b w:val="0"/>
                <w:bCs w:val="0"/>
                <w:color w:val="auto"/>
                <w:w w:val="96"/>
                <w:sz w:val="24"/>
                <w:szCs w:val="24"/>
                <w:highlight w:val="none"/>
                <w:lang w:val="en-US" w:eastAsia="zh-CN"/>
              </w:rPr>
              <w:t>)，生产能力以50万吨/年计算，生产服务年限3.91年。</w:t>
            </w:r>
          </w:p>
          <w:p w14:paraId="5D99E394">
            <w:pPr>
              <w:spacing w:line="240" w:lineRule="auto"/>
              <w:ind w:firstLine="0" w:firstLineChars="0"/>
              <w:jc w:val="center"/>
              <w:rPr>
                <w:rFonts w:hint="eastAsia" w:ascii="宋体" w:hAnsi="宋体" w:eastAsia="宋体" w:cs="宋体"/>
                <w:color w:val="auto"/>
                <w:sz w:val="21"/>
                <w:szCs w:val="21"/>
                <w:highlight w:val="none"/>
              </w:rPr>
            </w:pPr>
            <w:r>
              <w:rPr>
                <w:rFonts w:hint="eastAsia" w:ascii="Times New Roman" w:hAnsi="Times New Roman" w:eastAsia="宋体" w:cs="Times New Roman"/>
                <w:b/>
                <w:color w:val="auto"/>
                <w:sz w:val="21"/>
                <w:szCs w:val="21"/>
                <w:highlight w:val="none"/>
              </w:rPr>
              <w:t>表2-</w:t>
            </w:r>
            <w:r>
              <w:rPr>
                <w:rFonts w:hint="eastAsia" w:ascii="Times New Roman" w:hAnsi="Times New Roman" w:eastAsia="宋体" w:cs="Times New Roman"/>
                <w:b/>
                <w:color w:val="auto"/>
                <w:sz w:val="21"/>
                <w:szCs w:val="21"/>
                <w:highlight w:val="none"/>
                <w:lang w:val="en-US" w:eastAsia="zh-CN"/>
              </w:rPr>
              <w:t>7</w:t>
            </w:r>
            <w:r>
              <w:rPr>
                <w:rFonts w:hint="eastAsia" w:ascii="Times New Roman" w:hAnsi="Times New Roman" w:eastAsia="宋体" w:cs="Times New Roman"/>
                <w:b/>
                <w:color w:val="auto"/>
                <w:sz w:val="21"/>
                <w:szCs w:val="21"/>
                <w:highlight w:val="none"/>
              </w:rPr>
              <w:t xml:space="preserve">  设计</w:t>
            </w:r>
            <w:r>
              <w:rPr>
                <w:rFonts w:hint="eastAsia" w:ascii="Times New Roman" w:hAnsi="Times New Roman" w:eastAsia="宋体" w:cs="Times New Roman"/>
                <w:b/>
                <w:color w:val="auto"/>
                <w:sz w:val="21"/>
                <w:szCs w:val="21"/>
                <w:highlight w:val="none"/>
                <w:lang w:val="en-US" w:eastAsia="zh-CN"/>
              </w:rPr>
              <w:t>采出</w:t>
            </w:r>
            <w:r>
              <w:rPr>
                <w:rFonts w:hint="eastAsia" w:ascii="Times New Roman" w:hAnsi="Times New Roman" w:eastAsia="宋体" w:cs="Times New Roman"/>
                <w:b/>
                <w:color w:val="auto"/>
                <w:sz w:val="21"/>
                <w:szCs w:val="21"/>
                <w:highlight w:val="none"/>
              </w:rPr>
              <w:t>资源</w:t>
            </w:r>
            <w:r>
              <w:rPr>
                <w:rFonts w:hint="eastAsia" w:ascii="Times New Roman" w:hAnsi="Times New Roman" w:eastAsia="宋体" w:cs="Times New Roman"/>
                <w:b/>
                <w:color w:val="auto"/>
                <w:sz w:val="21"/>
                <w:szCs w:val="21"/>
                <w:highlight w:val="none"/>
                <w:lang w:val="en-US" w:eastAsia="zh-CN"/>
              </w:rPr>
              <w:t>台阶矿</w:t>
            </w:r>
            <w:r>
              <w:rPr>
                <w:rFonts w:hint="eastAsia" w:ascii="Times New Roman" w:hAnsi="Times New Roman" w:eastAsia="宋体" w:cs="Times New Roman"/>
                <w:b/>
                <w:color w:val="auto"/>
                <w:sz w:val="21"/>
                <w:szCs w:val="21"/>
                <w:highlight w:val="none"/>
              </w:rPr>
              <w:t>量</w:t>
            </w:r>
          </w:p>
          <w:tbl>
            <w:tblPr>
              <w:tblStyle w:val="31"/>
              <w:tblW w:w="7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8"/>
              <w:gridCol w:w="2148"/>
              <w:gridCol w:w="1550"/>
              <w:gridCol w:w="2154"/>
            </w:tblGrid>
            <w:tr w14:paraId="349FE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928" w:type="dxa"/>
                  <w:noWrap w:val="0"/>
                  <w:vAlign w:val="center"/>
                </w:tcPr>
                <w:p w14:paraId="13A63D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台阶（m）</w:t>
                  </w:r>
                </w:p>
              </w:tc>
              <w:tc>
                <w:tcPr>
                  <w:tcW w:w="2148" w:type="dxa"/>
                  <w:noWrap w:val="0"/>
                  <w:vAlign w:val="center"/>
                </w:tcPr>
                <w:p w14:paraId="69CD00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设计可采资源量（万t）</w:t>
                  </w:r>
                </w:p>
              </w:tc>
              <w:tc>
                <w:tcPr>
                  <w:tcW w:w="1550" w:type="dxa"/>
                  <w:noWrap w:val="0"/>
                  <w:vAlign w:val="center"/>
                </w:tcPr>
                <w:p w14:paraId="365D1A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砂岩体重t/m</w:t>
                  </w:r>
                  <w:r>
                    <w:rPr>
                      <w:rFonts w:hint="default" w:ascii="Times New Roman" w:hAnsi="Times New Roman" w:eastAsia="宋体" w:cs="Times New Roman"/>
                      <w:b/>
                      <w:bCs/>
                      <w:color w:val="auto"/>
                      <w:kern w:val="0"/>
                      <w:sz w:val="21"/>
                      <w:szCs w:val="21"/>
                      <w:highlight w:val="none"/>
                      <w:vertAlign w:val="superscript"/>
                      <w:lang w:val="en-US" w:eastAsia="zh-CN" w:bidi="ar"/>
                    </w:rPr>
                    <w:t>3</w:t>
                  </w:r>
                </w:p>
              </w:tc>
              <w:tc>
                <w:tcPr>
                  <w:tcW w:w="2154" w:type="dxa"/>
                  <w:noWrap w:val="0"/>
                  <w:vAlign w:val="center"/>
                </w:tcPr>
                <w:p w14:paraId="3135DC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设计采出矿量（万m</w:t>
                  </w:r>
                  <w:r>
                    <w:rPr>
                      <w:rFonts w:hint="default" w:ascii="Times New Roman" w:hAnsi="Times New Roman" w:eastAsia="宋体" w:cs="Times New Roman"/>
                      <w:b/>
                      <w:bCs/>
                      <w:color w:val="auto"/>
                      <w:kern w:val="0"/>
                      <w:sz w:val="21"/>
                      <w:szCs w:val="21"/>
                      <w:highlight w:val="none"/>
                      <w:vertAlign w:val="superscript"/>
                      <w:lang w:val="en-US" w:eastAsia="zh-CN" w:bidi="ar"/>
                    </w:rPr>
                    <w:t>3</w:t>
                  </w:r>
                  <w:r>
                    <w:rPr>
                      <w:rFonts w:hint="default" w:ascii="Times New Roman" w:hAnsi="Times New Roman" w:eastAsia="宋体" w:cs="Times New Roman"/>
                      <w:b/>
                      <w:bCs/>
                      <w:color w:val="auto"/>
                      <w:kern w:val="0"/>
                      <w:sz w:val="21"/>
                      <w:szCs w:val="21"/>
                      <w:highlight w:val="none"/>
                      <w:lang w:val="en-US" w:eastAsia="zh-CN" w:bidi="ar"/>
                    </w:rPr>
                    <w:t>）</w:t>
                  </w:r>
                </w:p>
              </w:tc>
            </w:tr>
            <w:tr w14:paraId="5DF28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928" w:type="dxa"/>
                  <w:noWrap w:val="0"/>
                  <w:vAlign w:val="center"/>
                </w:tcPr>
                <w:p w14:paraId="147AD3D3">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2208～2200m</w:t>
                  </w:r>
                </w:p>
              </w:tc>
              <w:tc>
                <w:tcPr>
                  <w:tcW w:w="2148" w:type="dxa"/>
                  <w:noWrap w:val="0"/>
                  <w:vAlign w:val="center"/>
                </w:tcPr>
                <w:p w14:paraId="3343875D">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11.24 </w:t>
                  </w:r>
                </w:p>
              </w:tc>
              <w:tc>
                <w:tcPr>
                  <w:tcW w:w="1550" w:type="dxa"/>
                  <w:noWrap w:val="0"/>
                  <w:vAlign w:val="center"/>
                </w:tcPr>
                <w:p w14:paraId="77CD04E8">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2.48</w:t>
                  </w:r>
                </w:p>
              </w:tc>
              <w:tc>
                <w:tcPr>
                  <w:tcW w:w="2154" w:type="dxa"/>
                  <w:noWrap w:val="0"/>
                  <w:vAlign w:val="center"/>
                </w:tcPr>
                <w:p w14:paraId="7FCCEFDB">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4.53 </w:t>
                  </w:r>
                </w:p>
              </w:tc>
            </w:tr>
            <w:tr w14:paraId="1395F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928" w:type="dxa"/>
                  <w:noWrap w:val="0"/>
                  <w:vAlign w:val="center"/>
                </w:tcPr>
                <w:p w14:paraId="15993CA1">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2200～2192m</w:t>
                  </w:r>
                </w:p>
              </w:tc>
              <w:tc>
                <w:tcPr>
                  <w:tcW w:w="2148" w:type="dxa"/>
                  <w:noWrap w:val="0"/>
                  <w:vAlign w:val="center"/>
                </w:tcPr>
                <w:p w14:paraId="6839CC51">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22.55 </w:t>
                  </w:r>
                </w:p>
              </w:tc>
              <w:tc>
                <w:tcPr>
                  <w:tcW w:w="1550" w:type="dxa"/>
                  <w:noWrap w:val="0"/>
                  <w:vAlign w:val="center"/>
                </w:tcPr>
                <w:p w14:paraId="607D9D99">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2.48</w:t>
                  </w:r>
                </w:p>
              </w:tc>
              <w:tc>
                <w:tcPr>
                  <w:tcW w:w="2154" w:type="dxa"/>
                  <w:noWrap w:val="0"/>
                  <w:vAlign w:val="center"/>
                </w:tcPr>
                <w:p w14:paraId="4942742B">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9.09 </w:t>
                  </w:r>
                </w:p>
              </w:tc>
            </w:tr>
            <w:tr w14:paraId="213D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928" w:type="dxa"/>
                  <w:noWrap w:val="0"/>
                  <w:vAlign w:val="center"/>
                </w:tcPr>
                <w:p w14:paraId="5B36C892">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2192～2184m</w:t>
                  </w:r>
                </w:p>
              </w:tc>
              <w:tc>
                <w:tcPr>
                  <w:tcW w:w="2148" w:type="dxa"/>
                  <w:noWrap w:val="0"/>
                  <w:vAlign w:val="center"/>
                </w:tcPr>
                <w:p w14:paraId="479EBD84">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30.11 </w:t>
                  </w:r>
                </w:p>
              </w:tc>
              <w:tc>
                <w:tcPr>
                  <w:tcW w:w="1550" w:type="dxa"/>
                  <w:noWrap w:val="0"/>
                  <w:vAlign w:val="center"/>
                </w:tcPr>
                <w:p w14:paraId="2C280C1C">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2.48</w:t>
                  </w:r>
                </w:p>
              </w:tc>
              <w:tc>
                <w:tcPr>
                  <w:tcW w:w="2154" w:type="dxa"/>
                  <w:noWrap w:val="0"/>
                  <w:vAlign w:val="center"/>
                </w:tcPr>
                <w:p w14:paraId="2243A06E">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12.14 </w:t>
                  </w:r>
                </w:p>
              </w:tc>
            </w:tr>
            <w:tr w14:paraId="35BC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928" w:type="dxa"/>
                  <w:noWrap w:val="0"/>
                  <w:vAlign w:val="center"/>
                </w:tcPr>
                <w:p w14:paraId="6CD81C17">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2184～2176m</w:t>
                  </w:r>
                </w:p>
              </w:tc>
              <w:tc>
                <w:tcPr>
                  <w:tcW w:w="2148" w:type="dxa"/>
                  <w:noWrap w:val="0"/>
                  <w:vAlign w:val="center"/>
                </w:tcPr>
                <w:p w14:paraId="000591B9">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39.21 </w:t>
                  </w:r>
                </w:p>
              </w:tc>
              <w:tc>
                <w:tcPr>
                  <w:tcW w:w="1550" w:type="dxa"/>
                  <w:noWrap w:val="0"/>
                  <w:vAlign w:val="center"/>
                </w:tcPr>
                <w:p w14:paraId="6C05D241">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2.48</w:t>
                  </w:r>
                </w:p>
              </w:tc>
              <w:tc>
                <w:tcPr>
                  <w:tcW w:w="2154" w:type="dxa"/>
                  <w:noWrap w:val="0"/>
                  <w:vAlign w:val="center"/>
                </w:tcPr>
                <w:p w14:paraId="21E8FD4E">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15.81 </w:t>
                  </w:r>
                </w:p>
              </w:tc>
            </w:tr>
            <w:tr w14:paraId="5B90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928" w:type="dxa"/>
                  <w:noWrap w:val="0"/>
                  <w:vAlign w:val="center"/>
                </w:tcPr>
                <w:p w14:paraId="2A7464A5">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2176～2168m</w:t>
                  </w:r>
                </w:p>
              </w:tc>
              <w:tc>
                <w:tcPr>
                  <w:tcW w:w="2148" w:type="dxa"/>
                  <w:noWrap w:val="0"/>
                  <w:vAlign w:val="center"/>
                </w:tcPr>
                <w:p w14:paraId="03B208FA">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44.06 </w:t>
                  </w:r>
                </w:p>
              </w:tc>
              <w:tc>
                <w:tcPr>
                  <w:tcW w:w="1550" w:type="dxa"/>
                  <w:noWrap w:val="0"/>
                  <w:vAlign w:val="center"/>
                </w:tcPr>
                <w:p w14:paraId="68252831">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2.48</w:t>
                  </w:r>
                </w:p>
              </w:tc>
              <w:tc>
                <w:tcPr>
                  <w:tcW w:w="2154" w:type="dxa"/>
                  <w:noWrap w:val="0"/>
                  <w:vAlign w:val="center"/>
                </w:tcPr>
                <w:p w14:paraId="52978F5C">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17.76 </w:t>
                  </w:r>
                </w:p>
              </w:tc>
            </w:tr>
            <w:tr w14:paraId="54D1C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928" w:type="dxa"/>
                  <w:noWrap w:val="0"/>
                  <w:vAlign w:val="center"/>
                </w:tcPr>
                <w:p w14:paraId="26E33716">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2168～2160m</w:t>
                  </w:r>
                </w:p>
              </w:tc>
              <w:tc>
                <w:tcPr>
                  <w:tcW w:w="2148" w:type="dxa"/>
                  <w:noWrap w:val="0"/>
                  <w:vAlign w:val="center"/>
                </w:tcPr>
                <w:p w14:paraId="7BB067D6">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48.48 </w:t>
                  </w:r>
                </w:p>
              </w:tc>
              <w:tc>
                <w:tcPr>
                  <w:tcW w:w="1550" w:type="dxa"/>
                  <w:noWrap w:val="0"/>
                  <w:vAlign w:val="center"/>
                </w:tcPr>
                <w:p w14:paraId="6AB0A680">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2.48</w:t>
                  </w:r>
                </w:p>
              </w:tc>
              <w:tc>
                <w:tcPr>
                  <w:tcW w:w="2154" w:type="dxa"/>
                  <w:noWrap w:val="0"/>
                  <w:vAlign w:val="center"/>
                </w:tcPr>
                <w:p w14:paraId="100DA3F4">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19.55 </w:t>
                  </w:r>
                </w:p>
              </w:tc>
            </w:tr>
            <w:tr w14:paraId="42F9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928" w:type="dxa"/>
                  <w:noWrap w:val="0"/>
                  <w:vAlign w:val="center"/>
                </w:tcPr>
                <w:p w14:paraId="23A0C484">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总计</w:t>
                  </w:r>
                </w:p>
              </w:tc>
              <w:tc>
                <w:tcPr>
                  <w:tcW w:w="2148" w:type="dxa"/>
                  <w:noWrap w:val="0"/>
                  <w:vAlign w:val="center"/>
                </w:tcPr>
                <w:p w14:paraId="21496005">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195.64 </w:t>
                  </w:r>
                </w:p>
              </w:tc>
              <w:tc>
                <w:tcPr>
                  <w:tcW w:w="1550" w:type="dxa"/>
                  <w:noWrap w:val="0"/>
                  <w:vAlign w:val="center"/>
                </w:tcPr>
                <w:p w14:paraId="158EE413">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2.48</w:t>
                  </w:r>
                </w:p>
              </w:tc>
              <w:tc>
                <w:tcPr>
                  <w:tcW w:w="2154" w:type="dxa"/>
                  <w:noWrap w:val="0"/>
                  <w:vAlign w:val="center"/>
                </w:tcPr>
                <w:p w14:paraId="5CF3E058">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 xml:space="preserve">78.88 </w:t>
                  </w:r>
                </w:p>
              </w:tc>
            </w:tr>
          </w:tbl>
          <w:p w14:paraId="652A05E4">
            <w:pPr>
              <w:autoSpaceDE w:val="0"/>
              <w:autoSpaceDN w:val="0"/>
              <w:adjustRightInd w:val="0"/>
              <w:ind w:firstLine="482"/>
              <w:rPr>
                <w:b/>
                <w:bCs/>
                <w:color w:val="auto"/>
                <w:kern w:val="0"/>
                <w:szCs w:val="21"/>
                <w:highlight w:val="none"/>
              </w:rPr>
            </w:pPr>
            <w:r>
              <w:rPr>
                <w:rFonts w:hint="eastAsia"/>
                <w:b/>
                <w:bCs/>
                <w:color w:val="auto"/>
                <w:kern w:val="0"/>
                <w:szCs w:val="21"/>
                <w:highlight w:val="none"/>
              </w:rPr>
              <w:t>5、矿床及矿石特征</w:t>
            </w:r>
          </w:p>
          <w:p w14:paraId="1830E0C2">
            <w:pPr>
              <w:autoSpaceDE w:val="0"/>
              <w:autoSpaceDN w:val="0"/>
              <w:adjustRightInd w:val="0"/>
              <w:ind w:firstLine="482"/>
              <w:rPr>
                <w:b/>
                <w:bCs/>
                <w:color w:val="auto"/>
                <w:kern w:val="0"/>
                <w:szCs w:val="21"/>
                <w:highlight w:val="none"/>
              </w:rPr>
            </w:pPr>
            <w:r>
              <w:rPr>
                <w:rFonts w:hint="eastAsia"/>
                <w:b/>
                <w:bCs/>
                <w:color w:val="auto"/>
                <w:kern w:val="0"/>
                <w:szCs w:val="21"/>
                <w:highlight w:val="none"/>
              </w:rPr>
              <w:t>（1）矿</w:t>
            </w:r>
            <w:r>
              <w:rPr>
                <w:rFonts w:hint="eastAsia"/>
                <w:b/>
                <w:bCs/>
                <w:color w:val="auto"/>
                <w:kern w:val="0"/>
                <w:szCs w:val="21"/>
                <w:highlight w:val="none"/>
                <w:lang w:val="en-US" w:eastAsia="zh-CN"/>
              </w:rPr>
              <w:t>床</w:t>
            </w:r>
            <w:r>
              <w:rPr>
                <w:rFonts w:hint="eastAsia"/>
                <w:b/>
                <w:bCs/>
                <w:color w:val="auto"/>
                <w:kern w:val="0"/>
                <w:szCs w:val="21"/>
                <w:highlight w:val="none"/>
              </w:rPr>
              <w:t>特征</w:t>
            </w:r>
          </w:p>
          <w:p w14:paraId="12910DFE">
            <w:pPr>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矿体为泥盆系中统第一段(D</w:t>
            </w:r>
            <w:r>
              <w:rPr>
                <w:rFonts w:hint="eastAsia" w:ascii="宋体" w:hAnsi="宋体" w:eastAsia="宋体" w:cs="宋体"/>
                <w:color w:val="auto"/>
                <w:sz w:val="24"/>
                <w:szCs w:val="24"/>
                <w:highlight w:val="none"/>
                <w:vertAlign w:val="subscript"/>
              </w:rPr>
              <w:t>2</w:t>
            </w:r>
            <w:r>
              <w:rPr>
                <w:rFonts w:hint="eastAsia" w:ascii="宋体" w:hAnsi="宋体" w:eastAsia="宋体" w:cs="宋体"/>
                <w:color w:val="auto"/>
                <w:sz w:val="24"/>
                <w:szCs w:val="24"/>
                <w:highlight w:val="none"/>
                <w:vertAlign w:val="superscript"/>
              </w:rPr>
              <w:t>a</w:t>
            </w:r>
            <w:r>
              <w:rPr>
                <w:rFonts w:hint="eastAsia" w:ascii="宋体" w:hAnsi="宋体" w:eastAsia="宋体" w:cs="宋体"/>
                <w:color w:val="auto"/>
                <w:sz w:val="24"/>
                <w:szCs w:val="24"/>
                <w:highlight w:val="none"/>
              </w:rPr>
              <w:t>)灰白色强～中等风化中细粒砂岩，属海相沉积矿床，矿体呈层状沿层产出，矿体延伸、扩展范围大，区域矿层(地层)厚度119～356m，总体产状：105-108°∠23～26°。矿床类型为海相沉积矿床。矿区开采境界范围内，矿体长大于250m(两端延出采矿权范围)，宽大于210m（延出矿权外），开采标高2210～2160m范围内强～中等风化砂岩为矿体，铅垂厚度50m（开采高度50m），矿体表层为小于0.5m的风化盖层，无夹石。</w:t>
            </w:r>
          </w:p>
          <w:p w14:paraId="100DA712">
            <w:pPr>
              <w:pageBreakBefore w:val="0"/>
              <w:widowControl w:val="0"/>
              <w:kinsoku/>
              <w:wordWrap/>
              <w:overflowPunct/>
              <w:topLinePunct w:val="0"/>
              <w:autoSpaceDE/>
              <w:autoSpaceDN/>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区内矿石为石英砂岩，矿石具细粒结构，层状构造。以细粒（0.1～0.25mm）石英为主，长石次之，二者含量大于95%，其它矿物含量甚微，未见有害元素。接触～孔隙式胶结，胶结物为钙质、泥质、硅质。</w:t>
            </w:r>
          </w:p>
          <w:p w14:paraId="7E1E5DF2">
            <w:pPr>
              <w:autoSpaceDE w:val="0"/>
              <w:autoSpaceDN w:val="0"/>
              <w:adjustRightInd w:val="0"/>
              <w:spacing w:line="360" w:lineRule="auto"/>
              <w:ind w:firstLine="482"/>
              <w:rPr>
                <w:rFonts w:hint="eastAsia" w:eastAsia="宋体"/>
                <w:b/>
                <w:bCs/>
                <w:color w:val="auto"/>
                <w:kern w:val="0"/>
                <w:sz w:val="24"/>
                <w:szCs w:val="24"/>
                <w:highlight w:val="none"/>
                <w:lang w:eastAsia="zh-CN"/>
              </w:rPr>
            </w:pPr>
            <w:r>
              <w:rPr>
                <w:rFonts w:hint="eastAsia"/>
                <w:b/>
                <w:bCs/>
                <w:color w:val="auto"/>
                <w:kern w:val="0"/>
                <w:sz w:val="24"/>
                <w:szCs w:val="24"/>
                <w:highlight w:val="none"/>
              </w:rPr>
              <w:t>（2）矿石</w:t>
            </w:r>
            <w:r>
              <w:rPr>
                <w:rFonts w:hint="eastAsia"/>
                <w:b/>
                <w:bCs/>
                <w:color w:val="auto"/>
                <w:kern w:val="0"/>
                <w:sz w:val="24"/>
                <w:szCs w:val="24"/>
                <w:highlight w:val="none"/>
                <w:lang w:val="en-US" w:eastAsia="zh-CN"/>
              </w:rPr>
              <w:t>特征</w:t>
            </w:r>
          </w:p>
          <w:p w14:paraId="76FDBB8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1、矿石结构构造</w:t>
            </w:r>
          </w:p>
          <w:p w14:paraId="22D1CC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矿石结构:细粒结构。</w:t>
            </w:r>
          </w:p>
          <w:p w14:paraId="586C63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矿石构造:层状构造。</w:t>
            </w:r>
          </w:p>
          <w:p w14:paraId="08042B4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2、矿物</w:t>
            </w:r>
            <w:r>
              <w:rPr>
                <w:rFonts w:hint="eastAsia" w:ascii="宋体" w:hAnsi="宋体" w:cs="宋体"/>
                <w:color w:val="auto"/>
                <w:sz w:val="24"/>
                <w:szCs w:val="24"/>
                <w:highlight w:val="none"/>
                <w:lang w:val="en-US" w:eastAsia="zh-CN"/>
              </w:rPr>
              <w:t>成分</w:t>
            </w:r>
          </w:p>
          <w:p w14:paraId="303FFBA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矿区矿石矿物</w:t>
            </w:r>
            <w:r>
              <w:rPr>
                <w:rFonts w:hint="eastAsia" w:ascii="宋体" w:hAnsi="宋体" w:cs="宋体"/>
                <w:color w:val="auto"/>
                <w:sz w:val="24"/>
                <w:szCs w:val="24"/>
                <w:highlight w:val="none"/>
                <w:lang w:eastAsia="zh-CN"/>
              </w:rPr>
              <w:t>成分</w:t>
            </w:r>
            <w:r>
              <w:rPr>
                <w:rFonts w:hint="eastAsia" w:ascii="宋体" w:hAnsi="宋体" w:eastAsia="宋体" w:cs="宋体"/>
                <w:color w:val="auto"/>
                <w:sz w:val="24"/>
                <w:szCs w:val="24"/>
                <w:highlight w:val="none"/>
              </w:rPr>
              <w:t>简单，以细粒（0.1～0.25mm）石英为主，长石次之，二者含量大于95%，其它矿物含量甚微，未见有害元素。接触～孔隙式胶结，胶结物为钙质、泥质、硅质。</w:t>
            </w:r>
          </w:p>
          <w:p w14:paraId="19D0B78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据同类矿山相同地层岩性分析数据，其</w:t>
            </w:r>
            <w:r>
              <w:rPr>
                <w:rFonts w:hint="eastAsia" w:ascii="宋体" w:hAnsi="宋体" w:cs="宋体"/>
                <w:color w:val="auto"/>
                <w:sz w:val="24"/>
                <w:szCs w:val="24"/>
                <w:highlight w:val="none"/>
                <w:lang w:eastAsia="zh-CN"/>
              </w:rPr>
              <w:t>化学成分</w:t>
            </w:r>
            <w:r>
              <w:rPr>
                <w:rFonts w:hint="eastAsia" w:ascii="宋体" w:hAnsi="宋体" w:eastAsia="宋体" w:cs="宋体"/>
                <w:color w:val="auto"/>
                <w:sz w:val="24"/>
                <w:szCs w:val="24"/>
                <w:highlight w:val="none"/>
              </w:rPr>
              <w:t>为：SiO</w:t>
            </w:r>
            <w:r>
              <w:rPr>
                <w:rFonts w:hint="eastAsia" w:ascii="宋体" w:hAnsi="宋体" w:eastAsia="宋体" w:cs="宋体"/>
                <w:color w:val="auto"/>
                <w:sz w:val="24"/>
                <w:szCs w:val="24"/>
                <w:highlight w:val="none"/>
                <w:vertAlign w:val="subscript"/>
              </w:rPr>
              <w:t>2</w:t>
            </w:r>
            <w:r>
              <w:rPr>
                <w:rFonts w:hint="eastAsia" w:ascii="宋体" w:hAnsi="宋体" w:eastAsia="宋体" w:cs="宋体"/>
                <w:color w:val="auto"/>
                <w:sz w:val="24"/>
                <w:szCs w:val="24"/>
                <w:highlight w:val="none"/>
              </w:rPr>
              <w:t>：94.59～94.61%，平均94.60%、Al</w:t>
            </w:r>
            <w:r>
              <w:rPr>
                <w:rFonts w:hint="eastAsia" w:ascii="宋体" w:hAnsi="宋体" w:eastAsia="宋体" w:cs="宋体"/>
                <w:color w:val="auto"/>
                <w:sz w:val="24"/>
                <w:szCs w:val="24"/>
                <w:highlight w:val="none"/>
                <w:vertAlign w:val="subscript"/>
              </w:rPr>
              <w:t>2</w:t>
            </w:r>
            <w:r>
              <w:rPr>
                <w:rFonts w:hint="eastAsia" w:ascii="宋体" w:hAnsi="宋体" w:eastAsia="宋体" w:cs="宋体"/>
                <w:color w:val="auto"/>
                <w:sz w:val="24"/>
                <w:szCs w:val="24"/>
                <w:highlight w:val="none"/>
              </w:rPr>
              <w:t>O</w:t>
            </w:r>
            <w:r>
              <w:rPr>
                <w:rFonts w:hint="eastAsia" w:ascii="宋体" w:hAnsi="宋体" w:eastAsia="宋体" w:cs="宋体"/>
                <w:color w:val="auto"/>
                <w:sz w:val="24"/>
                <w:szCs w:val="24"/>
                <w:highlight w:val="none"/>
                <w:vertAlign w:val="subscript"/>
              </w:rPr>
              <w:t>3</w:t>
            </w:r>
            <w:r>
              <w:rPr>
                <w:rFonts w:hint="eastAsia" w:ascii="宋体" w:hAnsi="宋体" w:eastAsia="宋体" w:cs="宋体"/>
                <w:color w:val="auto"/>
                <w:sz w:val="24"/>
                <w:szCs w:val="24"/>
                <w:highlight w:val="none"/>
              </w:rPr>
              <w:t>：2.58～2.62%，平均2.60%、Fe</w:t>
            </w:r>
            <w:r>
              <w:rPr>
                <w:rFonts w:hint="eastAsia" w:ascii="宋体" w:hAnsi="宋体" w:eastAsia="宋体" w:cs="宋体"/>
                <w:color w:val="auto"/>
                <w:sz w:val="24"/>
                <w:szCs w:val="24"/>
                <w:highlight w:val="none"/>
                <w:vertAlign w:val="subscript"/>
              </w:rPr>
              <w:t>2</w:t>
            </w:r>
            <w:r>
              <w:rPr>
                <w:rFonts w:hint="eastAsia" w:ascii="宋体" w:hAnsi="宋体" w:eastAsia="宋体" w:cs="宋体"/>
                <w:color w:val="auto"/>
                <w:sz w:val="24"/>
                <w:szCs w:val="24"/>
                <w:highlight w:val="none"/>
              </w:rPr>
              <w:t>O</w:t>
            </w:r>
            <w:r>
              <w:rPr>
                <w:rFonts w:hint="eastAsia" w:ascii="宋体" w:hAnsi="宋体" w:eastAsia="宋体" w:cs="宋体"/>
                <w:color w:val="auto"/>
                <w:sz w:val="24"/>
                <w:szCs w:val="24"/>
                <w:highlight w:val="none"/>
                <w:vertAlign w:val="subscript"/>
              </w:rPr>
              <w:t>3</w:t>
            </w:r>
            <w:r>
              <w:rPr>
                <w:rFonts w:hint="eastAsia" w:ascii="宋体" w:hAnsi="宋体" w:eastAsia="宋体" w:cs="宋体"/>
                <w:color w:val="auto"/>
                <w:sz w:val="24"/>
                <w:szCs w:val="24"/>
                <w:highlight w:val="none"/>
              </w:rPr>
              <w:t>：1.06～1.08%，平均1.07%。该石英砂岩符合普通建筑材料用砂岩矿。</w:t>
            </w:r>
          </w:p>
          <w:p w14:paraId="6C6536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3、有益、有害组分含量</w:t>
            </w:r>
          </w:p>
          <w:p w14:paraId="53E396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矿区属泥盆系中统第一段(D</w:t>
            </w:r>
            <w:r>
              <w:rPr>
                <w:rFonts w:hint="eastAsia" w:ascii="宋体" w:hAnsi="宋体" w:eastAsia="宋体" w:cs="宋体"/>
                <w:color w:val="auto"/>
                <w:sz w:val="24"/>
                <w:szCs w:val="24"/>
                <w:highlight w:val="none"/>
                <w:vertAlign w:val="subscript"/>
              </w:rPr>
              <w:t>2</w:t>
            </w:r>
            <w:r>
              <w:rPr>
                <w:rFonts w:hint="eastAsia" w:ascii="宋体" w:hAnsi="宋体" w:eastAsia="宋体" w:cs="宋体"/>
                <w:color w:val="auto"/>
                <w:sz w:val="24"/>
                <w:szCs w:val="24"/>
                <w:highlight w:val="none"/>
                <w:vertAlign w:val="superscript"/>
              </w:rPr>
              <w:t>a</w:t>
            </w:r>
            <w:r>
              <w:rPr>
                <w:rFonts w:hint="eastAsia" w:ascii="宋体" w:hAnsi="宋体" w:eastAsia="宋体" w:cs="宋体"/>
                <w:color w:val="auto"/>
                <w:sz w:val="24"/>
                <w:szCs w:val="24"/>
                <w:highlight w:val="none"/>
              </w:rPr>
              <w:t>)地层中的海相沉积型砂岩矿床。矿床成因、成矿特点、区域地质资料均说明此类矿床具有质纯，无放射性元素、S、P、As元素，有害气体含量低，未发现有益有害元素，化学成分稳定的特点。</w:t>
            </w:r>
          </w:p>
          <w:p w14:paraId="4D88CB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通过同类矿山的开采利用也说明此类矿石质量符合普通建筑材料标准。没有影响人体健康的有害元素、放射性元素和有害气体。开采过程中不会对周边环境造成污染。</w:t>
            </w:r>
          </w:p>
          <w:p w14:paraId="29DB9A9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4、矿石品质</w:t>
            </w:r>
          </w:p>
          <w:p w14:paraId="57C7F5D6">
            <w:pPr>
              <w:autoSpaceDE w:val="0"/>
              <w:autoSpaceDN w:val="0"/>
              <w:adjustRightInd w:val="0"/>
              <w:spacing w:line="360" w:lineRule="auto"/>
              <w:ind w:firstLine="480"/>
              <w:rPr>
                <w:rFonts w:hint="eastAsia" w:ascii="Times New Roman" w:hAnsi="Times New Roman" w:cs="Times New Roman"/>
                <w:color w:val="auto"/>
                <w:kern w:val="0"/>
                <w:sz w:val="24"/>
                <w:szCs w:val="24"/>
                <w:highlight w:val="none"/>
              </w:rPr>
            </w:pPr>
            <w:r>
              <w:rPr>
                <w:rFonts w:hint="eastAsia" w:ascii="宋体" w:hAnsi="宋体" w:eastAsia="宋体" w:cs="宋体"/>
                <w:color w:val="auto"/>
                <w:sz w:val="24"/>
                <w:szCs w:val="24"/>
                <w:highlight w:val="none"/>
              </w:rPr>
              <w:t>矿物成分为石英、长石、云母、岩屑等，胶结物主要为硅质。矿石类型为海相沉积砂岩矿床，化学成分稳定，不含有害元素、放射性元素、有害气体。据相邻矿山测试研究资料，矿石天然体重</w:t>
            </w:r>
            <w:r>
              <w:rPr>
                <w:rFonts w:hint="eastAsia" w:ascii="Times New Roman" w:hAnsi="Times New Roman" w:cs="Times New Roman"/>
                <w:color w:val="auto"/>
                <w:kern w:val="0"/>
                <w:sz w:val="24"/>
                <w:szCs w:val="24"/>
                <w:highlight w:val="none"/>
              </w:rPr>
              <w:t>2.48</w:t>
            </w:r>
            <w:r>
              <w:rPr>
                <w:rFonts w:hint="eastAsia" w:ascii="Times New Roman" w:hAnsi="Times New Roman" w:cs="Times New Roman"/>
                <w:color w:val="auto"/>
                <w:kern w:val="0"/>
                <w:sz w:val="24"/>
                <w:szCs w:val="24"/>
                <w:highlight w:val="none"/>
                <w:lang w:val="en-US" w:eastAsia="zh-CN"/>
              </w:rPr>
              <w:t>t</w:t>
            </w:r>
            <w:r>
              <w:rPr>
                <w:rFonts w:hint="eastAsia" w:ascii="Times New Roman" w:hAnsi="Times New Roman" w:cs="Times New Roman"/>
                <w:color w:val="auto"/>
                <w:kern w:val="0"/>
                <w:sz w:val="24"/>
                <w:szCs w:val="24"/>
                <w:highlight w:val="none"/>
              </w:rPr>
              <w:t>/m</w:t>
            </w:r>
            <w:r>
              <w:rPr>
                <w:rFonts w:hint="eastAsia" w:ascii="Times New Roman" w:hAnsi="Times New Roman" w:cs="Times New Roman"/>
                <w:color w:val="auto"/>
                <w:kern w:val="0"/>
                <w:sz w:val="24"/>
                <w:szCs w:val="24"/>
                <w:highlight w:val="none"/>
                <w:vertAlign w:val="superscript"/>
              </w:rPr>
              <w:t>3</w:t>
            </w:r>
            <w:r>
              <w:rPr>
                <w:rFonts w:hint="eastAsia" w:ascii="Times New Roman" w:hAnsi="Times New Roman" w:cs="Times New Roman"/>
                <w:color w:val="auto"/>
                <w:kern w:val="0"/>
                <w:sz w:val="24"/>
                <w:szCs w:val="24"/>
                <w:highlight w:val="none"/>
              </w:rPr>
              <w:t>，该砂岩矿可满足普通建筑材料用石料要求。</w:t>
            </w:r>
          </w:p>
          <w:p w14:paraId="6B420404">
            <w:pPr>
              <w:autoSpaceDE w:val="0"/>
              <w:autoSpaceDN w:val="0"/>
              <w:adjustRightInd w:val="0"/>
              <w:spacing w:line="360" w:lineRule="auto"/>
              <w:ind w:firstLine="480"/>
              <w:rPr>
                <w:rFonts w:hint="eastAsia" w:ascii="Times New Roman" w:hAnsi="Times New Roman" w:cs="Times New Roman"/>
                <w:color w:val="auto"/>
                <w:kern w:val="0"/>
                <w:sz w:val="24"/>
                <w:szCs w:val="24"/>
                <w:highlight w:val="none"/>
              </w:rPr>
            </w:pPr>
            <w:r>
              <w:rPr>
                <w:rFonts w:hint="eastAsia" w:ascii="Times New Roman" w:hAnsi="Times New Roman" w:cs="Times New Roman"/>
                <w:color w:val="auto"/>
                <w:kern w:val="0"/>
                <w:sz w:val="24"/>
                <w:szCs w:val="24"/>
                <w:highlight w:val="none"/>
                <w:lang w:eastAsia="zh-CN"/>
              </w:rPr>
              <w:t>（</w:t>
            </w:r>
            <w:r>
              <w:rPr>
                <w:rFonts w:hint="eastAsia" w:ascii="Times New Roman" w:hAnsi="Times New Roman" w:cs="Times New Roman"/>
                <w:color w:val="auto"/>
                <w:kern w:val="0"/>
                <w:sz w:val="24"/>
                <w:szCs w:val="24"/>
                <w:highlight w:val="none"/>
                <w:lang w:val="en-US" w:eastAsia="zh-CN"/>
              </w:rPr>
              <w:t>3</w:t>
            </w:r>
            <w:r>
              <w:rPr>
                <w:rFonts w:hint="eastAsia" w:ascii="Times New Roman" w:hAnsi="Times New Roman" w:cs="Times New Roman"/>
                <w:color w:val="auto"/>
                <w:kern w:val="0"/>
                <w:sz w:val="24"/>
                <w:szCs w:val="24"/>
                <w:highlight w:val="none"/>
                <w:lang w:eastAsia="zh-CN"/>
              </w:rPr>
              <w:t>）</w:t>
            </w:r>
            <w:r>
              <w:rPr>
                <w:rFonts w:hint="eastAsia" w:ascii="Times New Roman" w:hAnsi="Times New Roman" w:cs="Times New Roman"/>
                <w:color w:val="auto"/>
                <w:kern w:val="0"/>
                <w:sz w:val="24"/>
                <w:szCs w:val="24"/>
                <w:highlight w:val="none"/>
              </w:rPr>
              <w:t>矿石类型</w:t>
            </w:r>
          </w:p>
          <w:p w14:paraId="2AD24CA3">
            <w:pPr>
              <w:autoSpaceDE w:val="0"/>
              <w:autoSpaceDN w:val="0"/>
              <w:adjustRightInd w:val="0"/>
              <w:ind w:firstLine="480"/>
              <w:rPr>
                <w:rFonts w:hint="eastAsia" w:ascii="Times New Roman" w:hAnsi="Times New Roman" w:cs="Times New Roman"/>
                <w:color w:val="auto"/>
                <w:kern w:val="0"/>
                <w:szCs w:val="21"/>
                <w:highlight w:val="none"/>
              </w:rPr>
            </w:pPr>
            <w:r>
              <w:rPr>
                <w:rFonts w:hint="eastAsia" w:ascii="Times New Roman" w:hAnsi="Times New Roman" w:cs="Times New Roman"/>
                <w:color w:val="auto"/>
                <w:kern w:val="0"/>
                <w:szCs w:val="21"/>
                <w:highlight w:val="none"/>
              </w:rPr>
              <w:t>矿石的自然类型为强～中等风化砂岩。</w:t>
            </w:r>
          </w:p>
          <w:p w14:paraId="150B4464">
            <w:pPr>
              <w:autoSpaceDE w:val="0"/>
              <w:autoSpaceDN w:val="0"/>
              <w:adjustRightInd w:val="0"/>
              <w:ind w:firstLine="480"/>
              <w:rPr>
                <w:rFonts w:hint="eastAsia" w:ascii="Times New Roman" w:hAnsi="Times New Roman" w:cs="Times New Roman"/>
                <w:color w:val="auto"/>
                <w:kern w:val="0"/>
                <w:szCs w:val="21"/>
                <w:highlight w:val="none"/>
              </w:rPr>
            </w:pPr>
            <w:r>
              <w:rPr>
                <w:rFonts w:hint="eastAsia" w:ascii="Times New Roman" w:hAnsi="Times New Roman" w:cs="Times New Roman"/>
                <w:color w:val="auto"/>
                <w:kern w:val="0"/>
                <w:szCs w:val="21"/>
                <w:highlight w:val="none"/>
                <w:lang w:eastAsia="zh-CN"/>
              </w:rPr>
              <w:t>（</w:t>
            </w:r>
            <w:r>
              <w:rPr>
                <w:rFonts w:hint="eastAsia" w:ascii="Times New Roman" w:hAnsi="Times New Roman" w:cs="Times New Roman"/>
                <w:color w:val="auto"/>
                <w:kern w:val="0"/>
                <w:szCs w:val="21"/>
                <w:highlight w:val="none"/>
                <w:lang w:val="en-US" w:eastAsia="zh-CN"/>
              </w:rPr>
              <w:t>4</w:t>
            </w:r>
            <w:r>
              <w:rPr>
                <w:rFonts w:hint="eastAsia" w:ascii="Times New Roman" w:hAnsi="Times New Roman" w:cs="Times New Roman"/>
                <w:color w:val="auto"/>
                <w:kern w:val="0"/>
                <w:szCs w:val="21"/>
                <w:highlight w:val="none"/>
                <w:lang w:eastAsia="zh-CN"/>
              </w:rPr>
              <w:t>）</w:t>
            </w:r>
            <w:r>
              <w:rPr>
                <w:rFonts w:hint="eastAsia" w:ascii="Times New Roman" w:hAnsi="Times New Roman" w:cs="Times New Roman"/>
                <w:color w:val="auto"/>
                <w:kern w:val="0"/>
                <w:szCs w:val="21"/>
                <w:highlight w:val="none"/>
              </w:rPr>
              <w:t>矿体围岩和夹石</w:t>
            </w:r>
          </w:p>
          <w:p w14:paraId="4C0ACE05">
            <w:pPr>
              <w:autoSpaceDE w:val="0"/>
              <w:autoSpaceDN w:val="0"/>
              <w:adjustRightInd w:val="0"/>
              <w:ind w:firstLine="480"/>
              <w:rPr>
                <w:rFonts w:hint="eastAsia" w:ascii="Times New Roman" w:hAnsi="Times New Roman" w:cs="Times New Roman"/>
                <w:color w:val="auto"/>
                <w:kern w:val="0"/>
                <w:szCs w:val="21"/>
                <w:highlight w:val="none"/>
              </w:rPr>
            </w:pPr>
            <w:r>
              <w:rPr>
                <w:rFonts w:hint="eastAsia" w:ascii="Times New Roman" w:hAnsi="Times New Roman" w:cs="Times New Roman"/>
                <w:color w:val="auto"/>
                <w:kern w:val="0"/>
                <w:szCs w:val="21"/>
                <w:highlight w:val="none"/>
              </w:rPr>
              <w:t xml:space="preserve">矿区矿床类型为海相沉积砂岩矿床，矿体为泥盆系中统第一段(D2a)地层，矿层稳定且分布广泛，矿石质量稳定，本次圈定的矿区范围仅为矿体（床）的一小部分，无夹石，仅在矿区南西部低洼处有0.5-3m厚的表土层。 </w:t>
            </w:r>
          </w:p>
          <w:p w14:paraId="4513F8DF">
            <w:pPr>
              <w:autoSpaceDE w:val="0"/>
              <w:autoSpaceDN w:val="0"/>
              <w:adjustRightInd w:val="0"/>
              <w:ind w:firstLine="482"/>
              <w:rPr>
                <w:b/>
                <w:bCs/>
                <w:color w:val="auto"/>
                <w:kern w:val="0"/>
                <w:szCs w:val="21"/>
                <w:highlight w:val="none"/>
              </w:rPr>
            </w:pPr>
            <w:r>
              <w:rPr>
                <w:rFonts w:hint="eastAsia"/>
                <w:b/>
                <w:bCs/>
                <w:color w:val="auto"/>
                <w:kern w:val="0"/>
                <w:szCs w:val="21"/>
                <w:highlight w:val="none"/>
                <w:lang w:val="en-US" w:eastAsia="zh-CN"/>
              </w:rPr>
              <w:t>5</w:t>
            </w:r>
            <w:r>
              <w:rPr>
                <w:rFonts w:hint="eastAsia"/>
                <w:b/>
                <w:bCs/>
                <w:color w:val="auto"/>
                <w:kern w:val="0"/>
                <w:szCs w:val="21"/>
                <w:highlight w:val="none"/>
              </w:rPr>
              <w:t>、开采范围</w:t>
            </w:r>
          </w:p>
          <w:p w14:paraId="403F6741">
            <w:pPr>
              <w:autoSpaceDE w:val="0"/>
              <w:autoSpaceDN w:val="0"/>
              <w:adjustRightInd w:val="0"/>
              <w:ind w:firstLine="480"/>
              <w:rPr>
                <w:rFonts w:hint="eastAsia" w:ascii="Times New Roman" w:hAnsi="Times New Roman" w:eastAsia="宋体" w:cs="Times New Roman"/>
                <w:color w:val="auto"/>
                <w:kern w:val="0"/>
                <w:szCs w:val="21"/>
                <w:highlight w:val="none"/>
              </w:rPr>
            </w:pPr>
            <w:r>
              <w:rPr>
                <w:rFonts w:hint="eastAsia" w:cs="Times New Roman"/>
                <w:color w:val="auto"/>
                <w:kern w:val="0"/>
                <w:szCs w:val="21"/>
                <w:highlight w:val="none"/>
                <w:lang w:val="en-US" w:eastAsia="zh-CN"/>
              </w:rPr>
              <w:t>根据</w:t>
            </w:r>
            <w:r>
              <w:rPr>
                <w:rFonts w:hint="eastAsia" w:ascii="Times New Roman" w:hAnsi="Times New Roman" w:eastAsia="宋体" w:cs="Times New Roman"/>
                <w:color w:val="auto"/>
                <w:highlight w:val="none"/>
                <w:lang w:val="en-US" w:eastAsia="zh-CN"/>
              </w:rPr>
              <w:t>《云南省寻甸县柯渡黄龙溏普通建筑材料用砂岩矿50万t/a露天采矿工程安全设施设计》</w:t>
            </w:r>
            <w:r>
              <w:rPr>
                <w:rFonts w:hint="eastAsia" w:cs="Times New Roman"/>
                <w:color w:val="auto"/>
                <w:highlight w:val="none"/>
                <w:lang w:val="en-US" w:eastAsia="zh-CN"/>
              </w:rPr>
              <w:t>，</w:t>
            </w:r>
            <w:r>
              <w:rPr>
                <w:rFonts w:hint="eastAsia" w:ascii="Times New Roman" w:hAnsi="Times New Roman" w:eastAsia="宋体" w:cs="Times New Roman"/>
                <w:color w:val="auto"/>
                <w:kern w:val="0"/>
                <w:szCs w:val="21"/>
                <w:highlight w:val="none"/>
                <w:lang w:val="en-US" w:eastAsia="zh-CN"/>
              </w:rPr>
              <w:t>矿权范围内核准估算的所有矿体全部进行回采设计</w:t>
            </w:r>
            <w:r>
              <w:rPr>
                <w:rFonts w:hint="eastAsia" w:ascii="Times New Roman" w:hAnsi="Times New Roman" w:eastAsia="宋体" w:cs="Times New Roman"/>
                <w:color w:val="auto"/>
                <w:kern w:val="0"/>
                <w:szCs w:val="21"/>
                <w:highlight w:val="none"/>
              </w:rPr>
              <w:t>，按照一次性整体设计要求，</w:t>
            </w:r>
            <w:r>
              <w:rPr>
                <w:rFonts w:hint="eastAsia" w:ascii="Times New Roman" w:hAnsi="Times New Roman" w:eastAsia="宋体" w:cs="Times New Roman"/>
                <w:color w:val="auto"/>
                <w:kern w:val="0"/>
                <w:szCs w:val="21"/>
                <w:highlight w:val="none"/>
                <w:lang w:val="en-US" w:eastAsia="zh-CN"/>
              </w:rPr>
              <w:t>同时根据企业提供现状实测图，矿权范围内最高可采标高为2208m，故</w:t>
            </w:r>
            <w:r>
              <w:rPr>
                <w:rFonts w:hint="eastAsia" w:ascii="Times New Roman" w:hAnsi="Times New Roman" w:eastAsia="宋体" w:cs="Times New Roman"/>
                <w:color w:val="auto"/>
                <w:kern w:val="0"/>
                <w:szCs w:val="21"/>
                <w:highlight w:val="none"/>
              </w:rPr>
              <w:t>本次设计</w:t>
            </w:r>
            <w:r>
              <w:rPr>
                <w:rFonts w:hint="eastAsia" w:ascii="Times New Roman" w:hAnsi="Times New Roman" w:eastAsia="宋体" w:cs="Times New Roman"/>
                <w:color w:val="auto"/>
                <w:kern w:val="0"/>
                <w:szCs w:val="21"/>
                <w:highlight w:val="none"/>
                <w:lang w:val="en-US" w:eastAsia="zh-CN"/>
              </w:rPr>
              <w:t>开采标高为2208m-2160m</w:t>
            </w:r>
            <w:r>
              <w:rPr>
                <w:rFonts w:hint="eastAsia" w:ascii="Times New Roman" w:hAnsi="Times New Roman" w:eastAsia="宋体" w:cs="Times New Roman"/>
                <w:color w:val="auto"/>
                <w:kern w:val="0"/>
                <w:szCs w:val="21"/>
                <w:highlight w:val="none"/>
              </w:rPr>
              <w:t>。</w:t>
            </w:r>
          </w:p>
          <w:p w14:paraId="5C86611B">
            <w:pPr>
              <w:autoSpaceDE w:val="0"/>
              <w:autoSpaceDN w:val="0"/>
              <w:adjustRightInd w:val="0"/>
              <w:ind w:firstLine="482"/>
              <w:rPr>
                <w:rFonts w:hint="eastAsia" w:eastAsia="宋体"/>
                <w:b/>
                <w:bCs/>
                <w:color w:val="auto"/>
                <w:kern w:val="0"/>
                <w:szCs w:val="21"/>
                <w:highlight w:val="none"/>
                <w:lang w:eastAsia="zh-CN"/>
              </w:rPr>
            </w:pPr>
            <w:r>
              <w:rPr>
                <w:rFonts w:hint="eastAsia"/>
                <w:b/>
                <w:bCs/>
                <w:color w:val="auto"/>
                <w:kern w:val="0"/>
                <w:szCs w:val="21"/>
                <w:highlight w:val="none"/>
                <w:lang w:val="en-US" w:eastAsia="zh-CN"/>
              </w:rPr>
              <w:t>6</w:t>
            </w:r>
            <w:r>
              <w:rPr>
                <w:rFonts w:hint="eastAsia"/>
                <w:b/>
                <w:bCs/>
                <w:color w:val="auto"/>
                <w:kern w:val="0"/>
                <w:szCs w:val="21"/>
                <w:highlight w:val="none"/>
              </w:rPr>
              <w:t>、开采方式及开采</w:t>
            </w:r>
            <w:r>
              <w:rPr>
                <w:rFonts w:hint="eastAsia"/>
                <w:b/>
                <w:bCs/>
                <w:color w:val="auto"/>
                <w:kern w:val="0"/>
                <w:szCs w:val="21"/>
                <w:highlight w:val="none"/>
                <w:lang w:val="en-US" w:eastAsia="zh-CN"/>
              </w:rPr>
              <w:t>顺序</w:t>
            </w:r>
          </w:p>
          <w:p w14:paraId="2A48377B">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（1）开采方式</w:t>
            </w:r>
          </w:p>
          <w:p w14:paraId="277DB02B">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结合矿区内矿体的赋存条件和地形地貌特征，本次设计的开采方式为露天开采。</w:t>
            </w:r>
          </w:p>
          <w:p w14:paraId="4D7698C0">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（2）开采顺序</w:t>
            </w:r>
          </w:p>
          <w:p w14:paraId="734522BF">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矿山采用露天开采，自上而下的开采顺序，具体为：剥离用挖掘机直接在2208m标高进行，然后在2208m标高开采2200m台阶以上的矿石，同时向下开采2192m台阶的矿石，后续台阶的以此类推进行。</w:t>
            </w:r>
          </w:p>
          <w:p w14:paraId="0E312AC8">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其整体的开采顺序为：2200m台阶（安全平台4m）→2192m台阶（安全平台4m）→2184m台阶（清扫平台8m）→2176m台阶（安全平台4m）→2168m台阶（安全平台4m）→2160m台阶。</w:t>
            </w:r>
          </w:p>
          <w:p w14:paraId="49DB0CEB">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上、下台阶同时作业时，上部台阶的铲装设备应超前下部台阶铲装设备；超前距离不小于铲装设备最大工作半径的3倍﹐且不小于50m。</w:t>
            </w:r>
          </w:p>
          <w:p w14:paraId="6ED87189">
            <w:pPr>
              <w:autoSpaceDE w:val="0"/>
              <w:autoSpaceDN w:val="0"/>
              <w:adjustRightInd w:val="0"/>
              <w:ind w:firstLine="482"/>
              <w:rPr>
                <w:b/>
                <w:bCs/>
                <w:color w:val="auto"/>
                <w:kern w:val="0"/>
                <w:szCs w:val="21"/>
                <w:highlight w:val="none"/>
              </w:rPr>
            </w:pPr>
            <w:r>
              <w:rPr>
                <w:rFonts w:hint="eastAsia"/>
                <w:b/>
                <w:bCs/>
                <w:color w:val="auto"/>
                <w:kern w:val="0"/>
                <w:szCs w:val="21"/>
                <w:highlight w:val="none"/>
              </w:rPr>
              <w:t>8、</w:t>
            </w:r>
            <w:r>
              <w:rPr>
                <w:b/>
                <w:bCs/>
                <w:color w:val="auto"/>
                <w:kern w:val="0"/>
                <w:szCs w:val="21"/>
                <w:highlight w:val="none"/>
              </w:rPr>
              <w:t>露天开采境界</w:t>
            </w:r>
          </w:p>
          <w:p w14:paraId="7612BFF5">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根据《云南省寻甸县柯渡黄龙溏普通建筑材料用砂岩矿50万t/a露天采矿工程安全设施设计》计算，本项目</w:t>
            </w:r>
            <w:r>
              <w:rPr>
                <w:rFonts w:hint="eastAsia" w:cs="Times New Roman"/>
                <w:color w:val="auto"/>
                <w:kern w:val="0"/>
                <w:szCs w:val="21"/>
                <w:highlight w:val="none"/>
                <w:lang w:val="en-US" w:eastAsia="zh-CN"/>
              </w:rPr>
              <w:t>露天开采区</w:t>
            </w:r>
            <w:r>
              <w:rPr>
                <w:rFonts w:hint="eastAsia" w:ascii="Times New Roman" w:hAnsi="Times New Roman" w:eastAsia="宋体" w:cs="Times New Roman"/>
                <w:color w:val="auto"/>
                <w:kern w:val="0"/>
                <w:szCs w:val="21"/>
                <w:highlight w:val="none"/>
                <w:lang w:val="en-US" w:eastAsia="zh-CN"/>
              </w:rPr>
              <w:t>境界结果如下：</w:t>
            </w:r>
          </w:p>
          <w:p w14:paraId="712B976A">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采场顶部标高 ： 2208m；</w:t>
            </w:r>
          </w:p>
          <w:p w14:paraId="542275E9">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采场最高台阶标高：2200m；</w:t>
            </w:r>
          </w:p>
          <w:p w14:paraId="61004A96">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采场最低台阶标高：2160m；</w:t>
            </w:r>
          </w:p>
          <w:p w14:paraId="22C1DBE1">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台阶高度：8m；</w:t>
            </w:r>
          </w:p>
          <w:p w14:paraId="2BAE7F5B">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靠帮台阶坡面角：55°；</w:t>
            </w:r>
          </w:p>
          <w:p w14:paraId="356B210E">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安全平台宽度：4m；</w:t>
            </w:r>
          </w:p>
          <w:p w14:paraId="1534A08E">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清扫平台宽度：8m；</w:t>
            </w:r>
          </w:p>
          <w:p w14:paraId="2A09486F">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最终边坡角：北侧、东北侧≤27°、西侧≤40°；</w:t>
            </w:r>
          </w:p>
          <w:p w14:paraId="4D6A62F2">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最小工作平台宽度：20m；</w:t>
            </w:r>
          </w:p>
          <w:p w14:paraId="2DCD70E5">
            <w:pPr>
              <w:autoSpaceDE w:val="0"/>
              <w:autoSpaceDN w:val="0"/>
              <w:adjustRightInd w:val="0"/>
              <w:ind w:firstLine="480"/>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圈定的</w:t>
            </w:r>
            <w:r>
              <w:rPr>
                <w:rFonts w:hint="eastAsia" w:cs="Times New Roman"/>
                <w:color w:val="auto"/>
                <w:kern w:val="0"/>
                <w:szCs w:val="21"/>
                <w:highlight w:val="none"/>
                <w:lang w:val="en-US" w:eastAsia="zh-CN"/>
              </w:rPr>
              <w:t>露天开采区</w:t>
            </w:r>
            <w:r>
              <w:rPr>
                <w:rFonts w:hint="eastAsia" w:ascii="Times New Roman" w:hAnsi="Times New Roman" w:eastAsia="宋体" w:cs="Times New Roman"/>
                <w:color w:val="auto"/>
                <w:kern w:val="0"/>
                <w:szCs w:val="21"/>
                <w:highlight w:val="none"/>
                <w:lang w:val="en-US" w:eastAsia="zh-CN"/>
              </w:rPr>
              <w:t>境界主要技术指标见表2-13。</w:t>
            </w:r>
          </w:p>
          <w:p w14:paraId="3BEA10D7">
            <w:pPr>
              <w:spacing w:line="240" w:lineRule="auto"/>
              <w:ind w:firstLine="0" w:firstLineChars="0"/>
              <w:jc w:val="center"/>
              <w:rPr>
                <w:rFonts w:hint="eastAsia" w:ascii="Times New Roman" w:hAnsi="Times New Roman" w:eastAsia="宋体" w:cs="Times New Roman"/>
                <w:b/>
                <w:color w:val="auto"/>
                <w:sz w:val="21"/>
                <w:szCs w:val="21"/>
                <w:highlight w:val="none"/>
              </w:rPr>
            </w:pPr>
            <w:r>
              <w:rPr>
                <w:rFonts w:hint="eastAsia" w:ascii="Times New Roman" w:hAnsi="Times New Roman" w:eastAsia="宋体" w:cs="Times New Roman"/>
                <w:b/>
                <w:color w:val="auto"/>
                <w:sz w:val="21"/>
                <w:szCs w:val="21"/>
                <w:highlight w:val="none"/>
              </w:rPr>
              <w:t>表2-</w:t>
            </w:r>
            <w:r>
              <w:rPr>
                <w:rFonts w:hint="eastAsia" w:ascii="Times New Roman" w:hAnsi="Times New Roman" w:eastAsia="宋体" w:cs="Times New Roman"/>
                <w:b/>
                <w:color w:val="auto"/>
                <w:sz w:val="21"/>
                <w:szCs w:val="21"/>
                <w:highlight w:val="none"/>
                <w:lang w:val="en-US" w:eastAsia="zh-CN"/>
              </w:rPr>
              <w:t xml:space="preserve">13 </w:t>
            </w:r>
            <w:r>
              <w:rPr>
                <w:rFonts w:hint="eastAsia" w:ascii="Times New Roman" w:hAnsi="Times New Roman" w:eastAsia="宋体" w:cs="Times New Roman"/>
                <w:b/>
                <w:color w:val="auto"/>
                <w:sz w:val="21"/>
                <w:szCs w:val="21"/>
                <w:highlight w:val="none"/>
              </w:rPr>
              <w:t>露天开采最终境界表</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3531"/>
              <w:gridCol w:w="932"/>
              <w:gridCol w:w="916"/>
              <w:gridCol w:w="1541"/>
            </w:tblGrid>
            <w:tr w14:paraId="5986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52122898">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序号</w:t>
                  </w:r>
                </w:p>
              </w:tc>
              <w:tc>
                <w:tcPr>
                  <w:tcW w:w="2247" w:type="pct"/>
                  <w:noWrap w:val="0"/>
                  <w:vAlign w:val="center"/>
                </w:tcPr>
                <w:p w14:paraId="064801E5">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项    目</w:t>
                  </w:r>
                </w:p>
              </w:tc>
              <w:tc>
                <w:tcPr>
                  <w:tcW w:w="593" w:type="pct"/>
                  <w:noWrap w:val="0"/>
                  <w:vAlign w:val="center"/>
                </w:tcPr>
                <w:p w14:paraId="31B71133">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单 位</w:t>
                  </w:r>
                </w:p>
              </w:tc>
              <w:tc>
                <w:tcPr>
                  <w:tcW w:w="1563" w:type="pct"/>
                  <w:gridSpan w:val="2"/>
                  <w:noWrap w:val="0"/>
                  <w:vAlign w:val="center"/>
                </w:tcPr>
                <w:p w14:paraId="39BED5C0">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参数</w:t>
                  </w:r>
                </w:p>
              </w:tc>
            </w:tr>
            <w:tr w14:paraId="3C53D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30BB39AE">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1</w:t>
                  </w:r>
                </w:p>
              </w:tc>
              <w:tc>
                <w:tcPr>
                  <w:tcW w:w="2247" w:type="pct"/>
                  <w:noWrap w:val="0"/>
                  <w:vAlign w:val="center"/>
                </w:tcPr>
                <w:p w14:paraId="6C866FD6">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采矿许可证核准最高开采标高</w:t>
                  </w:r>
                </w:p>
              </w:tc>
              <w:tc>
                <w:tcPr>
                  <w:tcW w:w="593" w:type="pct"/>
                  <w:noWrap w:val="0"/>
                  <w:vAlign w:val="center"/>
                </w:tcPr>
                <w:p w14:paraId="3287CE19">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m</w:t>
                  </w:r>
                </w:p>
              </w:tc>
              <w:tc>
                <w:tcPr>
                  <w:tcW w:w="1563" w:type="pct"/>
                  <w:gridSpan w:val="2"/>
                  <w:noWrap w:val="0"/>
                  <w:vAlign w:val="center"/>
                </w:tcPr>
                <w:p w14:paraId="3CAB4613">
                  <w:pPr>
                    <w:snapToGrid w:val="0"/>
                    <w:spacing w:line="240" w:lineRule="auto"/>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2210</w:t>
                  </w:r>
                </w:p>
              </w:tc>
            </w:tr>
            <w:tr w14:paraId="08B11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7C657F57">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2</w:t>
                  </w:r>
                </w:p>
              </w:tc>
              <w:tc>
                <w:tcPr>
                  <w:tcW w:w="2247" w:type="pct"/>
                  <w:noWrap w:val="0"/>
                  <w:vAlign w:val="center"/>
                </w:tcPr>
                <w:p w14:paraId="1D9BA37F">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采矿许可证核准最低开采标高</w:t>
                  </w:r>
                </w:p>
              </w:tc>
              <w:tc>
                <w:tcPr>
                  <w:tcW w:w="593" w:type="pct"/>
                  <w:noWrap w:val="0"/>
                  <w:vAlign w:val="center"/>
                </w:tcPr>
                <w:p w14:paraId="735E55D5">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m</w:t>
                  </w:r>
                </w:p>
              </w:tc>
              <w:tc>
                <w:tcPr>
                  <w:tcW w:w="1563" w:type="pct"/>
                  <w:gridSpan w:val="2"/>
                  <w:noWrap w:val="0"/>
                  <w:vAlign w:val="center"/>
                </w:tcPr>
                <w:p w14:paraId="274F36CD">
                  <w:pPr>
                    <w:snapToGrid w:val="0"/>
                    <w:spacing w:line="240" w:lineRule="auto"/>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2160</w:t>
                  </w:r>
                </w:p>
              </w:tc>
            </w:tr>
            <w:tr w14:paraId="64DB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7B44347E">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3</w:t>
                  </w:r>
                </w:p>
              </w:tc>
              <w:tc>
                <w:tcPr>
                  <w:tcW w:w="2247" w:type="pct"/>
                  <w:noWrap w:val="0"/>
                  <w:vAlign w:val="center"/>
                </w:tcPr>
                <w:p w14:paraId="2A210A03">
                  <w:pPr>
                    <w:snapToGrid w:val="0"/>
                    <w:spacing w:line="240" w:lineRule="auto"/>
                    <w:ind w:firstLine="0" w:firstLineChars="0"/>
                    <w:jc w:val="center"/>
                    <w:rPr>
                      <w:rFonts w:hint="default" w:ascii="宋体" w:hAnsi="宋体" w:cs="宋体"/>
                      <w:color w:val="auto"/>
                      <w:kern w:val="2"/>
                      <w:sz w:val="21"/>
                      <w:szCs w:val="21"/>
                      <w:highlight w:val="none"/>
                      <w:lang w:val="en-US" w:eastAsia="zh-CN" w:bidi="ar-SA"/>
                    </w:rPr>
                  </w:pPr>
                  <w:r>
                    <w:rPr>
                      <w:rFonts w:hint="eastAsia"/>
                      <w:color w:val="auto"/>
                      <w:sz w:val="21"/>
                      <w:szCs w:val="21"/>
                      <w:highlight w:val="none"/>
                      <w:lang w:eastAsia="zh-CN"/>
                    </w:rPr>
                    <w:t>露天开采区</w:t>
                  </w:r>
                  <w:r>
                    <w:rPr>
                      <w:rFonts w:hint="eastAsia"/>
                      <w:color w:val="auto"/>
                      <w:sz w:val="21"/>
                      <w:szCs w:val="21"/>
                      <w:highlight w:val="none"/>
                    </w:rPr>
                    <w:t>最高台阶标高</w:t>
                  </w:r>
                </w:p>
              </w:tc>
              <w:tc>
                <w:tcPr>
                  <w:tcW w:w="593" w:type="pct"/>
                  <w:noWrap w:val="0"/>
                  <w:vAlign w:val="center"/>
                </w:tcPr>
                <w:p w14:paraId="7AADBC17">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m</w:t>
                  </w:r>
                </w:p>
              </w:tc>
              <w:tc>
                <w:tcPr>
                  <w:tcW w:w="1563" w:type="pct"/>
                  <w:gridSpan w:val="2"/>
                  <w:noWrap w:val="0"/>
                  <w:vAlign w:val="center"/>
                </w:tcPr>
                <w:p w14:paraId="3ACBCA69">
                  <w:pPr>
                    <w:snapToGrid w:val="0"/>
                    <w:spacing w:line="240" w:lineRule="auto"/>
                    <w:ind w:firstLine="0" w:firstLineChars="0"/>
                    <w:jc w:val="center"/>
                    <w:rPr>
                      <w:rFonts w:hint="default" w:ascii="宋体" w:hAnsi="宋体" w:eastAsia="宋体" w:cs="宋体"/>
                      <w:color w:val="auto"/>
                      <w:kern w:val="2"/>
                      <w:sz w:val="21"/>
                      <w:szCs w:val="21"/>
                      <w:highlight w:val="none"/>
                      <w:lang w:val="en-US" w:eastAsia="zh-CN" w:bidi="ar-SA"/>
                    </w:rPr>
                  </w:pPr>
                  <w:r>
                    <w:rPr>
                      <w:rFonts w:hint="eastAsia"/>
                      <w:color w:val="auto"/>
                      <w:sz w:val="21"/>
                      <w:szCs w:val="21"/>
                      <w:highlight w:val="none"/>
                      <w:lang w:val="en-US" w:eastAsia="zh-CN"/>
                    </w:rPr>
                    <w:t>2200</w:t>
                  </w:r>
                </w:p>
              </w:tc>
            </w:tr>
            <w:tr w14:paraId="181AA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1A864D9B">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4</w:t>
                  </w:r>
                </w:p>
              </w:tc>
              <w:tc>
                <w:tcPr>
                  <w:tcW w:w="2247" w:type="pct"/>
                  <w:noWrap w:val="0"/>
                  <w:vAlign w:val="center"/>
                </w:tcPr>
                <w:p w14:paraId="5D75E2B9">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lang w:eastAsia="zh-CN"/>
                    </w:rPr>
                    <w:t>露天开采区</w:t>
                  </w:r>
                  <w:r>
                    <w:rPr>
                      <w:rFonts w:hint="eastAsia"/>
                      <w:color w:val="auto"/>
                      <w:sz w:val="21"/>
                      <w:szCs w:val="21"/>
                      <w:highlight w:val="none"/>
                    </w:rPr>
                    <w:t>最低台阶标高</w:t>
                  </w:r>
                </w:p>
              </w:tc>
              <w:tc>
                <w:tcPr>
                  <w:tcW w:w="593" w:type="pct"/>
                  <w:noWrap w:val="0"/>
                  <w:vAlign w:val="center"/>
                </w:tcPr>
                <w:p w14:paraId="4DA95582">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m</w:t>
                  </w:r>
                </w:p>
              </w:tc>
              <w:tc>
                <w:tcPr>
                  <w:tcW w:w="1563" w:type="pct"/>
                  <w:gridSpan w:val="2"/>
                  <w:noWrap w:val="0"/>
                  <w:vAlign w:val="center"/>
                </w:tcPr>
                <w:p w14:paraId="155D6A84">
                  <w:pPr>
                    <w:snapToGrid w:val="0"/>
                    <w:spacing w:line="240" w:lineRule="auto"/>
                    <w:ind w:firstLine="0" w:firstLineChars="0"/>
                    <w:jc w:val="center"/>
                    <w:rPr>
                      <w:rFonts w:hint="default" w:ascii="宋体" w:hAnsi="宋体" w:eastAsia="宋体" w:cs="宋体"/>
                      <w:color w:val="auto"/>
                      <w:kern w:val="2"/>
                      <w:sz w:val="21"/>
                      <w:szCs w:val="21"/>
                      <w:highlight w:val="none"/>
                      <w:lang w:val="en-US" w:eastAsia="zh-CN" w:bidi="ar-SA"/>
                    </w:rPr>
                  </w:pPr>
                  <w:r>
                    <w:rPr>
                      <w:rFonts w:hint="eastAsia"/>
                      <w:color w:val="auto"/>
                      <w:sz w:val="21"/>
                      <w:szCs w:val="21"/>
                      <w:highlight w:val="none"/>
                      <w:lang w:val="en-US" w:eastAsia="zh-CN"/>
                    </w:rPr>
                    <w:t>2160</w:t>
                  </w:r>
                </w:p>
              </w:tc>
            </w:tr>
            <w:tr w14:paraId="6A24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658BBC60">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5</w:t>
                  </w:r>
                </w:p>
              </w:tc>
              <w:tc>
                <w:tcPr>
                  <w:tcW w:w="2247" w:type="pct"/>
                  <w:noWrap w:val="0"/>
                  <w:vAlign w:val="center"/>
                </w:tcPr>
                <w:p w14:paraId="072EF7FF">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lang w:eastAsia="zh-CN"/>
                    </w:rPr>
                    <w:t>露天开采区</w:t>
                  </w:r>
                  <w:r>
                    <w:rPr>
                      <w:rFonts w:hint="eastAsia"/>
                      <w:color w:val="auto"/>
                      <w:sz w:val="21"/>
                      <w:szCs w:val="21"/>
                      <w:highlight w:val="none"/>
                    </w:rPr>
                    <w:t>上口尺寸</w:t>
                  </w:r>
                </w:p>
              </w:tc>
              <w:tc>
                <w:tcPr>
                  <w:tcW w:w="593" w:type="pct"/>
                  <w:noWrap w:val="0"/>
                  <w:vAlign w:val="center"/>
                </w:tcPr>
                <w:p w14:paraId="2A9F906C">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m*m</w:t>
                  </w:r>
                </w:p>
              </w:tc>
              <w:tc>
                <w:tcPr>
                  <w:tcW w:w="1563" w:type="pct"/>
                  <w:gridSpan w:val="2"/>
                  <w:noWrap w:val="0"/>
                  <w:vAlign w:val="center"/>
                </w:tcPr>
                <w:p w14:paraId="07815A6E">
                  <w:pPr>
                    <w:snapToGrid w:val="0"/>
                    <w:spacing w:line="240" w:lineRule="auto"/>
                    <w:ind w:firstLine="0" w:firstLineChars="0"/>
                    <w:jc w:val="center"/>
                    <w:rPr>
                      <w:rFonts w:hint="default" w:ascii="宋体" w:hAnsi="宋体" w:cs="宋体"/>
                      <w:color w:val="auto"/>
                      <w:kern w:val="2"/>
                      <w:sz w:val="21"/>
                      <w:szCs w:val="21"/>
                      <w:highlight w:val="none"/>
                      <w:lang w:val="en-US" w:eastAsia="zh-CN" w:bidi="ar-SA"/>
                    </w:rPr>
                  </w:pPr>
                  <w:r>
                    <w:rPr>
                      <w:rFonts w:hint="eastAsia"/>
                      <w:color w:val="auto"/>
                      <w:sz w:val="21"/>
                      <w:szCs w:val="21"/>
                      <w:highlight w:val="none"/>
                      <w:lang w:val="en-US" w:eastAsia="zh-CN"/>
                    </w:rPr>
                    <w:t>250</w:t>
                  </w:r>
                  <w:r>
                    <w:rPr>
                      <w:rFonts w:hint="eastAsia"/>
                      <w:color w:val="auto"/>
                      <w:sz w:val="21"/>
                      <w:szCs w:val="21"/>
                      <w:highlight w:val="none"/>
                    </w:rPr>
                    <w:t>m×</w:t>
                  </w:r>
                  <w:r>
                    <w:rPr>
                      <w:rFonts w:hint="eastAsia"/>
                      <w:color w:val="auto"/>
                      <w:sz w:val="21"/>
                      <w:szCs w:val="21"/>
                      <w:highlight w:val="none"/>
                      <w:lang w:val="en-US" w:eastAsia="zh-CN"/>
                    </w:rPr>
                    <w:t>220</w:t>
                  </w:r>
                  <w:r>
                    <w:rPr>
                      <w:rFonts w:hint="eastAsia"/>
                      <w:color w:val="auto"/>
                      <w:sz w:val="21"/>
                      <w:szCs w:val="21"/>
                      <w:highlight w:val="none"/>
                    </w:rPr>
                    <w:t>m</w:t>
                  </w:r>
                </w:p>
              </w:tc>
            </w:tr>
            <w:tr w14:paraId="6C0B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609520F0">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6</w:t>
                  </w:r>
                </w:p>
              </w:tc>
              <w:tc>
                <w:tcPr>
                  <w:tcW w:w="2247" w:type="pct"/>
                  <w:noWrap w:val="0"/>
                  <w:vAlign w:val="center"/>
                </w:tcPr>
                <w:p w14:paraId="435A8C67">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lang w:eastAsia="zh-CN"/>
                    </w:rPr>
                    <w:t>露天开采区</w:t>
                  </w:r>
                  <w:r>
                    <w:rPr>
                      <w:rFonts w:hint="eastAsia"/>
                      <w:color w:val="auto"/>
                      <w:sz w:val="21"/>
                      <w:szCs w:val="21"/>
                      <w:highlight w:val="none"/>
                    </w:rPr>
                    <w:t>下口尺寸</w:t>
                  </w:r>
                </w:p>
              </w:tc>
              <w:tc>
                <w:tcPr>
                  <w:tcW w:w="593" w:type="pct"/>
                  <w:noWrap w:val="0"/>
                  <w:vAlign w:val="center"/>
                </w:tcPr>
                <w:p w14:paraId="569EA9FC">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m*m</w:t>
                  </w:r>
                </w:p>
              </w:tc>
              <w:tc>
                <w:tcPr>
                  <w:tcW w:w="1563" w:type="pct"/>
                  <w:gridSpan w:val="2"/>
                  <w:noWrap w:val="0"/>
                  <w:vAlign w:val="center"/>
                </w:tcPr>
                <w:p w14:paraId="4D3E1A4C">
                  <w:pPr>
                    <w:snapToGrid w:val="0"/>
                    <w:spacing w:line="240" w:lineRule="auto"/>
                    <w:ind w:firstLine="0" w:firstLineChars="0"/>
                    <w:jc w:val="center"/>
                    <w:rPr>
                      <w:rFonts w:hint="default" w:ascii="宋体" w:hAnsi="宋体" w:cs="宋体"/>
                      <w:color w:val="auto"/>
                      <w:kern w:val="2"/>
                      <w:sz w:val="21"/>
                      <w:szCs w:val="21"/>
                      <w:highlight w:val="none"/>
                      <w:lang w:val="en-US" w:eastAsia="zh-CN" w:bidi="ar-SA"/>
                    </w:rPr>
                  </w:pPr>
                  <w:r>
                    <w:rPr>
                      <w:rFonts w:hint="eastAsia"/>
                      <w:color w:val="auto"/>
                      <w:sz w:val="21"/>
                      <w:szCs w:val="21"/>
                      <w:highlight w:val="none"/>
                      <w:lang w:val="en-US" w:eastAsia="zh-CN"/>
                    </w:rPr>
                    <w:t>140</w:t>
                  </w:r>
                  <w:r>
                    <w:rPr>
                      <w:rFonts w:hint="eastAsia"/>
                      <w:color w:val="auto"/>
                      <w:sz w:val="21"/>
                      <w:szCs w:val="21"/>
                      <w:highlight w:val="none"/>
                    </w:rPr>
                    <w:t>m×</w:t>
                  </w:r>
                  <w:r>
                    <w:rPr>
                      <w:rFonts w:hint="eastAsia"/>
                      <w:color w:val="auto"/>
                      <w:sz w:val="21"/>
                      <w:szCs w:val="21"/>
                      <w:highlight w:val="none"/>
                      <w:lang w:val="en-US" w:eastAsia="zh-CN"/>
                    </w:rPr>
                    <w:t>128</w:t>
                  </w:r>
                  <w:r>
                    <w:rPr>
                      <w:rFonts w:hint="eastAsia"/>
                      <w:color w:val="auto"/>
                      <w:sz w:val="21"/>
                      <w:szCs w:val="21"/>
                      <w:highlight w:val="none"/>
                    </w:rPr>
                    <w:t>m</w:t>
                  </w:r>
                </w:p>
              </w:tc>
            </w:tr>
            <w:tr w14:paraId="49A2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04B7387A">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7</w:t>
                  </w:r>
                </w:p>
              </w:tc>
              <w:tc>
                <w:tcPr>
                  <w:tcW w:w="2247" w:type="pct"/>
                  <w:noWrap w:val="0"/>
                  <w:vAlign w:val="center"/>
                </w:tcPr>
                <w:p w14:paraId="1AFEEB25">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lang w:eastAsia="zh-CN"/>
                    </w:rPr>
                    <w:t>露天开采区</w:t>
                  </w:r>
                  <w:r>
                    <w:rPr>
                      <w:rFonts w:hint="eastAsia"/>
                      <w:color w:val="auto"/>
                      <w:sz w:val="21"/>
                      <w:szCs w:val="21"/>
                      <w:highlight w:val="none"/>
                      <w:lang w:val="en-US" w:eastAsia="zh-CN"/>
                    </w:rPr>
                    <w:t>设计</w:t>
                  </w:r>
                  <w:r>
                    <w:rPr>
                      <w:rFonts w:hint="eastAsia"/>
                      <w:color w:val="auto"/>
                      <w:sz w:val="21"/>
                      <w:szCs w:val="21"/>
                      <w:highlight w:val="none"/>
                    </w:rPr>
                    <w:t>最大边坡高度</w:t>
                  </w:r>
                </w:p>
              </w:tc>
              <w:tc>
                <w:tcPr>
                  <w:tcW w:w="593" w:type="pct"/>
                  <w:noWrap w:val="0"/>
                  <w:vAlign w:val="center"/>
                </w:tcPr>
                <w:p w14:paraId="2AF88FC0">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m</w:t>
                  </w:r>
                </w:p>
              </w:tc>
              <w:tc>
                <w:tcPr>
                  <w:tcW w:w="1563" w:type="pct"/>
                  <w:gridSpan w:val="2"/>
                  <w:noWrap w:val="0"/>
                  <w:vAlign w:val="center"/>
                </w:tcPr>
                <w:p w14:paraId="29165A3C">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lang w:val="en-US" w:eastAsia="zh-CN"/>
                    </w:rPr>
                    <w:t>48</w:t>
                  </w:r>
                  <w:r>
                    <w:rPr>
                      <w:rFonts w:hint="eastAsia"/>
                      <w:color w:val="auto"/>
                      <w:sz w:val="21"/>
                      <w:szCs w:val="21"/>
                      <w:highlight w:val="none"/>
                    </w:rPr>
                    <w:t>m</w:t>
                  </w:r>
                </w:p>
              </w:tc>
            </w:tr>
            <w:tr w14:paraId="2FB9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754F1C48">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8</w:t>
                  </w:r>
                </w:p>
              </w:tc>
              <w:tc>
                <w:tcPr>
                  <w:tcW w:w="2247" w:type="pct"/>
                  <w:noWrap w:val="0"/>
                  <w:vAlign w:val="center"/>
                </w:tcPr>
                <w:p w14:paraId="1C2F242E">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采出矿石量</w:t>
                  </w:r>
                </w:p>
              </w:tc>
              <w:tc>
                <w:tcPr>
                  <w:tcW w:w="593" w:type="pct"/>
                  <w:noWrap w:val="0"/>
                  <w:vAlign w:val="center"/>
                </w:tcPr>
                <w:p w14:paraId="3B0C8AF5">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万t</w:t>
                  </w:r>
                </w:p>
              </w:tc>
              <w:tc>
                <w:tcPr>
                  <w:tcW w:w="1563" w:type="pct"/>
                  <w:gridSpan w:val="2"/>
                  <w:noWrap w:val="0"/>
                  <w:vAlign w:val="center"/>
                </w:tcPr>
                <w:p w14:paraId="14A0289C">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 xml:space="preserve">195.64 </w:t>
                  </w:r>
                </w:p>
              </w:tc>
            </w:tr>
            <w:tr w14:paraId="2271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6DD47267">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9</w:t>
                  </w:r>
                </w:p>
              </w:tc>
              <w:tc>
                <w:tcPr>
                  <w:tcW w:w="2247" w:type="pct"/>
                  <w:noWrap w:val="0"/>
                  <w:vAlign w:val="center"/>
                </w:tcPr>
                <w:p w14:paraId="7DE6414D">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矿石矿体重</w:t>
                  </w:r>
                </w:p>
              </w:tc>
              <w:tc>
                <w:tcPr>
                  <w:tcW w:w="593" w:type="pct"/>
                  <w:noWrap w:val="0"/>
                  <w:vAlign w:val="center"/>
                </w:tcPr>
                <w:p w14:paraId="7E8F0B8F">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t/ m³</w:t>
                  </w:r>
                </w:p>
              </w:tc>
              <w:tc>
                <w:tcPr>
                  <w:tcW w:w="1563" w:type="pct"/>
                  <w:gridSpan w:val="2"/>
                  <w:noWrap w:val="0"/>
                  <w:vAlign w:val="center"/>
                </w:tcPr>
                <w:p w14:paraId="3995EAAE">
                  <w:pPr>
                    <w:snapToGrid w:val="0"/>
                    <w:spacing w:line="240" w:lineRule="auto"/>
                    <w:ind w:firstLine="0" w:firstLineChars="0"/>
                    <w:jc w:val="center"/>
                    <w:rPr>
                      <w:rFonts w:hint="default" w:ascii="宋体" w:hAnsi="宋体" w:eastAsia="宋体" w:cs="宋体"/>
                      <w:color w:val="auto"/>
                      <w:kern w:val="2"/>
                      <w:sz w:val="21"/>
                      <w:szCs w:val="21"/>
                      <w:highlight w:val="none"/>
                      <w:lang w:val="en-US" w:eastAsia="zh-CN" w:bidi="ar-SA"/>
                    </w:rPr>
                  </w:pPr>
                  <w:r>
                    <w:rPr>
                      <w:rFonts w:hint="eastAsia" w:eastAsia="宋体"/>
                      <w:color w:val="auto"/>
                      <w:sz w:val="21"/>
                      <w:szCs w:val="21"/>
                      <w:highlight w:val="none"/>
                      <w:lang w:val="en-US" w:eastAsia="zh-CN"/>
                    </w:rPr>
                    <w:t>2.48</w:t>
                  </w:r>
                </w:p>
              </w:tc>
            </w:tr>
            <w:tr w14:paraId="4599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61709556">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color w:val="auto"/>
                      <w:sz w:val="21"/>
                      <w:szCs w:val="21"/>
                      <w:highlight w:val="none"/>
                    </w:rPr>
                    <w:t>1</w:t>
                  </w:r>
                  <w:r>
                    <w:rPr>
                      <w:rFonts w:hint="eastAsia"/>
                      <w:color w:val="auto"/>
                      <w:sz w:val="21"/>
                      <w:szCs w:val="21"/>
                      <w:highlight w:val="none"/>
                    </w:rPr>
                    <w:t>0</w:t>
                  </w:r>
                </w:p>
              </w:tc>
              <w:tc>
                <w:tcPr>
                  <w:tcW w:w="2247" w:type="pct"/>
                  <w:noWrap w:val="0"/>
                  <w:vAlign w:val="center"/>
                </w:tcPr>
                <w:p w14:paraId="4FF9FC72">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lang w:val="en-US" w:eastAsia="zh-CN"/>
                    </w:rPr>
                    <w:t>生产</w:t>
                  </w:r>
                  <w:r>
                    <w:rPr>
                      <w:rFonts w:hint="eastAsia"/>
                      <w:color w:val="auto"/>
                      <w:sz w:val="21"/>
                      <w:szCs w:val="21"/>
                      <w:highlight w:val="none"/>
                    </w:rPr>
                    <w:t>台阶高度</w:t>
                  </w:r>
                </w:p>
              </w:tc>
              <w:tc>
                <w:tcPr>
                  <w:tcW w:w="593" w:type="pct"/>
                  <w:noWrap w:val="0"/>
                  <w:vAlign w:val="center"/>
                </w:tcPr>
                <w:p w14:paraId="589FC03A">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m</w:t>
                  </w:r>
                </w:p>
              </w:tc>
              <w:tc>
                <w:tcPr>
                  <w:tcW w:w="1563" w:type="pct"/>
                  <w:gridSpan w:val="2"/>
                  <w:noWrap w:val="0"/>
                  <w:vAlign w:val="center"/>
                </w:tcPr>
                <w:p w14:paraId="1284C3BE">
                  <w:pPr>
                    <w:snapToGrid w:val="0"/>
                    <w:spacing w:line="240" w:lineRule="auto"/>
                    <w:ind w:firstLine="0" w:firstLineChars="0"/>
                    <w:jc w:val="center"/>
                    <w:rPr>
                      <w:rFonts w:hint="eastAsia" w:ascii="宋体" w:hAnsi="宋体" w:eastAsia="宋体" w:cs="宋体"/>
                      <w:color w:val="auto"/>
                      <w:kern w:val="2"/>
                      <w:sz w:val="21"/>
                      <w:szCs w:val="21"/>
                      <w:highlight w:val="none"/>
                      <w:lang w:val="en-US" w:eastAsia="zh-CN" w:bidi="ar-SA"/>
                    </w:rPr>
                  </w:pPr>
                  <w:r>
                    <w:rPr>
                      <w:rFonts w:hint="eastAsia" w:eastAsia="宋体"/>
                      <w:color w:val="auto"/>
                      <w:sz w:val="21"/>
                      <w:szCs w:val="21"/>
                      <w:highlight w:val="none"/>
                      <w:lang w:val="en-US" w:eastAsia="zh-CN"/>
                    </w:rPr>
                    <w:t>8</w:t>
                  </w:r>
                </w:p>
              </w:tc>
            </w:tr>
            <w:tr w14:paraId="6FCB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7A6D2E0C">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1</w:t>
                  </w:r>
                </w:p>
              </w:tc>
              <w:tc>
                <w:tcPr>
                  <w:tcW w:w="2247" w:type="pct"/>
                  <w:noWrap w:val="0"/>
                  <w:vAlign w:val="center"/>
                </w:tcPr>
                <w:p w14:paraId="47B9C4FF">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台阶坡面角</w:t>
                  </w:r>
                </w:p>
              </w:tc>
              <w:tc>
                <w:tcPr>
                  <w:tcW w:w="593" w:type="pct"/>
                  <w:noWrap w:val="0"/>
                  <w:vAlign w:val="center"/>
                </w:tcPr>
                <w:p w14:paraId="7EF91B94">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w:t>
                  </w:r>
                </w:p>
              </w:tc>
              <w:tc>
                <w:tcPr>
                  <w:tcW w:w="1563" w:type="pct"/>
                  <w:gridSpan w:val="2"/>
                  <w:noWrap w:val="0"/>
                  <w:vAlign w:val="center"/>
                </w:tcPr>
                <w:p w14:paraId="12A68295">
                  <w:pPr>
                    <w:snapToGrid w:val="0"/>
                    <w:spacing w:line="240" w:lineRule="auto"/>
                    <w:ind w:firstLine="0" w:firstLineChars="0"/>
                    <w:jc w:val="center"/>
                    <w:rPr>
                      <w:rFonts w:hint="default" w:ascii="宋体" w:hAnsi="宋体" w:eastAsia="宋体" w:cs="宋体"/>
                      <w:color w:val="auto"/>
                      <w:kern w:val="2"/>
                      <w:sz w:val="21"/>
                      <w:szCs w:val="21"/>
                      <w:highlight w:val="none"/>
                      <w:lang w:val="en-US" w:eastAsia="zh-CN" w:bidi="ar-SA"/>
                    </w:rPr>
                  </w:pPr>
                  <w:r>
                    <w:rPr>
                      <w:rFonts w:hint="eastAsia"/>
                      <w:color w:val="auto"/>
                      <w:sz w:val="21"/>
                      <w:szCs w:val="21"/>
                      <w:highlight w:val="none"/>
                      <w:lang w:val="en-US" w:eastAsia="zh-CN"/>
                    </w:rPr>
                    <w:t>55</w:t>
                  </w:r>
                </w:p>
              </w:tc>
            </w:tr>
            <w:tr w14:paraId="5D37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180C3109">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2</w:t>
                  </w:r>
                </w:p>
              </w:tc>
              <w:tc>
                <w:tcPr>
                  <w:tcW w:w="2247" w:type="pct"/>
                  <w:noWrap w:val="0"/>
                  <w:vAlign w:val="center"/>
                </w:tcPr>
                <w:p w14:paraId="7F40B364">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安全平台</w:t>
                  </w:r>
                </w:p>
              </w:tc>
              <w:tc>
                <w:tcPr>
                  <w:tcW w:w="593" w:type="pct"/>
                  <w:noWrap w:val="0"/>
                  <w:vAlign w:val="center"/>
                </w:tcPr>
                <w:p w14:paraId="03CA4418">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m</w:t>
                  </w:r>
                </w:p>
              </w:tc>
              <w:tc>
                <w:tcPr>
                  <w:tcW w:w="1563" w:type="pct"/>
                  <w:gridSpan w:val="2"/>
                  <w:noWrap w:val="0"/>
                  <w:vAlign w:val="center"/>
                </w:tcPr>
                <w:p w14:paraId="1D8F9FDA">
                  <w:pPr>
                    <w:snapToGrid w:val="0"/>
                    <w:spacing w:line="240" w:lineRule="auto"/>
                    <w:ind w:firstLine="0" w:firstLineChars="0"/>
                    <w:jc w:val="center"/>
                    <w:rPr>
                      <w:rFonts w:hint="eastAsia" w:ascii="宋体" w:hAnsi="宋体" w:eastAsia="宋体" w:cs="宋体"/>
                      <w:color w:val="auto"/>
                      <w:kern w:val="2"/>
                      <w:sz w:val="21"/>
                      <w:szCs w:val="21"/>
                      <w:highlight w:val="none"/>
                      <w:lang w:val="en-US" w:eastAsia="zh-CN" w:bidi="ar-SA"/>
                    </w:rPr>
                  </w:pPr>
                  <w:r>
                    <w:rPr>
                      <w:rFonts w:hint="eastAsia"/>
                      <w:color w:val="auto"/>
                      <w:sz w:val="21"/>
                      <w:szCs w:val="21"/>
                      <w:highlight w:val="none"/>
                      <w:lang w:val="en-US" w:eastAsia="zh-CN"/>
                    </w:rPr>
                    <w:t>4</w:t>
                  </w:r>
                </w:p>
              </w:tc>
            </w:tr>
            <w:tr w14:paraId="6FC04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76F83E32">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1</w:t>
                  </w:r>
                  <w:r>
                    <w:rPr>
                      <w:color w:val="auto"/>
                      <w:sz w:val="21"/>
                      <w:szCs w:val="21"/>
                      <w:highlight w:val="none"/>
                    </w:rPr>
                    <w:t>3</w:t>
                  </w:r>
                </w:p>
              </w:tc>
              <w:tc>
                <w:tcPr>
                  <w:tcW w:w="2247" w:type="pct"/>
                  <w:noWrap w:val="0"/>
                  <w:vAlign w:val="center"/>
                </w:tcPr>
                <w:p w14:paraId="1DFC52ED">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清扫平台</w:t>
                  </w:r>
                </w:p>
              </w:tc>
              <w:tc>
                <w:tcPr>
                  <w:tcW w:w="593" w:type="pct"/>
                  <w:noWrap w:val="0"/>
                  <w:vAlign w:val="center"/>
                </w:tcPr>
                <w:p w14:paraId="0AAD7542">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m</w:t>
                  </w:r>
                </w:p>
              </w:tc>
              <w:tc>
                <w:tcPr>
                  <w:tcW w:w="1563" w:type="pct"/>
                  <w:gridSpan w:val="2"/>
                  <w:noWrap w:val="0"/>
                  <w:vAlign w:val="center"/>
                </w:tcPr>
                <w:p w14:paraId="1F9D9464">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8</w:t>
                  </w:r>
                </w:p>
              </w:tc>
            </w:tr>
            <w:tr w14:paraId="40BF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vMerge w:val="restart"/>
                  <w:noWrap w:val="0"/>
                  <w:vAlign w:val="center"/>
                </w:tcPr>
                <w:p w14:paraId="22BC35A4">
                  <w:pPr>
                    <w:snapToGrid w:val="0"/>
                    <w:spacing w:line="240" w:lineRule="auto"/>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14</w:t>
                  </w:r>
                </w:p>
              </w:tc>
              <w:tc>
                <w:tcPr>
                  <w:tcW w:w="2247" w:type="pct"/>
                  <w:vMerge w:val="restart"/>
                  <w:noWrap w:val="0"/>
                  <w:vAlign w:val="center"/>
                </w:tcPr>
                <w:p w14:paraId="1414A2D6">
                  <w:pPr>
                    <w:snapToGrid w:val="0"/>
                    <w:spacing w:line="240" w:lineRule="auto"/>
                    <w:ind w:firstLine="0" w:firstLineChars="0"/>
                    <w:jc w:val="center"/>
                    <w:rPr>
                      <w:rFonts w:hint="eastAsia" w:ascii="宋体" w:hAnsi="宋体" w:eastAsia="宋体" w:cs="宋体"/>
                      <w:color w:val="auto"/>
                      <w:kern w:val="2"/>
                      <w:sz w:val="21"/>
                      <w:szCs w:val="21"/>
                      <w:highlight w:val="none"/>
                      <w:lang w:val="en-US" w:eastAsia="zh-CN" w:bidi="ar-SA"/>
                    </w:rPr>
                  </w:pPr>
                  <w:r>
                    <w:rPr>
                      <w:rFonts w:hint="eastAsia"/>
                      <w:color w:val="auto"/>
                      <w:sz w:val="21"/>
                      <w:szCs w:val="21"/>
                      <w:highlight w:val="none"/>
                      <w:lang w:eastAsia="zh-CN"/>
                    </w:rPr>
                    <w:t>最终边坡角</w:t>
                  </w:r>
                </w:p>
              </w:tc>
              <w:tc>
                <w:tcPr>
                  <w:tcW w:w="593" w:type="pct"/>
                  <w:noWrap w:val="0"/>
                  <w:vAlign w:val="center"/>
                </w:tcPr>
                <w:p w14:paraId="31557A45">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w:t>
                  </w:r>
                </w:p>
              </w:tc>
              <w:tc>
                <w:tcPr>
                  <w:tcW w:w="583" w:type="pct"/>
                  <w:noWrap w:val="0"/>
                  <w:vAlign w:val="center"/>
                </w:tcPr>
                <w:p w14:paraId="3EFDE4FA">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≤4</w:t>
                  </w:r>
                  <w:r>
                    <w:rPr>
                      <w:rFonts w:hint="eastAsia"/>
                      <w:color w:val="auto"/>
                      <w:sz w:val="21"/>
                      <w:szCs w:val="21"/>
                      <w:highlight w:val="none"/>
                      <w:lang w:val="en-US" w:eastAsia="zh-CN"/>
                    </w:rPr>
                    <w:t>0</w:t>
                  </w:r>
                  <w:r>
                    <w:rPr>
                      <w:rFonts w:hint="eastAsia"/>
                      <w:color w:val="auto"/>
                      <w:sz w:val="21"/>
                      <w:szCs w:val="21"/>
                      <w:highlight w:val="none"/>
                    </w:rPr>
                    <w:t>°</w:t>
                  </w:r>
                </w:p>
              </w:tc>
              <w:tc>
                <w:tcPr>
                  <w:tcW w:w="980" w:type="pct"/>
                  <w:noWrap w:val="0"/>
                  <w:vAlign w:val="center"/>
                </w:tcPr>
                <w:p w14:paraId="35ECAA85">
                  <w:pPr>
                    <w:snapToGrid w:val="0"/>
                    <w:spacing w:line="240" w:lineRule="auto"/>
                    <w:ind w:firstLine="0" w:firstLineChars="0"/>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西</w:t>
                  </w:r>
                  <w:r>
                    <w:rPr>
                      <w:rFonts w:hint="eastAsia" w:ascii="宋体" w:hAnsi="宋体" w:eastAsia="宋体" w:cs="宋体"/>
                      <w:color w:val="auto"/>
                      <w:sz w:val="21"/>
                      <w:szCs w:val="21"/>
                      <w:highlight w:val="none"/>
                    </w:rPr>
                    <w:t>侧</w:t>
                  </w:r>
                </w:p>
              </w:tc>
            </w:tr>
            <w:tr w14:paraId="64E0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595" w:type="pct"/>
                  <w:vMerge w:val="continue"/>
                  <w:noWrap w:val="0"/>
                  <w:vAlign w:val="center"/>
                </w:tcPr>
                <w:p w14:paraId="47473069">
                  <w:pPr>
                    <w:snapToGrid w:val="0"/>
                    <w:spacing w:line="240" w:lineRule="auto"/>
                    <w:ind w:firstLine="0" w:firstLineChars="0"/>
                    <w:jc w:val="center"/>
                    <w:rPr>
                      <w:rFonts w:hint="eastAsia"/>
                      <w:color w:val="auto"/>
                      <w:sz w:val="21"/>
                      <w:szCs w:val="21"/>
                      <w:highlight w:val="none"/>
                      <w:lang w:val="en-US" w:eastAsia="zh-CN"/>
                    </w:rPr>
                  </w:pPr>
                </w:p>
              </w:tc>
              <w:tc>
                <w:tcPr>
                  <w:tcW w:w="2247" w:type="pct"/>
                  <w:vMerge w:val="continue"/>
                  <w:noWrap w:val="0"/>
                  <w:vAlign w:val="center"/>
                </w:tcPr>
                <w:p w14:paraId="29F4A3F8">
                  <w:pPr>
                    <w:snapToGrid w:val="0"/>
                    <w:spacing w:line="240" w:lineRule="auto"/>
                    <w:ind w:firstLine="0" w:firstLineChars="0"/>
                    <w:jc w:val="center"/>
                    <w:rPr>
                      <w:rFonts w:hint="eastAsia"/>
                      <w:color w:val="auto"/>
                      <w:sz w:val="21"/>
                      <w:szCs w:val="21"/>
                      <w:highlight w:val="none"/>
                    </w:rPr>
                  </w:pPr>
                </w:p>
              </w:tc>
              <w:tc>
                <w:tcPr>
                  <w:tcW w:w="593" w:type="pct"/>
                  <w:noWrap w:val="0"/>
                  <w:vAlign w:val="center"/>
                </w:tcPr>
                <w:p w14:paraId="469DB083">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w:t>
                  </w:r>
                </w:p>
              </w:tc>
              <w:tc>
                <w:tcPr>
                  <w:tcW w:w="583" w:type="pct"/>
                  <w:noWrap w:val="0"/>
                  <w:vAlign w:val="center"/>
                </w:tcPr>
                <w:p w14:paraId="73505778">
                  <w:pPr>
                    <w:snapToGri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27</w:t>
                  </w:r>
                  <w:r>
                    <w:rPr>
                      <w:rFonts w:hint="eastAsia"/>
                      <w:color w:val="auto"/>
                      <w:sz w:val="21"/>
                      <w:szCs w:val="21"/>
                      <w:highlight w:val="none"/>
                    </w:rPr>
                    <w:t>°</w:t>
                  </w:r>
                </w:p>
              </w:tc>
              <w:tc>
                <w:tcPr>
                  <w:tcW w:w="980" w:type="pct"/>
                  <w:noWrap w:val="0"/>
                  <w:vAlign w:val="center"/>
                </w:tcPr>
                <w:p w14:paraId="49A980AA">
                  <w:pPr>
                    <w:snapToGrid w:val="0"/>
                    <w:spacing w:line="240" w:lineRule="auto"/>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北侧、东北</w:t>
                  </w:r>
                  <w:r>
                    <w:rPr>
                      <w:rFonts w:hint="eastAsia" w:ascii="宋体" w:hAnsi="宋体" w:eastAsia="宋体" w:cs="宋体"/>
                      <w:color w:val="auto"/>
                      <w:sz w:val="21"/>
                      <w:szCs w:val="21"/>
                      <w:highlight w:val="none"/>
                    </w:rPr>
                    <w:t>侧</w:t>
                  </w:r>
                </w:p>
              </w:tc>
            </w:tr>
            <w:tr w14:paraId="55E8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595" w:type="pct"/>
                  <w:noWrap w:val="0"/>
                  <w:vAlign w:val="center"/>
                </w:tcPr>
                <w:p w14:paraId="5800BA68">
                  <w:pPr>
                    <w:snapToGrid w:val="0"/>
                    <w:spacing w:line="240" w:lineRule="auto"/>
                    <w:ind w:firstLine="0" w:firstLineChars="0"/>
                    <w:jc w:val="center"/>
                    <w:rPr>
                      <w:rFonts w:hint="eastAsia" w:ascii="宋体" w:hAnsi="宋体" w:eastAsia="宋体" w:cs="宋体"/>
                      <w:color w:val="auto"/>
                      <w:kern w:val="2"/>
                      <w:sz w:val="21"/>
                      <w:szCs w:val="21"/>
                      <w:highlight w:val="none"/>
                      <w:lang w:val="en-US" w:eastAsia="zh-CN" w:bidi="ar-SA"/>
                    </w:rPr>
                  </w:pPr>
                  <w:r>
                    <w:rPr>
                      <w:rFonts w:hint="eastAsia"/>
                      <w:color w:val="auto"/>
                      <w:sz w:val="21"/>
                      <w:szCs w:val="21"/>
                      <w:highlight w:val="none"/>
                      <w:lang w:val="en-US" w:eastAsia="zh-CN"/>
                    </w:rPr>
                    <w:t>15</w:t>
                  </w:r>
                </w:p>
              </w:tc>
              <w:tc>
                <w:tcPr>
                  <w:tcW w:w="2247" w:type="pct"/>
                  <w:noWrap w:val="0"/>
                  <w:vAlign w:val="center"/>
                </w:tcPr>
                <w:p w14:paraId="1FA21612">
                  <w:pPr>
                    <w:snapToGrid w:val="0"/>
                    <w:spacing w:line="240" w:lineRule="auto"/>
                    <w:ind w:firstLine="0" w:firstLineChars="0"/>
                    <w:jc w:val="center"/>
                    <w:rPr>
                      <w:rFonts w:hint="default" w:ascii="宋体" w:hAnsi="宋体" w:cs="宋体"/>
                      <w:color w:val="auto"/>
                      <w:kern w:val="2"/>
                      <w:sz w:val="21"/>
                      <w:szCs w:val="21"/>
                      <w:highlight w:val="none"/>
                      <w:lang w:val="en-US" w:eastAsia="zh-CN" w:bidi="ar-SA"/>
                    </w:rPr>
                  </w:pPr>
                  <w:r>
                    <w:rPr>
                      <w:rFonts w:hint="eastAsia"/>
                      <w:color w:val="auto"/>
                      <w:sz w:val="21"/>
                      <w:szCs w:val="21"/>
                      <w:highlight w:val="none"/>
                    </w:rPr>
                    <w:t>剥离量</w:t>
                  </w:r>
                </w:p>
              </w:tc>
              <w:tc>
                <w:tcPr>
                  <w:tcW w:w="593" w:type="pct"/>
                  <w:noWrap w:val="0"/>
                  <w:vAlign w:val="center"/>
                </w:tcPr>
                <w:p w14:paraId="5D94D11C">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lang w:val="en-US" w:eastAsia="zh-CN"/>
                    </w:rPr>
                    <w:t>万</w:t>
                  </w:r>
                  <w:r>
                    <w:rPr>
                      <w:rFonts w:hint="eastAsia"/>
                      <w:color w:val="auto"/>
                      <w:sz w:val="21"/>
                      <w:szCs w:val="21"/>
                      <w:highlight w:val="none"/>
                    </w:rPr>
                    <w:t>m³</w:t>
                  </w:r>
                </w:p>
              </w:tc>
              <w:tc>
                <w:tcPr>
                  <w:tcW w:w="1563" w:type="pct"/>
                  <w:gridSpan w:val="2"/>
                  <w:noWrap w:val="0"/>
                  <w:vAlign w:val="center"/>
                </w:tcPr>
                <w:p w14:paraId="4024B045">
                  <w:pPr>
                    <w:snapToGrid w:val="0"/>
                    <w:spacing w:line="240" w:lineRule="auto"/>
                    <w:ind w:firstLine="0" w:firstLineChars="0"/>
                    <w:jc w:val="center"/>
                    <w:rPr>
                      <w:rFonts w:hint="default" w:ascii="宋体" w:hAnsi="宋体" w:eastAsia="宋体" w:cs="宋体"/>
                      <w:color w:val="auto"/>
                      <w:kern w:val="2"/>
                      <w:sz w:val="21"/>
                      <w:szCs w:val="21"/>
                      <w:highlight w:val="none"/>
                      <w:lang w:val="en-US" w:eastAsia="zh-CN" w:bidi="ar-SA"/>
                    </w:rPr>
                  </w:pPr>
                  <w:r>
                    <w:rPr>
                      <w:rFonts w:hint="eastAsia" w:eastAsia="宋体" w:cs="宋体"/>
                      <w:color w:val="auto"/>
                      <w:kern w:val="2"/>
                      <w:sz w:val="21"/>
                      <w:szCs w:val="21"/>
                      <w:highlight w:val="none"/>
                      <w:lang w:val="en-US" w:eastAsia="zh-CN" w:bidi="ar-SA"/>
                    </w:rPr>
                    <w:t>1.25</w:t>
                  </w:r>
                </w:p>
              </w:tc>
            </w:tr>
            <w:tr w14:paraId="4057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595" w:type="pct"/>
                  <w:noWrap w:val="0"/>
                  <w:vAlign w:val="center"/>
                </w:tcPr>
                <w:p w14:paraId="604E7C1E">
                  <w:pPr>
                    <w:snapToGrid w:val="0"/>
                    <w:spacing w:line="240" w:lineRule="auto"/>
                    <w:ind w:firstLine="0" w:firstLineChars="0"/>
                    <w:jc w:val="center"/>
                    <w:rPr>
                      <w:rFonts w:hint="default" w:ascii="宋体" w:hAnsi="宋体" w:eastAsia="宋体" w:cs="宋体"/>
                      <w:color w:val="auto"/>
                      <w:kern w:val="2"/>
                      <w:sz w:val="21"/>
                      <w:szCs w:val="21"/>
                      <w:highlight w:val="none"/>
                      <w:lang w:val="en-US" w:eastAsia="zh-CN" w:bidi="ar-SA"/>
                    </w:rPr>
                  </w:pPr>
                  <w:r>
                    <w:rPr>
                      <w:rFonts w:hint="eastAsia"/>
                      <w:color w:val="auto"/>
                      <w:sz w:val="21"/>
                      <w:szCs w:val="21"/>
                      <w:highlight w:val="none"/>
                    </w:rPr>
                    <w:t>1</w:t>
                  </w:r>
                  <w:r>
                    <w:rPr>
                      <w:rFonts w:hint="eastAsia"/>
                      <w:color w:val="auto"/>
                      <w:sz w:val="21"/>
                      <w:szCs w:val="21"/>
                      <w:highlight w:val="none"/>
                      <w:lang w:val="en-US" w:eastAsia="zh-CN"/>
                    </w:rPr>
                    <w:t>6</w:t>
                  </w:r>
                </w:p>
              </w:tc>
              <w:tc>
                <w:tcPr>
                  <w:tcW w:w="2247" w:type="pct"/>
                  <w:noWrap w:val="0"/>
                  <w:vAlign w:val="center"/>
                </w:tcPr>
                <w:p w14:paraId="023B5EC2">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平均剥采比</w:t>
                  </w:r>
                </w:p>
              </w:tc>
              <w:tc>
                <w:tcPr>
                  <w:tcW w:w="593" w:type="pct"/>
                  <w:noWrap w:val="0"/>
                  <w:vAlign w:val="center"/>
                </w:tcPr>
                <w:p w14:paraId="08C89898">
                  <w:pPr>
                    <w:snapToGrid w:val="0"/>
                    <w:spacing w:line="240" w:lineRule="auto"/>
                    <w:ind w:firstLine="0" w:firstLineChars="0"/>
                    <w:jc w:val="center"/>
                    <w:rPr>
                      <w:rFonts w:hint="eastAsia" w:ascii="宋体" w:hAnsi="宋体" w:cs="宋体"/>
                      <w:color w:val="auto"/>
                      <w:kern w:val="2"/>
                      <w:sz w:val="21"/>
                      <w:szCs w:val="21"/>
                      <w:highlight w:val="none"/>
                      <w:lang w:val="en-US" w:eastAsia="zh-CN" w:bidi="ar-SA"/>
                    </w:rPr>
                  </w:pPr>
                  <w:r>
                    <w:rPr>
                      <w:rFonts w:hint="eastAsia"/>
                      <w:color w:val="auto"/>
                      <w:sz w:val="21"/>
                      <w:szCs w:val="21"/>
                      <w:highlight w:val="none"/>
                    </w:rPr>
                    <w:t>m³/m³</w:t>
                  </w:r>
                </w:p>
              </w:tc>
              <w:tc>
                <w:tcPr>
                  <w:tcW w:w="1563" w:type="pct"/>
                  <w:gridSpan w:val="2"/>
                  <w:noWrap w:val="0"/>
                  <w:vAlign w:val="center"/>
                </w:tcPr>
                <w:p w14:paraId="2D3D78BF">
                  <w:pPr>
                    <w:snapToGrid w:val="0"/>
                    <w:spacing w:line="240" w:lineRule="auto"/>
                    <w:ind w:firstLine="0" w:firstLineChars="0"/>
                    <w:jc w:val="center"/>
                    <w:rPr>
                      <w:rFonts w:hint="default" w:ascii="宋体" w:hAnsi="宋体" w:eastAsia="宋体" w:cs="宋体"/>
                      <w:color w:val="auto"/>
                      <w:kern w:val="2"/>
                      <w:sz w:val="21"/>
                      <w:szCs w:val="21"/>
                      <w:highlight w:val="none"/>
                      <w:lang w:val="en-US" w:eastAsia="zh-CN" w:bidi="ar-SA"/>
                    </w:rPr>
                  </w:pPr>
                  <w:r>
                    <w:rPr>
                      <w:rFonts w:hint="eastAsia"/>
                      <w:color w:val="auto"/>
                      <w:sz w:val="21"/>
                      <w:szCs w:val="21"/>
                      <w:highlight w:val="none"/>
                    </w:rPr>
                    <w:t>0.0</w:t>
                  </w:r>
                  <w:r>
                    <w:rPr>
                      <w:rFonts w:hint="eastAsia"/>
                      <w:color w:val="auto"/>
                      <w:sz w:val="21"/>
                      <w:szCs w:val="21"/>
                      <w:highlight w:val="none"/>
                      <w:lang w:val="en-US" w:eastAsia="zh-CN"/>
                    </w:rPr>
                    <w:t>16</w:t>
                  </w:r>
                </w:p>
              </w:tc>
            </w:tr>
          </w:tbl>
          <w:p w14:paraId="5039E4D2">
            <w:pPr>
              <w:spacing w:before="156" w:beforeLines="50"/>
              <w:ind w:firstLine="482"/>
              <w:rPr>
                <w:b/>
                <w:bCs/>
                <w:color w:val="auto"/>
                <w:highlight w:val="none"/>
              </w:rPr>
            </w:pPr>
            <w:r>
              <w:rPr>
                <w:rFonts w:hint="eastAsia"/>
                <w:b/>
                <w:bCs/>
                <w:color w:val="auto"/>
                <w:highlight w:val="none"/>
              </w:rPr>
              <w:t>9、</w:t>
            </w:r>
            <w:r>
              <w:rPr>
                <w:rFonts w:hint="default" w:ascii="Times New Roman" w:hAnsi="Times New Roman" w:eastAsia="宋体" w:cs="Times New Roman"/>
                <w:b/>
                <w:bCs/>
                <w:color w:val="auto"/>
                <w:sz w:val="24"/>
                <w:szCs w:val="24"/>
                <w:highlight w:val="none"/>
                <w:lang w:val="en-US" w:eastAsia="zh-CN"/>
              </w:rPr>
              <w:t>生产制度及劳动定员</w:t>
            </w:r>
          </w:p>
          <w:p w14:paraId="6E8E93B8">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工作制度：</w:t>
            </w:r>
            <w:r>
              <w:rPr>
                <w:rFonts w:hint="eastAsia" w:ascii="Times New Roman" w:hAnsi="Times New Roman" w:eastAsia="宋体" w:cs="Times New Roman"/>
                <w:color w:val="auto"/>
                <w:highlight w:val="none"/>
                <w:lang w:val="en-US" w:eastAsia="zh-CN"/>
              </w:rPr>
              <w:t>工业场地</w:t>
            </w:r>
            <w:r>
              <w:rPr>
                <w:rFonts w:hint="default" w:ascii="Times New Roman" w:hAnsi="Times New Roman" w:eastAsia="宋体" w:cs="Times New Roman"/>
                <w:color w:val="auto"/>
                <w:highlight w:val="none"/>
                <w:lang w:val="en-US" w:eastAsia="zh-CN"/>
              </w:rPr>
              <w:t>工作制度与矿山开采的工作制度一致，年工作300天，每天工作1班，每班工作时间8小时，夜间不生产。</w:t>
            </w:r>
          </w:p>
          <w:p w14:paraId="05032067">
            <w:pPr>
              <w:ind w:firstLine="480"/>
              <w:rPr>
                <w:rFonts w:hint="eastAsia"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劳动定员：项目</w:t>
            </w:r>
            <w:r>
              <w:rPr>
                <w:rFonts w:hint="eastAsia" w:ascii="Times New Roman" w:hAnsi="Times New Roman" w:eastAsia="宋体" w:cs="Times New Roman"/>
                <w:color w:val="auto"/>
                <w:highlight w:val="none"/>
                <w:lang w:val="en-US" w:eastAsia="zh-CN"/>
              </w:rPr>
              <w:t>劳动定员</w:t>
            </w:r>
            <w:r>
              <w:rPr>
                <w:rFonts w:hint="eastAsia" w:cs="Times New Roman"/>
                <w:color w:val="auto"/>
                <w:highlight w:val="none"/>
                <w:lang w:val="en-US" w:eastAsia="zh-CN"/>
              </w:rPr>
              <w:t>12</w:t>
            </w:r>
            <w:r>
              <w:rPr>
                <w:rFonts w:hint="default" w:ascii="Times New Roman" w:hAnsi="Times New Roman" w:eastAsia="宋体" w:cs="Times New Roman"/>
                <w:color w:val="auto"/>
                <w:highlight w:val="none"/>
                <w:lang w:val="en-US" w:eastAsia="zh-CN"/>
              </w:rPr>
              <w:t>人，均在</w:t>
            </w:r>
            <w:r>
              <w:rPr>
                <w:rFonts w:hint="eastAsia" w:cs="Times New Roman"/>
                <w:color w:val="auto"/>
                <w:highlight w:val="none"/>
                <w:lang w:val="en-US" w:eastAsia="zh-CN"/>
              </w:rPr>
              <w:t>办公生活区</w:t>
            </w:r>
            <w:r>
              <w:rPr>
                <w:rFonts w:hint="default" w:ascii="Times New Roman" w:hAnsi="Times New Roman" w:eastAsia="宋体" w:cs="Times New Roman"/>
                <w:color w:val="auto"/>
                <w:highlight w:val="none"/>
                <w:lang w:val="en-US" w:eastAsia="zh-CN"/>
              </w:rPr>
              <w:t>食宿。</w:t>
            </w:r>
          </w:p>
          <w:p w14:paraId="29E98A1B">
            <w:pPr>
              <w:spacing w:before="156" w:beforeLines="50"/>
              <w:ind w:firstLine="482"/>
              <w:rPr>
                <w:b/>
                <w:bCs/>
                <w:color w:val="auto"/>
                <w:highlight w:val="none"/>
              </w:rPr>
            </w:pPr>
            <w:r>
              <w:rPr>
                <w:rFonts w:hint="eastAsia"/>
                <w:b/>
                <w:bCs/>
                <w:color w:val="auto"/>
                <w:highlight w:val="none"/>
              </w:rPr>
              <w:t>1</w:t>
            </w:r>
            <w:r>
              <w:rPr>
                <w:rFonts w:hint="eastAsia"/>
                <w:b/>
                <w:bCs/>
                <w:color w:val="auto"/>
                <w:highlight w:val="none"/>
                <w:lang w:val="en-US" w:eastAsia="zh-CN"/>
              </w:rPr>
              <w:t>0</w:t>
            </w:r>
            <w:r>
              <w:rPr>
                <w:rFonts w:hint="eastAsia"/>
                <w:b/>
                <w:bCs/>
                <w:color w:val="auto"/>
                <w:highlight w:val="none"/>
              </w:rPr>
              <w:t>、</w:t>
            </w:r>
            <w:r>
              <w:rPr>
                <w:b/>
                <w:bCs/>
                <w:color w:val="auto"/>
                <w:highlight w:val="none"/>
              </w:rPr>
              <w:t>产品方案</w:t>
            </w:r>
          </w:p>
          <w:p w14:paraId="0EAB93CF">
            <w:pPr>
              <w:ind w:firstLine="480"/>
              <w:rPr>
                <w:rFonts w:ascii="Times New Roman" w:hAnsi="Times New Roman"/>
                <w:b/>
                <w:caps w:val="0"/>
                <w:smallCaps w:val="0"/>
                <w:color w:val="auto"/>
                <w:kern w:val="0"/>
                <w:szCs w:val="21"/>
                <w:highlight w:val="none"/>
              </w:rPr>
            </w:pPr>
            <w:r>
              <w:rPr>
                <w:bCs/>
                <w:color w:val="auto"/>
                <w:kern w:val="0"/>
                <w:szCs w:val="21"/>
                <w:highlight w:val="none"/>
              </w:rPr>
              <w:t>本项目产品为开采的</w:t>
            </w:r>
            <w:r>
              <w:rPr>
                <w:rFonts w:hint="eastAsia"/>
                <w:bCs/>
                <w:color w:val="auto"/>
                <w:kern w:val="0"/>
                <w:szCs w:val="21"/>
                <w:highlight w:val="none"/>
                <w:lang w:val="en-US" w:eastAsia="zh-CN"/>
              </w:rPr>
              <w:t>普通建筑材料用砂岩</w:t>
            </w:r>
            <w:r>
              <w:rPr>
                <w:bCs/>
                <w:color w:val="auto"/>
                <w:kern w:val="0"/>
                <w:szCs w:val="21"/>
                <w:highlight w:val="none"/>
              </w:rPr>
              <w:t>矿，开采规模为</w:t>
            </w:r>
            <w:r>
              <w:rPr>
                <w:rFonts w:hint="eastAsia"/>
                <w:bCs/>
                <w:color w:val="auto"/>
                <w:kern w:val="0"/>
                <w:szCs w:val="21"/>
                <w:highlight w:val="none"/>
                <w:lang w:val="en-US" w:eastAsia="zh-CN"/>
              </w:rPr>
              <w:t>50</w:t>
            </w:r>
            <w:r>
              <w:rPr>
                <w:bCs/>
                <w:color w:val="auto"/>
                <w:kern w:val="0"/>
                <w:szCs w:val="21"/>
                <w:highlight w:val="none"/>
              </w:rPr>
              <w:t>万t/a</w:t>
            </w:r>
            <w:r>
              <w:rPr>
                <w:rFonts w:hint="eastAsia"/>
                <w:bCs/>
                <w:color w:val="auto"/>
                <w:kern w:val="0"/>
                <w:szCs w:val="21"/>
                <w:highlight w:val="none"/>
              </w:rPr>
              <w:t>，</w:t>
            </w:r>
            <w:r>
              <w:rPr>
                <w:rFonts w:hint="eastAsia" w:ascii="Times New Roman" w:hAnsi="Times New Roman"/>
                <w:caps w:val="0"/>
                <w:smallCaps w:val="0"/>
                <w:color w:val="auto"/>
                <w:highlight w:val="none"/>
              </w:rPr>
              <w:t>产品为</w:t>
            </w:r>
            <w:r>
              <w:rPr>
                <w:rFonts w:hint="eastAsia"/>
                <w:caps w:val="0"/>
                <w:smallCaps w:val="0"/>
                <w:color w:val="auto"/>
                <w:highlight w:val="none"/>
                <w:lang w:val="en-US" w:eastAsia="zh-CN"/>
              </w:rPr>
              <w:t>石粉</w:t>
            </w:r>
            <w:r>
              <w:rPr>
                <w:rFonts w:hint="eastAsia" w:ascii="Times New Roman" w:hAnsi="Times New Roman"/>
                <w:caps w:val="0"/>
                <w:smallCaps w:val="0"/>
                <w:color w:val="auto"/>
                <w:highlight w:val="none"/>
              </w:rPr>
              <w:t>，</w:t>
            </w:r>
            <w:r>
              <w:rPr>
                <w:rFonts w:hint="eastAsia"/>
                <w:caps w:val="0"/>
                <w:smallCaps w:val="0"/>
                <w:color w:val="auto"/>
                <w:highlight w:val="none"/>
                <w:lang w:val="en-US" w:eastAsia="zh-CN"/>
              </w:rPr>
              <w:t>主要</w:t>
            </w:r>
            <w:r>
              <w:rPr>
                <w:rFonts w:hint="eastAsia"/>
                <w:bCs/>
                <w:color w:val="auto"/>
                <w:kern w:val="0"/>
                <w:szCs w:val="21"/>
                <w:highlight w:val="none"/>
                <w:lang w:val="en-US" w:eastAsia="zh-CN"/>
              </w:rPr>
              <w:t>销售于寻甸县及周边</w:t>
            </w:r>
            <w:r>
              <w:rPr>
                <w:rFonts w:hint="eastAsia"/>
                <w:bCs/>
                <w:color w:val="auto"/>
                <w:kern w:val="0"/>
                <w:szCs w:val="21"/>
                <w:highlight w:val="none"/>
                <w:lang w:eastAsia="zh-CN"/>
              </w:rPr>
              <w:t>。</w:t>
            </w:r>
            <w:r>
              <w:rPr>
                <w:rFonts w:ascii="Times New Roman" w:hAnsi="Times New Roman"/>
                <w:caps w:val="0"/>
                <w:smallCaps w:val="0"/>
                <w:color w:val="auto"/>
                <w:highlight w:val="none"/>
              </w:rPr>
              <w:t>项目产品方案指标见表</w:t>
            </w:r>
            <w:r>
              <w:rPr>
                <w:rFonts w:hint="eastAsia" w:ascii="Times New Roman" w:hAnsi="Times New Roman"/>
                <w:caps w:val="0"/>
                <w:smallCaps w:val="0"/>
                <w:color w:val="auto"/>
                <w:highlight w:val="none"/>
              </w:rPr>
              <w:t>2-</w:t>
            </w:r>
            <w:r>
              <w:rPr>
                <w:rFonts w:hint="eastAsia"/>
                <w:caps w:val="0"/>
                <w:smallCaps w:val="0"/>
                <w:color w:val="auto"/>
                <w:highlight w:val="none"/>
                <w:lang w:val="en-US" w:eastAsia="zh-CN"/>
              </w:rPr>
              <w:t>1</w:t>
            </w:r>
            <w:r>
              <w:rPr>
                <w:rFonts w:hint="eastAsia" w:ascii="Times New Roman" w:hAnsi="Times New Roman"/>
                <w:caps w:val="0"/>
                <w:smallCaps w:val="0"/>
                <w:color w:val="auto"/>
                <w:highlight w:val="none"/>
              </w:rPr>
              <w:t>4</w:t>
            </w:r>
            <w:r>
              <w:rPr>
                <w:rFonts w:ascii="Times New Roman" w:hAnsi="Times New Roman"/>
                <w:caps w:val="0"/>
                <w:smallCaps w:val="0"/>
                <w:color w:val="auto"/>
                <w:highlight w:val="none"/>
              </w:rPr>
              <w:t>。</w:t>
            </w:r>
          </w:p>
          <w:p w14:paraId="0DEE334D">
            <w:pPr>
              <w:spacing w:line="240" w:lineRule="auto"/>
              <w:ind w:firstLine="0" w:firstLineChars="0"/>
              <w:jc w:val="center"/>
              <w:rPr>
                <w:rFonts w:hint="eastAsia" w:ascii="Times New Roman" w:hAnsi="Times New Roman" w:eastAsia="宋体" w:cs="Times New Roman"/>
                <w:b/>
                <w:color w:val="auto"/>
                <w:sz w:val="21"/>
                <w:szCs w:val="21"/>
                <w:highlight w:val="none"/>
              </w:rPr>
            </w:pPr>
            <w:r>
              <w:rPr>
                <w:rFonts w:hint="eastAsia" w:ascii="Times New Roman" w:hAnsi="Times New Roman" w:eastAsia="宋体" w:cs="Times New Roman"/>
                <w:b/>
                <w:color w:val="auto"/>
                <w:sz w:val="21"/>
                <w:szCs w:val="21"/>
                <w:highlight w:val="none"/>
              </w:rPr>
              <w:t>表2-</w:t>
            </w:r>
            <w:r>
              <w:rPr>
                <w:rFonts w:hint="eastAsia" w:ascii="Times New Roman" w:hAnsi="Times New Roman" w:eastAsia="宋体" w:cs="Times New Roman"/>
                <w:b/>
                <w:color w:val="auto"/>
                <w:sz w:val="21"/>
                <w:szCs w:val="21"/>
                <w:highlight w:val="none"/>
                <w:lang w:val="en-US" w:eastAsia="zh-CN"/>
              </w:rPr>
              <w:t>1</w:t>
            </w:r>
            <w:r>
              <w:rPr>
                <w:rFonts w:hint="eastAsia" w:ascii="Times New Roman" w:hAnsi="Times New Roman" w:eastAsia="宋体" w:cs="Times New Roman"/>
                <w:b/>
                <w:color w:val="auto"/>
                <w:sz w:val="21"/>
                <w:szCs w:val="21"/>
                <w:highlight w:val="none"/>
              </w:rPr>
              <w:t>4  项目产品方案指标表</w:t>
            </w:r>
          </w:p>
          <w:tbl>
            <w:tblPr>
              <w:tblStyle w:val="30"/>
              <w:tblW w:w="9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941"/>
              <w:gridCol w:w="1297"/>
              <w:gridCol w:w="1545"/>
              <w:gridCol w:w="1545"/>
            </w:tblGrid>
            <w:tr w14:paraId="6536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blHeader/>
                <w:jc w:val="center"/>
              </w:trPr>
              <w:tc>
                <w:tcPr>
                  <w:tcW w:w="1085" w:type="dxa"/>
                  <w:noWrap/>
                  <w:vAlign w:val="center"/>
                </w:tcPr>
                <w:p w14:paraId="7047F4D6">
                  <w:pPr>
                    <w:adjustRightInd w:val="0"/>
                    <w:snapToGrid w:val="0"/>
                    <w:spacing w:line="360" w:lineRule="exact"/>
                    <w:ind w:firstLine="0" w:firstLineChars="0"/>
                    <w:jc w:val="center"/>
                    <w:rPr>
                      <w:rFonts w:ascii="Times New Roman" w:hAnsi="Times New Roman"/>
                      <w:b/>
                      <w:bCs/>
                      <w:caps w:val="0"/>
                      <w:smallCaps w:val="0"/>
                      <w:color w:val="auto"/>
                      <w:sz w:val="21"/>
                      <w:szCs w:val="21"/>
                      <w:highlight w:val="none"/>
                    </w:rPr>
                  </w:pPr>
                  <w:r>
                    <w:rPr>
                      <w:rFonts w:ascii="Times New Roman" w:hAnsi="Times New Roman"/>
                      <w:b/>
                      <w:bCs/>
                      <w:caps w:val="0"/>
                      <w:smallCaps w:val="0"/>
                      <w:color w:val="auto"/>
                      <w:sz w:val="21"/>
                      <w:szCs w:val="21"/>
                      <w:highlight w:val="none"/>
                    </w:rPr>
                    <w:t>序号</w:t>
                  </w:r>
                </w:p>
              </w:tc>
              <w:tc>
                <w:tcPr>
                  <w:tcW w:w="2516" w:type="dxa"/>
                  <w:noWrap/>
                  <w:vAlign w:val="center"/>
                </w:tcPr>
                <w:p w14:paraId="4DBF6FBA">
                  <w:pPr>
                    <w:adjustRightInd w:val="0"/>
                    <w:snapToGrid w:val="0"/>
                    <w:spacing w:line="360" w:lineRule="exact"/>
                    <w:ind w:firstLine="0" w:firstLineChars="0"/>
                    <w:jc w:val="center"/>
                    <w:rPr>
                      <w:rFonts w:ascii="Times New Roman" w:hAnsi="Times New Roman"/>
                      <w:b/>
                      <w:bCs/>
                      <w:caps w:val="0"/>
                      <w:smallCaps w:val="0"/>
                      <w:color w:val="auto"/>
                      <w:sz w:val="21"/>
                      <w:szCs w:val="21"/>
                      <w:highlight w:val="none"/>
                    </w:rPr>
                  </w:pPr>
                  <w:r>
                    <w:rPr>
                      <w:rFonts w:ascii="Times New Roman" w:hAnsi="Times New Roman"/>
                      <w:b/>
                      <w:bCs/>
                      <w:caps w:val="0"/>
                      <w:smallCaps w:val="0"/>
                      <w:color w:val="auto"/>
                      <w:sz w:val="21"/>
                      <w:szCs w:val="21"/>
                      <w:highlight w:val="none"/>
                    </w:rPr>
                    <w:t>产品名称</w:t>
                  </w:r>
                </w:p>
              </w:tc>
              <w:tc>
                <w:tcPr>
                  <w:tcW w:w="1657" w:type="dxa"/>
                  <w:noWrap/>
                  <w:vAlign w:val="center"/>
                </w:tcPr>
                <w:p w14:paraId="4B51592C">
                  <w:pPr>
                    <w:adjustRightInd w:val="0"/>
                    <w:snapToGrid w:val="0"/>
                    <w:spacing w:line="360" w:lineRule="exact"/>
                    <w:ind w:firstLine="0" w:firstLineChars="0"/>
                    <w:jc w:val="center"/>
                    <w:rPr>
                      <w:rFonts w:ascii="Times New Roman" w:hAnsi="Times New Roman"/>
                      <w:b/>
                      <w:bCs/>
                      <w:caps w:val="0"/>
                      <w:smallCaps w:val="0"/>
                      <w:color w:val="auto"/>
                      <w:sz w:val="21"/>
                      <w:szCs w:val="21"/>
                      <w:highlight w:val="none"/>
                    </w:rPr>
                  </w:pPr>
                  <w:r>
                    <w:rPr>
                      <w:rFonts w:ascii="Times New Roman" w:hAnsi="Times New Roman"/>
                      <w:b/>
                      <w:bCs/>
                      <w:caps w:val="0"/>
                      <w:smallCaps w:val="0"/>
                      <w:color w:val="auto"/>
                      <w:sz w:val="21"/>
                      <w:szCs w:val="21"/>
                      <w:highlight w:val="none"/>
                    </w:rPr>
                    <w:t>单位</w:t>
                  </w:r>
                </w:p>
              </w:tc>
              <w:tc>
                <w:tcPr>
                  <w:tcW w:w="1988" w:type="dxa"/>
                  <w:noWrap/>
                  <w:vAlign w:val="center"/>
                </w:tcPr>
                <w:p w14:paraId="7DB2F5EF">
                  <w:pPr>
                    <w:adjustRightInd w:val="0"/>
                    <w:snapToGrid w:val="0"/>
                    <w:spacing w:line="360" w:lineRule="exact"/>
                    <w:ind w:firstLine="0" w:firstLineChars="0"/>
                    <w:jc w:val="center"/>
                    <w:rPr>
                      <w:rFonts w:ascii="Times New Roman" w:hAnsi="Times New Roman"/>
                      <w:b/>
                      <w:bCs/>
                      <w:caps w:val="0"/>
                      <w:smallCaps w:val="0"/>
                      <w:color w:val="auto"/>
                      <w:sz w:val="21"/>
                      <w:szCs w:val="21"/>
                      <w:highlight w:val="none"/>
                    </w:rPr>
                  </w:pPr>
                  <w:r>
                    <w:rPr>
                      <w:rFonts w:hint="eastAsia" w:ascii="Times New Roman" w:hAnsi="Times New Roman"/>
                      <w:b/>
                      <w:bCs/>
                      <w:caps w:val="0"/>
                      <w:smallCaps w:val="0"/>
                      <w:color w:val="auto"/>
                      <w:sz w:val="21"/>
                      <w:szCs w:val="21"/>
                      <w:highlight w:val="none"/>
                    </w:rPr>
                    <w:t>粒径（mm）</w:t>
                  </w:r>
                </w:p>
              </w:tc>
              <w:tc>
                <w:tcPr>
                  <w:tcW w:w="1988" w:type="dxa"/>
                  <w:noWrap/>
                  <w:vAlign w:val="center"/>
                </w:tcPr>
                <w:p w14:paraId="278B7C7C">
                  <w:pPr>
                    <w:adjustRightInd w:val="0"/>
                    <w:snapToGrid w:val="0"/>
                    <w:spacing w:line="360" w:lineRule="exact"/>
                    <w:ind w:firstLine="0" w:firstLineChars="0"/>
                    <w:jc w:val="center"/>
                    <w:rPr>
                      <w:rFonts w:ascii="Times New Roman" w:hAnsi="Times New Roman"/>
                      <w:b/>
                      <w:bCs/>
                      <w:caps w:val="0"/>
                      <w:smallCaps w:val="0"/>
                      <w:color w:val="auto"/>
                      <w:sz w:val="21"/>
                      <w:szCs w:val="21"/>
                      <w:highlight w:val="none"/>
                    </w:rPr>
                  </w:pPr>
                  <w:r>
                    <w:rPr>
                      <w:rFonts w:ascii="Times New Roman" w:hAnsi="Times New Roman"/>
                      <w:b/>
                      <w:bCs/>
                      <w:caps w:val="0"/>
                      <w:smallCaps w:val="0"/>
                      <w:color w:val="auto"/>
                      <w:sz w:val="21"/>
                      <w:szCs w:val="21"/>
                      <w:highlight w:val="none"/>
                    </w:rPr>
                    <w:t>年产量</w:t>
                  </w:r>
                </w:p>
              </w:tc>
            </w:tr>
            <w:tr w14:paraId="32CE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5" w:type="dxa"/>
                  <w:noWrap/>
                  <w:vAlign w:val="center"/>
                </w:tcPr>
                <w:p w14:paraId="2E15CA14">
                  <w:pPr>
                    <w:adjustRightInd w:val="0"/>
                    <w:snapToGrid w:val="0"/>
                    <w:spacing w:line="360" w:lineRule="exact"/>
                    <w:ind w:firstLine="0" w:firstLineChars="0"/>
                    <w:jc w:val="center"/>
                    <w:rPr>
                      <w:rFonts w:hint="eastAsia" w:ascii="Times New Roman" w:hAnsi="Times New Roman" w:eastAsia="宋体"/>
                      <w:caps w:val="0"/>
                      <w:smallCaps w:val="0"/>
                      <w:color w:val="auto"/>
                      <w:sz w:val="21"/>
                      <w:szCs w:val="21"/>
                      <w:highlight w:val="none"/>
                      <w:lang w:eastAsia="zh-CN"/>
                    </w:rPr>
                  </w:pPr>
                  <w:r>
                    <w:rPr>
                      <w:rFonts w:hint="eastAsia"/>
                      <w:caps w:val="0"/>
                      <w:smallCaps w:val="0"/>
                      <w:color w:val="auto"/>
                      <w:sz w:val="21"/>
                      <w:szCs w:val="21"/>
                      <w:highlight w:val="none"/>
                      <w:lang w:val="en-US" w:eastAsia="zh-CN"/>
                    </w:rPr>
                    <w:t>1</w:t>
                  </w:r>
                </w:p>
              </w:tc>
              <w:tc>
                <w:tcPr>
                  <w:tcW w:w="2516" w:type="dxa"/>
                  <w:noWrap/>
                  <w:vAlign w:val="center"/>
                </w:tcPr>
                <w:p w14:paraId="6E9DA040">
                  <w:pPr>
                    <w:adjustRightInd w:val="0"/>
                    <w:snapToGrid w:val="0"/>
                    <w:spacing w:line="360" w:lineRule="exact"/>
                    <w:ind w:firstLine="0" w:firstLineChars="0"/>
                    <w:jc w:val="center"/>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石粉</w:t>
                  </w:r>
                </w:p>
              </w:tc>
              <w:tc>
                <w:tcPr>
                  <w:tcW w:w="1657" w:type="dxa"/>
                  <w:noWrap/>
                  <w:vAlign w:val="center"/>
                </w:tcPr>
                <w:p w14:paraId="76E474CF">
                  <w:pPr>
                    <w:adjustRightInd w:val="0"/>
                    <w:snapToGrid w:val="0"/>
                    <w:spacing w:line="360" w:lineRule="exact"/>
                    <w:ind w:firstLine="0" w:firstLineChars="0"/>
                    <w:jc w:val="center"/>
                    <w:rPr>
                      <w:rFonts w:ascii="Times New Roman" w:hAnsi="Times New Roman"/>
                      <w:caps w:val="0"/>
                      <w:smallCaps w:val="0"/>
                      <w:color w:val="auto"/>
                      <w:sz w:val="21"/>
                      <w:szCs w:val="21"/>
                      <w:highlight w:val="none"/>
                    </w:rPr>
                  </w:pPr>
                  <w:r>
                    <w:rPr>
                      <w:rFonts w:hint="eastAsia" w:ascii="Times New Roman" w:hAnsi="Times New Roman"/>
                      <w:caps w:val="0"/>
                      <w:smallCaps w:val="0"/>
                      <w:color w:val="auto"/>
                      <w:sz w:val="21"/>
                      <w:szCs w:val="21"/>
                      <w:highlight w:val="none"/>
                    </w:rPr>
                    <w:t>万t</w:t>
                  </w:r>
                  <w:r>
                    <w:rPr>
                      <w:rFonts w:ascii="Times New Roman" w:hAnsi="Times New Roman"/>
                      <w:caps w:val="0"/>
                      <w:smallCaps w:val="0"/>
                      <w:color w:val="auto"/>
                      <w:sz w:val="21"/>
                      <w:szCs w:val="21"/>
                      <w:highlight w:val="none"/>
                    </w:rPr>
                    <w:t>/a</w:t>
                  </w:r>
                </w:p>
              </w:tc>
              <w:tc>
                <w:tcPr>
                  <w:tcW w:w="1988" w:type="dxa"/>
                  <w:noWrap/>
                  <w:vAlign w:val="center"/>
                </w:tcPr>
                <w:p w14:paraId="7DA6AACF">
                  <w:pPr>
                    <w:adjustRightInd w:val="0"/>
                    <w:snapToGrid w:val="0"/>
                    <w:spacing w:line="360" w:lineRule="exact"/>
                    <w:ind w:firstLine="0" w:firstLineChars="0"/>
                    <w:jc w:val="center"/>
                    <w:rPr>
                      <w:rFonts w:ascii="Times New Roman" w:hAnsi="Times New Roman"/>
                      <w:caps w:val="0"/>
                      <w:smallCaps w:val="0"/>
                      <w:color w:val="auto"/>
                      <w:sz w:val="21"/>
                      <w:szCs w:val="21"/>
                      <w:highlight w:val="none"/>
                    </w:rPr>
                  </w:pPr>
                  <w:r>
                    <w:rPr>
                      <w:rFonts w:hint="eastAsia" w:ascii="Times New Roman" w:hAnsi="Times New Roman" w:eastAsia="宋体" w:cs="宋体"/>
                      <w:caps w:val="0"/>
                      <w:smallCaps w:val="0"/>
                      <w:color w:val="auto"/>
                      <w:sz w:val="21"/>
                      <w:szCs w:val="21"/>
                      <w:highlight w:val="none"/>
                    </w:rPr>
                    <w:t>≤</w:t>
                  </w:r>
                  <w:r>
                    <w:rPr>
                      <w:rFonts w:hint="eastAsia" w:ascii="Times New Roman" w:hAnsi="Times New Roman"/>
                      <w:caps w:val="0"/>
                      <w:smallCaps w:val="0"/>
                      <w:color w:val="auto"/>
                      <w:sz w:val="21"/>
                      <w:szCs w:val="21"/>
                      <w:highlight w:val="none"/>
                    </w:rPr>
                    <w:t>4</w:t>
                  </w:r>
                </w:p>
              </w:tc>
              <w:tc>
                <w:tcPr>
                  <w:tcW w:w="1988" w:type="dxa"/>
                  <w:noWrap/>
                  <w:vAlign w:val="center"/>
                </w:tcPr>
                <w:p w14:paraId="6D9ABBF2">
                  <w:pPr>
                    <w:adjustRightInd w:val="0"/>
                    <w:snapToGrid w:val="0"/>
                    <w:spacing w:line="360" w:lineRule="exact"/>
                    <w:ind w:firstLine="0" w:firstLineChars="0"/>
                    <w:jc w:val="center"/>
                    <w:rPr>
                      <w:rFonts w:hint="default" w:ascii="Times New Roman" w:hAnsi="Times New Roman" w:eastAsia="宋体"/>
                      <w:caps w:val="0"/>
                      <w:smallCaps w:val="0"/>
                      <w:color w:val="auto"/>
                      <w:sz w:val="21"/>
                      <w:szCs w:val="21"/>
                      <w:highlight w:val="none"/>
                      <w:lang w:val="en-US" w:eastAsia="zh-CN"/>
                    </w:rPr>
                  </w:pPr>
                  <w:r>
                    <w:rPr>
                      <w:rFonts w:hint="eastAsia"/>
                      <w:caps w:val="0"/>
                      <w:smallCaps w:val="0"/>
                      <w:color w:val="auto"/>
                      <w:sz w:val="21"/>
                      <w:szCs w:val="21"/>
                      <w:highlight w:val="none"/>
                      <w:lang w:val="en-US" w:eastAsia="zh-CN"/>
                    </w:rPr>
                    <w:t>50</w:t>
                  </w:r>
                </w:p>
              </w:tc>
            </w:tr>
          </w:tbl>
          <w:p w14:paraId="2B03C4CA">
            <w:pPr>
              <w:ind w:firstLine="482"/>
              <w:rPr>
                <w:b/>
                <w:bCs/>
                <w:color w:val="auto"/>
                <w:highlight w:val="none"/>
              </w:rPr>
            </w:pPr>
            <w:r>
              <w:rPr>
                <w:rFonts w:hint="eastAsia"/>
                <w:b/>
                <w:bCs/>
                <w:color w:val="auto"/>
                <w:highlight w:val="none"/>
              </w:rPr>
              <w:t>1</w:t>
            </w:r>
            <w:r>
              <w:rPr>
                <w:rFonts w:hint="eastAsia"/>
                <w:b/>
                <w:bCs/>
                <w:color w:val="auto"/>
                <w:highlight w:val="none"/>
                <w:lang w:val="en-US" w:eastAsia="zh-CN"/>
              </w:rPr>
              <w:t>1</w:t>
            </w:r>
            <w:r>
              <w:rPr>
                <w:b/>
                <w:bCs/>
                <w:color w:val="auto"/>
                <w:highlight w:val="none"/>
              </w:rPr>
              <w:t>、主要原辅材料</w:t>
            </w:r>
          </w:p>
          <w:p w14:paraId="4AA149C8">
            <w:pPr>
              <w:widowControl/>
              <w:ind w:firstLine="470" w:firstLineChars="196"/>
              <w:jc w:val="left"/>
              <w:rPr>
                <w:color w:val="auto"/>
                <w:szCs w:val="24"/>
                <w:highlight w:val="none"/>
              </w:rPr>
            </w:pPr>
            <w:r>
              <w:rPr>
                <w:rFonts w:ascii="Times New Roman" w:hAnsi="Times New Roman"/>
                <w:caps w:val="0"/>
                <w:smallCaps w:val="0"/>
                <w:color w:val="auto"/>
                <w:kern w:val="0"/>
                <w:highlight w:val="none"/>
              </w:rPr>
              <w:t>本工程不设置炸药库，爆破委托</w:t>
            </w:r>
            <w:r>
              <w:rPr>
                <w:rFonts w:hint="eastAsia" w:ascii="Times New Roman" w:hAnsi="Times New Roman"/>
                <w:caps w:val="0"/>
                <w:smallCaps w:val="0"/>
                <w:color w:val="auto"/>
                <w:kern w:val="0"/>
                <w:highlight w:val="none"/>
              </w:rPr>
              <w:t>当地民爆</w:t>
            </w:r>
            <w:r>
              <w:rPr>
                <w:rFonts w:hint="eastAsia" w:ascii="Times New Roman" w:hAnsi="Times New Roman"/>
                <w:caps w:val="0"/>
                <w:smallCaps w:val="0"/>
                <w:color w:val="auto"/>
                <w:kern w:val="0"/>
                <w:highlight w:val="none"/>
                <w:lang w:val="en-US" w:eastAsia="zh-CN"/>
              </w:rPr>
              <w:t>公司</w:t>
            </w:r>
            <w:r>
              <w:rPr>
                <w:rFonts w:ascii="Times New Roman" w:hAnsi="Times New Roman"/>
                <w:caps w:val="0"/>
                <w:smallCaps w:val="0"/>
                <w:color w:val="auto"/>
                <w:kern w:val="0"/>
                <w:highlight w:val="none"/>
              </w:rPr>
              <w:t>承担</w:t>
            </w:r>
            <w:r>
              <w:rPr>
                <w:rFonts w:hint="eastAsia" w:ascii="Times New Roman" w:hAnsi="Times New Roman"/>
                <w:caps w:val="0"/>
                <w:smallCaps w:val="0"/>
                <w:color w:val="auto"/>
                <w:kern w:val="0"/>
                <w:highlight w:val="none"/>
                <w:lang w:eastAsia="zh-CN"/>
              </w:rPr>
              <w:t>，</w:t>
            </w:r>
            <w:r>
              <w:rPr>
                <w:rFonts w:hint="eastAsia" w:ascii="Times New Roman" w:hAnsi="Times New Roman" w:eastAsia="宋体" w:cs="Times New Roman"/>
                <w:color w:val="auto"/>
                <w:kern w:val="0"/>
                <w:sz w:val="24"/>
                <w:szCs w:val="24"/>
                <w:highlight w:val="none"/>
                <w:lang w:val="en-US" w:eastAsia="zh-CN"/>
              </w:rPr>
              <w:t>爆破原辅材料由当地民爆</w:t>
            </w:r>
            <w:r>
              <w:rPr>
                <w:rFonts w:hint="eastAsia" w:cs="Times New Roman"/>
                <w:color w:val="auto"/>
                <w:kern w:val="0"/>
                <w:sz w:val="24"/>
                <w:szCs w:val="24"/>
                <w:highlight w:val="none"/>
                <w:lang w:val="en-US" w:eastAsia="zh-CN"/>
              </w:rPr>
              <w:t>公司</w:t>
            </w:r>
            <w:r>
              <w:rPr>
                <w:rFonts w:hint="eastAsia" w:ascii="Times New Roman" w:hAnsi="Times New Roman" w:eastAsia="宋体" w:cs="Times New Roman"/>
                <w:color w:val="auto"/>
                <w:kern w:val="0"/>
                <w:sz w:val="24"/>
                <w:szCs w:val="24"/>
                <w:highlight w:val="none"/>
                <w:lang w:val="en-US" w:eastAsia="zh-CN"/>
              </w:rPr>
              <w:t>配备，</w:t>
            </w:r>
            <w:r>
              <w:rPr>
                <w:color w:val="auto"/>
                <w:szCs w:val="24"/>
                <w:highlight w:val="none"/>
              </w:rPr>
              <w:t>主要原辅料消耗量详见下表2-</w:t>
            </w:r>
            <w:r>
              <w:rPr>
                <w:rFonts w:hint="eastAsia"/>
                <w:color w:val="auto"/>
                <w:szCs w:val="24"/>
                <w:highlight w:val="none"/>
              </w:rPr>
              <w:t>10。</w:t>
            </w:r>
          </w:p>
          <w:p w14:paraId="289853AD">
            <w:pPr>
              <w:spacing w:line="240" w:lineRule="auto"/>
              <w:ind w:firstLine="0" w:firstLineChars="0"/>
              <w:jc w:val="center"/>
              <w:rPr>
                <w:rFonts w:hint="eastAsia" w:ascii="Times New Roman" w:hAnsi="Times New Roman" w:eastAsia="宋体" w:cs="Times New Roman"/>
                <w:b/>
                <w:color w:val="auto"/>
                <w:sz w:val="21"/>
                <w:szCs w:val="21"/>
                <w:highlight w:val="none"/>
              </w:rPr>
            </w:pPr>
            <w:r>
              <w:rPr>
                <w:rFonts w:hint="eastAsia" w:ascii="Times New Roman" w:hAnsi="Times New Roman" w:eastAsia="宋体" w:cs="Times New Roman"/>
                <w:b/>
                <w:color w:val="auto"/>
                <w:sz w:val="21"/>
                <w:szCs w:val="21"/>
                <w:highlight w:val="none"/>
              </w:rPr>
              <w:t>表2-10  运营期主要原、辅材料消耗一览表</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2109"/>
              <w:gridCol w:w="4291"/>
            </w:tblGrid>
            <w:tr w14:paraId="5542A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926" w:type="pct"/>
                  <w:tcMar>
                    <w:left w:w="57" w:type="dxa"/>
                    <w:right w:w="57" w:type="dxa"/>
                  </w:tcMar>
                  <w:vAlign w:val="center"/>
                </w:tcPr>
                <w:p w14:paraId="76CEDB67">
                  <w:pPr>
                    <w:widowControl/>
                    <w:adjustRightInd w:val="0"/>
                    <w:spacing w:line="240" w:lineRule="auto"/>
                    <w:ind w:firstLine="0" w:firstLineChars="0"/>
                    <w:jc w:val="center"/>
                    <w:rPr>
                      <w:b/>
                      <w:bCs/>
                      <w:color w:val="auto"/>
                      <w:sz w:val="21"/>
                      <w:szCs w:val="21"/>
                      <w:highlight w:val="none"/>
                    </w:rPr>
                  </w:pPr>
                  <w:r>
                    <w:rPr>
                      <w:b/>
                      <w:bCs/>
                      <w:color w:val="auto"/>
                      <w:sz w:val="21"/>
                      <w:szCs w:val="21"/>
                      <w:highlight w:val="none"/>
                    </w:rPr>
                    <w:t>原料名称</w:t>
                  </w:r>
                </w:p>
              </w:tc>
              <w:tc>
                <w:tcPr>
                  <w:tcW w:w="1342" w:type="pct"/>
                  <w:tcMar>
                    <w:left w:w="57" w:type="dxa"/>
                    <w:right w:w="57" w:type="dxa"/>
                  </w:tcMar>
                  <w:vAlign w:val="center"/>
                </w:tcPr>
                <w:p w14:paraId="78C3EA29">
                  <w:pPr>
                    <w:widowControl/>
                    <w:adjustRightInd w:val="0"/>
                    <w:spacing w:line="240" w:lineRule="auto"/>
                    <w:ind w:firstLine="0" w:firstLineChars="0"/>
                    <w:jc w:val="center"/>
                    <w:rPr>
                      <w:b/>
                      <w:bCs/>
                      <w:color w:val="auto"/>
                      <w:sz w:val="21"/>
                      <w:szCs w:val="21"/>
                      <w:highlight w:val="none"/>
                    </w:rPr>
                  </w:pPr>
                  <w:r>
                    <w:rPr>
                      <w:b/>
                      <w:bCs/>
                      <w:color w:val="auto"/>
                      <w:sz w:val="21"/>
                      <w:szCs w:val="21"/>
                      <w:highlight w:val="none"/>
                    </w:rPr>
                    <w:t>年耗量</w:t>
                  </w:r>
                </w:p>
              </w:tc>
              <w:tc>
                <w:tcPr>
                  <w:tcW w:w="2731" w:type="pct"/>
                  <w:tcMar>
                    <w:left w:w="57" w:type="dxa"/>
                    <w:right w:w="57" w:type="dxa"/>
                  </w:tcMar>
                  <w:vAlign w:val="center"/>
                </w:tcPr>
                <w:p w14:paraId="0EFB2EE5">
                  <w:pPr>
                    <w:widowControl/>
                    <w:adjustRightInd w:val="0"/>
                    <w:spacing w:line="240" w:lineRule="auto"/>
                    <w:ind w:firstLine="0" w:firstLineChars="0"/>
                    <w:jc w:val="center"/>
                    <w:rPr>
                      <w:b/>
                      <w:bCs/>
                      <w:color w:val="auto"/>
                      <w:sz w:val="21"/>
                      <w:szCs w:val="21"/>
                      <w:highlight w:val="none"/>
                    </w:rPr>
                  </w:pPr>
                  <w:r>
                    <w:rPr>
                      <w:b/>
                      <w:bCs/>
                      <w:color w:val="auto"/>
                      <w:sz w:val="21"/>
                      <w:szCs w:val="21"/>
                      <w:highlight w:val="none"/>
                    </w:rPr>
                    <w:t>备注</w:t>
                  </w:r>
                </w:p>
              </w:tc>
            </w:tr>
            <w:tr w14:paraId="08C2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926" w:type="pct"/>
                  <w:tcMar>
                    <w:left w:w="57" w:type="dxa"/>
                    <w:right w:w="57" w:type="dxa"/>
                  </w:tcMar>
                  <w:vAlign w:val="center"/>
                </w:tcPr>
                <w:p w14:paraId="7A289900">
                  <w:pPr>
                    <w:adjustRightInd w:val="0"/>
                    <w:spacing w:line="240" w:lineRule="auto"/>
                    <w:ind w:firstLine="0" w:firstLineChars="0"/>
                    <w:jc w:val="center"/>
                    <w:rPr>
                      <w:color w:val="auto"/>
                      <w:sz w:val="21"/>
                      <w:szCs w:val="21"/>
                      <w:highlight w:val="none"/>
                    </w:rPr>
                  </w:pPr>
                  <w:r>
                    <w:rPr>
                      <w:rFonts w:hint="eastAsia"/>
                      <w:color w:val="auto"/>
                      <w:sz w:val="21"/>
                      <w:szCs w:val="24"/>
                      <w:highlight w:val="none"/>
                      <w:lang w:val="en-US" w:eastAsia="zh-CN"/>
                    </w:rPr>
                    <w:t>石英砂</w:t>
                  </w:r>
                  <w:r>
                    <w:rPr>
                      <w:color w:val="auto"/>
                      <w:sz w:val="21"/>
                      <w:szCs w:val="24"/>
                      <w:highlight w:val="none"/>
                    </w:rPr>
                    <w:t>岩</w:t>
                  </w:r>
                </w:p>
              </w:tc>
              <w:tc>
                <w:tcPr>
                  <w:tcW w:w="1342" w:type="pct"/>
                  <w:tcMar>
                    <w:left w:w="57" w:type="dxa"/>
                    <w:right w:w="57" w:type="dxa"/>
                  </w:tcMar>
                  <w:vAlign w:val="center"/>
                </w:tcPr>
                <w:p w14:paraId="02828612">
                  <w:pPr>
                    <w:widowControl/>
                    <w:adjustRightInd w:val="0"/>
                    <w:spacing w:line="240" w:lineRule="auto"/>
                    <w:ind w:firstLine="0" w:firstLineChars="0"/>
                    <w:jc w:val="center"/>
                    <w:rPr>
                      <w:color w:val="auto"/>
                      <w:sz w:val="21"/>
                      <w:szCs w:val="21"/>
                      <w:highlight w:val="none"/>
                    </w:rPr>
                  </w:pPr>
                  <w:r>
                    <w:rPr>
                      <w:rFonts w:hint="eastAsia"/>
                      <w:color w:val="auto"/>
                      <w:sz w:val="21"/>
                      <w:szCs w:val="21"/>
                      <w:highlight w:val="none"/>
                      <w:lang w:val="en-US" w:eastAsia="zh-CN"/>
                    </w:rPr>
                    <w:t>50</w:t>
                  </w:r>
                  <w:r>
                    <w:rPr>
                      <w:color w:val="auto"/>
                      <w:sz w:val="21"/>
                      <w:szCs w:val="21"/>
                      <w:highlight w:val="none"/>
                    </w:rPr>
                    <w:t>万t/a</w:t>
                  </w:r>
                </w:p>
              </w:tc>
              <w:tc>
                <w:tcPr>
                  <w:tcW w:w="2731" w:type="pct"/>
                  <w:tcMar>
                    <w:left w:w="57" w:type="dxa"/>
                    <w:right w:w="57" w:type="dxa"/>
                  </w:tcMar>
                  <w:vAlign w:val="center"/>
                </w:tcPr>
                <w:p w14:paraId="645E17C2">
                  <w:pPr>
                    <w:adjustRightInd w:val="0"/>
                    <w:spacing w:line="240" w:lineRule="auto"/>
                    <w:ind w:firstLine="0" w:firstLineChars="0"/>
                    <w:jc w:val="center"/>
                    <w:rPr>
                      <w:color w:val="auto"/>
                      <w:sz w:val="21"/>
                      <w:szCs w:val="21"/>
                      <w:highlight w:val="none"/>
                    </w:rPr>
                  </w:pPr>
                  <w:r>
                    <w:rPr>
                      <w:color w:val="auto"/>
                      <w:sz w:val="21"/>
                      <w:szCs w:val="21"/>
                      <w:highlight w:val="none"/>
                    </w:rPr>
                    <w:t>矿山自采</w:t>
                  </w:r>
                </w:p>
              </w:tc>
            </w:tr>
            <w:tr w14:paraId="165C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926" w:type="pct"/>
                  <w:tcMar>
                    <w:left w:w="57" w:type="dxa"/>
                    <w:right w:w="57" w:type="dxa"/>
                  </w:tcMar>
                  <w:vAlign w:val="center"/>
                </w:tcPr>
                <w:p w14:paraId="2535FD8D">
                  <w:pPr>
                    <w:adjustRightInd w:val="0"/>
                    <w:spacing w:line="240" w:lineRule="auto"/>
                    <w:ind w:firstLine="0" w:firstLineChars="0"/>
                    <w:jc w:val="center"/>
                    <w:rPr>
                      <w:color w:val="auto"/>
                      <w:sz w:val="21"/>
                      <w:szCs w:val="24"/>
                      <w:highlight w:val="none"/>
                    </w:rPr>
                  </w:pPr>
                  <w:r>
                    <w:rPr>
                      <w:rFonts w:hint="eastAsia"/>
                      <w:color w:val="auto"/>
                      <w:sz w:val="21"/>
                      <w:szCs w:val="24"/>
                      <w:highlight w:val="none"/>
                      <w:lang w:val="en-US" w:eastAsia="zh-CN"/>
                    </w:rPr>
                    <w:t>润滑</w:t>
                  </w:r>
                  <w:r>
                    <w:rPr>
                      <w:color w:val="auto"/>
                      <w:sz w:val="21"/>
                      <w:szCs w:val="24"/>
                      <w:highlight w:val="none"/>
                    </w:rPr>
                    <w:t>油</w:t>
                  </w:r>
                </w:p>
              </w:tc>
              <w:tc>
                <w:tcPr>
                  <w:tcW w:w="1342" w:type="pct"/>
                  <w:tcMar>
                    <w:left w:w="57" w:type="dxa"/>
                    <w:right w:w="57" w:type="dxa"/>
                  </w:tcMar>
                  <w:vAlign w:val="center"/>
                </w:tcPr>
                <w:p w14:paraId="234CE21E">
                  <w:pPr>
                    <w:adjustRightInd w:val="0"/>
                    <w:spacing w:line="240" w:lineRule="auto"/>
                    <w:ind w:firstLine="0" w:firstLineChars="0"/>
                    <w:jc w:val="center"/>
                    <w:rPr>
                      <w:color w:val="auto"/>
                      <w:sz w:val="21"/>
                      <w:szCs w:val="24"/>
                      <w:highlight w:val="none"/>
                    </w:rPr>
                  </w:pPr>
                  <w:r>
                    <w:rPr>
                      <w:rFonts w:hint="eastAsia"/>
                      <w:color w:val="auto"/>
                      <w:sz w:val="21"/>
                      <w:szCs w:val="24"/>
                      <w:highlight w:val="none"/>
                      <w:lang w:val="en-US" w:eastAsia="zh-CN"/>
                    </w:rPr>
                    <w:t>30kg</w:t>
                  </w:r>
                  <w:r>
                    <w:rPr>
                      <w:color w:val="auto"/>
                      <w:sz w:val="21"/>
                      <w:szCs w:val="24"/>
                      <w:highlight w:val="none"/>
                    </w:rPr>
                    <w:t>/a</w:t>
                  </w:r>
                </w:p>
              </w:tc>
              <w:tc>
                <w:tcPr>
                  <w:tcW w:w="2731" w:type="pct"/>
                  <w:tcMar>
                    <w:left w:w="57" w:type="dxa"/>
                    <w:right w:w="57" w:type="dxa"/>
                  </w:tcMar>
                  <w:vAlign w:val="center"/>
                </w:tcPr>
                <w:p w14:paraId="578B4ED8">
                  <w:pPr>
                    <w:adjustRightInd w:val="0"/>
                    <w:spacing w:line="240" w:lineRule="auto"/>
                    <w:ind w:firstLine="0" w:firstLineChars="0"/>
                    <w:jc w:val="center"/>
                    <w:rPr>
                      <w:color w:val="auto"/>
                      <w:sz w:val="21"/>
                      <w:szCs w:val="24"/>
                      <w:highlight w:val="none"/>
                    </w:rPr>
                  </w:pPr>
                  <w:r>
                    <w:rPr>
                      <w:rFonts w:hint="eastAsia"/>
                      <w:color w:val="auto"/>
                      <w:sz w:val="21"/>
                      <w:szCs w:val="24"/>
                      <w:highlight w:val="none"/>
                      <w:lang w:val="en-US" w:eastAsia="zh-CN"/>
                    </w:rPr>
                    <w:t>设备维护、保养</w:t>
                  </w:r>
                </w:p>
              </w:tc>
            </w:tr>
            <w:tr w14:paraId="4837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926" w:type="pct"/>
                  <w:tcMar>
                    <w:left w:w="57" w:type="dxa"/>
                    <w:right w:w="57" w:type="dxa"/>
                  </w:tcMar>
                  <w:vAlign w:val="center"/>
                </w:tcPr>
                <w:p w14:paraId="1566A187">
                  <w:pPr>
                    <w:adjustRightInd w:val="0"/>
                    <w:spacing w:line="240" w:lineRule="auto"/>
                    <w:ind w:firstLine="0" w:firstLineChars="0"/>
                    <w:jc w:val="center"/>
                    <w:rPr>
                      <w:rFonts w:hint="eastAsia"/>
                      <w:color w:val="auto"/>
                      <w:sz w:val="21"/>
                      <w:szCs w:val="24"/>
                      <w:highlight w:val="none"/>
                      <w:lang w:val="en-US" w:eastAsia="zh-CN"/>
                    </w:rPr>
                  </w:pPr>
                  <w:r>
                    <w:rPr>
                      <w:rFonts w:hint="eastAsia"/>
                      <w:color w:val="auto"/>
                      <w:sz w:val="21"/>
                      <w:szCs w:val="24"/>
                      <w:highlight w:val="none"/>
                      <w:lang w:val="en-US" w:eastAsia="zh-CN"/>
                    </w:rPr>
                    <w:t>柴油</w:t>
                  </w:r>
                </w:p>
              </w:tc>
              <w:tc>
                <w:tcPr>
                  <w:tcW w:w="1342" w:type="pct"/>
                  <w:tcMar>
                    <w:left w:w="57" w:type="dxa"/>
                    <w:right w:w="57" w:type="dxa"/>
                  </w:tcMar>
                  <w:vAlign w:val="center"/>
                </w:tcPr>
                <w:p w14:paraId="37D3FB6C">
                  <w:pPr>
                    <w:adjustRightInd w:val="0"/>
                    <w:spacing w:line="240" w:lineRule="auto"/>
                    <w:ind w:firstLine="0" w:firstLineChars="0"/>
                    <w:jc w:val="center"/>
                    <w:rPr>
                      <w:rFonts w:hint="default"/>
                      <w:color w:val="auto"/>
                      <w:sz w:val="21"/>
                      <w:szCs w:val="24"/>
                      <w:highlight w:val="none"/>
                      <w:lang w:val="en-US" w:eastAsia="zh-CN"/>
                    </w:rPr>
                  </w:pPr>
                  <w:r>
                    <w:rPr>
                      <w:rFonts w:hint="eastAsia"/>
                      <w:color w:val="auto"/>
                      <w:sz w:val="21"/>
                      <w:szCs w:val="24"/>
                      <w:highlight w:val="none"/>
                      <w:lang w:val="en-US" w:eastAsia="zh-CN"/>
                    </w:rPr>
                    <w:t>/</w:t>
                  </w:r>
                </w:p>
              </w:tc>
              <w:tc>
                <w:tcPr>
                  <w:tcW w:w="2731" w:type="pct"/>
                  <w:tcMar>
                    <w:left w:w="57" w:type="dxa"/>
                    <w:right w:w="57" w:type="dxa"/>
                  </w:tcMar>
                  <w:vAlign w:val="center"/>
                </w:tcPr>
                <w:p w14:paraId="2D0758D3">
                  <w:pPr>
                    <w:adjustRightInd w:val="0"/>
                    <w:spacing w:line="240" w:lineRule="auto"/>
                    <w:ind w:firstLine="0" w:firstLineChars="0"/>
                    <w:jc w:val="center"/>
                    <w:rPr>
                      <w:rFonts w:hint="eastAsia"/>
                      <w:color w:val="auto"/>
                      <w:sz w:val="21"/>
                      <w:szCs w:val="24"/>
                      <w:highlight w:val="none"/>
                      <w:lang w:val="en-US" w:eastAsia="zh-CN"/>
                    </w:rPr>
                  </w:pPr>
                  <w:r>
                    <w:rPr>
                      <w:rFonts w:hint="eastAsia"/>
                      <w:color w:val="auto"/>
                      <w:sz w:val="21"/>
                      <w:szCs w:val="24"/>
                      <w:highlight w:val="none"/>
                      <w:lang w:val="en-US" w:eastAsia="zh-CN"/>
                    </w:rPr>
                    <w:t>由附近加油站供给</w:t>
                  </w:r>
                </w:p>
              </w:tc>
            </w:tr>
            <w:tr w14:paraId="53D9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926" w:type="pct"/>
                  <w:tcMar>
                    <w:left w:w="57" w:type="dxa"/>
                    <w:right w:w="57" w:type="dxa"/>
                  </w:tcMar>
                  <w:vAlign w:val="center"/>
                </w:tcPr>
                <w:p w14:paraId="7C4A0AA3">
                  <w:pPr>
                    <w:adjustRightInd w:val="0"/>
                    <w:spacing w:line="240" w:lineRule="auto"/>
                    <w:ind w:firstLine="0" w:firstLineChars="0"/>
                    <w:jc w:val="center"/>
                    <w:rPr>
                      <w:color w:val="auto"/>
                      <w:sz w:val="21"/>
                      <w:szCs w:val="21"/>
                      <w:highlight w:val="none"/>
                    </w:rPr>
                  </w:pPr>
                  <w:r>
                    <w:rPr>
                      <w:color w:val="auto"/>
                      <w:sz w:val="21"/>
                      <w:szCs w:val="21"/>
                      <w:highlight w:val="none"/>
                    </w:rPr>
                    <w:t>水</w:t>
                  </w:r>
                </w:p>
              </w:tc>
              <w:tc>
                <w:tcPr>
                  <w:tcW w:w="1342" w:type="pct"/>
                  <w:tcMar>
                    <w:left w:w="57" w:type="dxa"/>
                    <w:right w:w="57" w:type="dxa"/>
                  </w:tcMar>
                  <w:vAlign w:val="center"/>
                </w:tcPr>
                <w:p w14:paraId="3F87102B">
                  <w:pPr>
                    <w:spacing w:line="240" w:lineRule="auto"/>
                    <w:ind w:firstLine="0" w:firstLineChars="0"/>
                    <w:jc w:val="center"/>
                    <w:rPr>
                      <w:color w:val="auto"/>
                      <w:sz w:val="21"/>
                      <w:szCs w:val="21"/>
                      <w:highlight w:val="none"/>
                    </w:rPr>
                  </w:pPr>
                  <w:r>
                    <w:rPr>
                      <w:rFonts w:hint="eastAsia"/>
                      <w:color w:val="auto"/>
                      <w:sz w:val="21"/>
                      <w:szCs w:val="20"/>
                      <w:highlight w:val="none"/>
                      <w:lang w:val="en-US" w:eastAsia="zh-CN"/>
                    </w:rPr>
                    <w:t>48000</w:t>
                  </w:r>
                  <w:r>
                    <w:rPr>
                      <w:color w:val="auto"/>
                      <w:sz w:val="21"/>
                      <w:szCs w:val="21"/>
                      <w:highlight w:val="none"/>
                    </w:rPr>
                    <w:t>m</w:t>
                  </w:r>
                  <w:r>
                    <w:rPr>
                      <w:color w:val="auto"/>
                      <w:sz w:val="21"/>
                      <w:szCs w:val="21"/>
                      <w:highlight w:val="none"/>
                      <w:vertAlign w:val="superscript"/>
                    </w:rPr>
                    <w:t>3</w:t>
                  </w:r>
                  <w:r>
                    <w:rPr>
                      <w:color w:val="auto"/>
                      <w:sz w:val="21"/>
                      <w:szCs w:val="21"/>
                      <w:highlight w:val="none"/>
                    </w:rPr>
                    <w:t>/</w:t>
                  </w:r>
                  <w:r>
                    <w:rPr>
                      <w:rFonts w:hint="eastAsia"/>
                      <w:color w:val="auto"/>
                      <w:sz w:val="21"/>
                      <w:szCs w:val="21"/>
                      <w:highlight w:val="none"/>
                    </w:rPr>
                    <w:t>a</w:t>
                  </w:r>
                </w:p>
              </w:tc>
              <w:tc>
                <w:tcPr>
                  <w:tcW w:w="2731" w:type="pct"/>
                  <w:tcMar>
                    <w:left w:w="57" w:type="dxa"/>
                    <w:right w:w="57" w:type="dxa"/>
                  </w:tcMar>
                  <w:vAlign w:val="center"/>
                </w:tcPr>
                <w:p w14:paraId="3B840C53">
                  <w:pPr>
                    <w:adjustRightInd w:val="0"/>
                    <w:spacing w:line="240" w:lineRule="auto"/>
                    <w:ind w:firstLine="0" w:firstLineChars="0"/>
                    <w:jc w:val="center"/>
                    <w:rPr>
                      <w:color w:val="auto"/>
                      <w:sz w:val="21"/>
                      <w:szCs w:val="21"/>
                      <w:highlight w:val="none"/>
                    </w:rPr>
                  </w:pPr>
                  <w:r>
                    <w:rPr>
                      <w:color w:val="auto"/>
                      <w:sz w:val="21"/>
                      <w:szCs w:val="21"/>
                      <w:highlight w:val="none"/>
                    </w:rPr>
                    <w:t>自来水</w:t>
                  </w:r>
                </w:p>
              </w:tc>
            </w:tr>
            <w:tr w14:paraId="7A57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926" w:type="pct"/>
                  <w:tcMar>
                    <w:left w:w="57" w:type="dxa"/>
                    <w:right w:w="57" w:type="dxa"/>
                  </w:tcMar>
                  <w:vAlign w:val="center"/>
                </w:tcPr>
                <w:p w14:paraId="604EAC9B">
                  <w:pPr>
                    <w:adjustRightInd w:val="0"/>
                    <w:spacing w:line="240" w:lineRule="auto"/>
                    <w:ind w:firstLine="0" w:firstLineChars="0"/>
                    <w:jc w:val="center"/>
                    <w:rPr>
                      <w:color w:val="auto"/>
                      <w:sz w:val="21"/>
                      <w:szCs w:val="21"/>
                      <w:highlight w:val="none"/>
                    </w:rPr>
                  </w:pPr>
                  <w:r>
                    <w:rPr>
                      <w:color w:val="auto"/>
                      <w:sz w:val="21"/>
                      <w:szCs w:val="21"/>
                      <w:highlight w:val="none"/>
                    </w:rPr>
                    <w:t>电</w:t>
                  </w:r>
                </w:p>
              </w:tc>
              <w:tc>
                <w:tcPr>
                  <w:tcW w:w="1342" w:type="pct"/>
                  <w:tcMar>
                    <w:left w:w="57" w:type="dxa"/>
                    <w:right w:w="57" w:type="dxa"/>
                  </w:tcMar>
                  <w:vAlign w:val="center"/>
                </w:tcPr>
                <w:p w14:paraId="4540ABF2">
                  <w:pPr>
                    <w:spacing w:line="240" w:lineRule="auto"/>
                    <w:ind w:firstLine="0" w:firstLineChars="0"/>
                    <w:jc w:val="center"/>
                    <w:rPr>
                      <w:color w:val="auto"/>
                      <w:sz w:val="21"/>
                      <w:szCs w:val="21"/>
                      <w:highlight w:val="none"/>
                    </w:rPr>
                  </w:pPr>
                  <w:r>
                    <w:rPr>
                      <w:rFonts w:hint="eastAsia"/>
                      <w:color w:val="auto"/>
                      <w:sz w:val="21"/>
                      <w:szCs w:val="21"/>
                      <w:highlight w:val="none"/>
                      <w:lang w:val="en-US" w:eastAsia="zh-CN"/>
                    </w:rPr>
                    <w:t>80.64</w:t>
                  </w:r>
                  <w:r>
                    <w:rPr>
                      <w:color w:val="auto"/>
                      <w:sz w:val="21"/>
                      <w:szCs w:val="21"/>
                      <w:highlight w:val="none"/>
                    </w:rPr>
                    <w:t>万kW·h</w:t>
                  </w:r>
                </w:p>
              </w:tc>
              <w:tc>
                <w:tcPr>
                  <w:tcW w:w="2731" w:type="pct"/>
                  <w:tcMar>
                    <w:left w:w="57" w:type="dxa"/>
                    <w:right w:w="57" w:type="dxa"/>
                  </w:tcMar>
                  <w:vAlign w:val="center"/>
                </w:tcPr>
                <w:p w14:paraId="5D11437F">
                  <w:pPr>
                    <w:adjustRightInd w:val="0"/>
                    <w:spacing w:line="240" w:lineRule="auto"/>
                    <w:ind w:firstLine="0" w:firstLineChars="0"/>
                    <w:jc w:val="center"/>
                    <w:rPr>
                      <w:rFonts w:hint="eastAsia" w:eastAsia="宋体"/>
                      <w:color w:val="auto"/>
                      <w:sz w:val="21"/>
                      <w:szCs w:val="21"/>
                      <w:highlight w:val="none"/>
                      <w:lang w:val="en-US" w:eastAsia="zh-CN"/>
                    </w:rPr>
                  </w:pPr>
                  <w:r>
                    <w:rPr>
                      <w:rFonts w:hint="eastAsia" w:cs="Times New Roman"/>
                      <w:snapToGrid/>
                      <w:color w:val="auto"/>
                      <w:sz w:val="21"/>
                      <w:highlight w:val="none"/>
                      <w:lang w:eastAsia="zh-CN"/>
                    </w:rPr>
                    <w:t>由</w:t>
                  </w:r>
                  <w:r>
                    <w:rPr>
                      <w:rFonts w:hint="eastAsia"/>
                      <w:color w:val="auto"/>
                      <w:sz w:val="21"/>
                      <w:szCs w:val="21"/>
                      <w:highlight w:val="none"/>
                    </w:rPr>
                    <w:t>柯渡镇供电所</w:t>
                  </w:r>
                  <w:r>
                    <w:rPr>
                      <w:rFonts w:hint="eastAsia"/>
                      <w:color w:val="auto"/>
                      <w:sz w:val="21"/>
                      <w:szCs w:val="21"/>
                      <w:highlight w:val="none"/>
                      <w:lang w:val="en-US" w:eastAsia="zh-CN"/>
                    </w:rPr>
                    <w:t>接入</w:t>
                  </w:r>
                </w:p>
              </w:tc>
            </w:tr>
          </w:tbl>
          <w:p w14:paraId="7FF7F791">
            <w:pPr>
              <w:spacing w:before="156" w:beforeLines="50"/>
              <w:ind w:firstLine="482"/>
              <w:rPr>
                <w:b/>
                <w:bCs/>
                <w:color w:val="auto"/>
                <w:szCs w:val="24"/>
                <w:highlight w:val="none"/>
              </w:rPr>
            </w:pPr>
            <w:r>
              <w:rPr>
                <w:rFonts w:hint="eastAsia"/>
                <w:b/>
                <w:bCs/>
                <w:color w:val="auto"/>
                <w:highlight w:val="none"/>
              </w:rPr>
              <w:t>13</w:t>
            </w:r>
            <w:r>
              <w:rPr>
                <w:b/>
                <w:bCs/>
                <w:color w:val="auto"/>
                <w:highlight w:val="none"/>
              </w:rPr>
              <w:t>、</w:t>
            </w:r>
            <w:r>
              <w:rPr>
                <w:b/>
                <w:bCs/>
                <w:color w:val="auto"/>
                <w:szCs w:val="24"/>
                <w:highlight w:val="none"/>
              </w:rPr>
              <w:t>项目主要生产设备</w:t>
            </w:r>
          </w:p>
          <w:p w14:paraId="66E165B1">
            <w:pPr>
              <w:widowControl/>
              <w:ind w:firstLine="470" w:firstLineChars="196"/>
              <w:jc w:val="left"/>
              <w:rPr>
                <w:color w:val="auto"/>
                <w:szCs w:val="24"/>
                <w:highlight w:val="none"/>
              </w:rPr>
            </w:pPr>
            <w:r>
              <w:rPr>
                <w:color w:val="auto"/>
                <w:szCs w:val="24"/>
                <w:highlight w:val="none"/>
              </w:rPr>
              <w:t>根据建设单位提供的资料</w:t>
            </w:r>
            <w:r>
              <w:rPr>
                <w:rFonts w:hint="eastAsia"/>
                <w:color w:val="auto"/>
                <w:szCs w:val="24"/>
                <w:highlight w:val="none"/>
              </w:rPr>
              <w:t>，</w:t>
            </w:r>
            <w:r>
              <w:rPr>
                <w:color w:val="auto"/>
                <w:szCs w:val="24"/>
                <w:highlight w:val="none"/>
              </w:rPr>
              <w:t>项目生产过程中使用的主要生产设备详见表2-</w:t>
            </w:r>
            <w:r>
              <w:rPr>
                <w:rFonts w:hint="eastAsia"/>
                <w:color w:val="auto"/>
                <w:szCs w:val="24"/>
                <w:highlight w:val="none"/>
              </w:rPr>
              <w:t>11</w:t>
            </w:r>
            <w:r>
              <w:rPr>
                <w:color w:val="auto"/>
                <w:szCs w:val="24"/>
                <w:highlight w:val="none"/>
              </w:rPr>
              <w:t>。</w:t>
            </w:r>
          </w:p>
          <w:p w14:paraId="7007266B">
            <w:pPr>
              <w:tabs>
                <w:tab w:val="left" w:pos="0"/>
              </w:tabs>
              <w:spacing w:line="240" w:lineRule="auto"/>
              <w:ind w:firstLine="0" w:firstLineChars="0"/>
              <w:jc w:val="center"/>
              <w:rPr>
                <w:b/>
                <w:color w:val="auto"/>
                <w:sz w:val="21"/>
                <w:szCs w:val="21"/>
                <w:highlight w:val="none"/>
              </w:rPr>
            </w:pPr>
            <w:r>
              <w:rPr>
                <w:b/>
                <w:color w:val="auto"/>
                <w:sz w:val="21"/>
                <w:szCs w:val="21"/>
                <w:highlight w:val="none"/>
              </w:rPr>
              <w:t>表2-</w:t>
            </w:r>
            <w:r>
              <w:rPr>
                <w:rFonts w:hint="eastAsia"/>
                <w:b/>
                <w:color w:val="auto"/>
                <w:sz w:val="21"/>
                <w:szCs w:val="21"/>
                <w:highlight w:val="none"/>
              </w:rPr>
              <w:t xml:space="preserve">11  </w:t>
            </w:r>
            <w:r>
              <w:rPr>
                <w:b/>
                <w:color w:val="auto"/>
                <w:sz w:val="21"/>
                <w:szCs w:val="21"/>
                <w:highlight w:val="none"/>
              </w:rPr>
              <w:t>项目生产主要设备一览表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1874"/>
              <w:gridCol w:w="1824"/>
              <w:gridCol w:w="818"/>
              <w:gridCol w:w="1214"/>
              <w:gridCol w:w="1291"/>
            </w:tblGrid>
            <w:tr w14:paraId="2283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32" w:type="pct"/>
                  <w:noWrap/>
                  <w:vAlign w:val="center"/>
                </w:tcPr>
                <w:p w14:paraId="045E8833">
                  <w:pPr>
                    <w:adjustRightInd w:val="0"/>
                    <w:snapToGrid w:val="0"/>
                    <w:spacing w:line="360" w:lineRule="exact"/>
                    <w:ind w:firstLine="0" w:firstLineChars="0"/>
                    <w:jc w:val="center"/>
                    <w:rPr>
                      <w:rFonts w:hint="eastAsia" w:ascii="Times New Roman" w:hAnsi="Times New Roman" w:eastAsia="宋体"/>
                      <w:b/>
                      <w:bCs/>
                      <w:caps w:val="0"/>
                      <w:smallCaps w:val="0"/>
                      <w:color w:val="auto"/>
                      <w:sz w:val="21"/>
                      <w:szCs w:val="21"/>
                      <w:highlight w:val="none"/>
                      <w:lang w:val="en-US" w:eastAsia="zh-CN"/>
                    </w:rPr>
                  </w:pPr>
                  <w:r>
                    <w:rPr>
                      <w:rFonts w:hint="eastAsia" w:ascii="Times New Roman" w:hAnsi="Times New Roman"/>
                      <w:b/>
                      <w:bCs/>
                      <w:caps w:val="0"/>
                      <w:smallCaps w:val="0"/>
                      <w:color w:val="auto"/>
                      <w:sz w:val="21"/>
                      <w:szCs w:val="21"/>
                      <w:highlight w:val="none"/>
                      <w:lang w:val="en-US" w:eastAsia="zh-CN"/>
                    </w:rPr>
                    <w:t>区域</w:t>
                  </w:r>
                </w:p>
              </w:tc>
              <w:tc>
                <w:tcPr>
                  <w:tcW w:w="1192" w:type="pct"/>
                  <w:noWrap/>
                  <w:vAlign w:val="center"/>
                </w:tcPr>
                <w:p w14:paraId="7D0A1DA5">
                  <w:pPr>
                    <w:adjustRightInd w:val="0"/>
                    <w:snapToGrid w:val="0"/>
                    <w:spacing w:line="360" w:lineRule="exact"/>
                    <w:ind w:firstLine="0" w:firstLineChars="0"/>
                    <w:jc w:val="center"/>
                    <w:rPr>
                      <w:rFonts w:ascii="Times New Roman" w:hAnsi="Times New Roman"/>
                      <w:b/>
                      <w:bCs/>
                      <w:caps w:val="0"/>
                      <w:smallCaps w:val="0"/>
                      <w:color w:val="auto"/>
                      <w:sz w:val="21"/>
                      <w:szCs w:val="21"/>
                      <w:highlight w:val="none"/>
                      <w:lang w:val="zh-CN"/>
                    </w:rPr>
                  </w:pPr>
                  <w:r>
                    <w:rPr>
                      <w:rFonts w:hint="eastAsia" w:ascii="Times New Roman" w:hAnsi="Times New Roman"/>
                      <w:b/>
                      <w:bCs/>
                      <w:caps w:val="0"/>
                      <w:smallCaps w:val="0"/>
                      <w:color w:val="auto"/>
                      <w:sz w:val="21"/>
                      <w:szCs w:val="21"/>
                      <w:highlight w:val="none"/>
                      <w:lang w:val="zh-CN"/>
                    </w:rPr>
                    <w:t>设 备 名 称</w:t>
                  </w:r>
                </w:p>
              </w:tc>
              <w:tc>
                <w:tcPr>
                  <w:tcW w:w="1160" w:type="pct"/>
                  <w:noWrap/>
                  <w:vAlign w:val="center"/>
                </w:tcPr>
                <w:p w14:paraId="05139B49">
                  <w:pPr>
                    <w:adjustRightInd w:val="0"/>
                    <w:snapToGrid w:val="0"/>
                    <w:spacing w:line="360" w:lineRule="exact"/>
                    <w:ind w:firstLine="0" w:firstLineChars="0"/>
                    <w:jc w:val="center"/>
                    <w:rPr>
                      <w:rFonts w:ascii="Times New Roman" w:hAnsi="Times New Roman"/>
                      <w:b/>
                      <w:bCs/>
                      <w:caps w:val="0"/>
                      <w:smallCaps w:val="0"/>
                      <w:color w:val="auto"/>
                      <w:sz w:val="21"/>
                      <w:szCs w:val="21"/>
                      <w:highlight w:val="none"/>
                      <w:lang w:val="zh-CN"/>
                    </w:rPr>
                  </w:pPr>
                  <w:r>
                    <w:rPr>
                      <w:rFonts w:hint="eastAsia" w:ascii="Times New Roman" w:hAnsi="Times New Roman"/>
                      <w:b/>
                      <w:bCs/>
                      <w:caps w:val="0"/>
                      <w:smallCaps w:val="0"/>
                      <w:color w:val="auto"/>
                      <w:sz w:val="21"/>
                      <w:szCs w:val="21"/>
                      <w:highlight w:val="none"/>
                      <w:lang w:val="zh-CN"/>
                    </w:rPr>
                    <w:t>设备型号</w:t>
                  </w:r>
                </w:p>
              </w:tc>
              <w:tc>
                <w:tcPr>
                  <w:tcW w:w="520" w:type="pct"/>
                  <w:noWrap/>
                  <w:vAlign w:val="center"/>
                </w:tcPr>
                <w:p w14:paraId="5923AD7D">
                  <w:pPr>
                    <w:adjustRightInd w:val="0"/>
                    <w:snapToGrid w:val="0"/>
                    <w:spacing w:line="360" w:lineRule="exact"/>
                    <w:ind w:firstLine="0" w:firstLineChars="0"/>
                    <w:jc w:val="center"/>
                    <w:rPr>
                      <w:rFonts w:ascii="Times New Roman" w:hAnsi="Times New Roman"/>
                      <w:b/>
                      <w:bCs/>
                      <w:caps w:val="0"/>
                      <w:smallCaps w:val="0"/>
                      <w:color w:val="auto"/>
                      <w:sz w:val="21"/>
                      <w:szCs w:val="21"/>
                      <w:highlight w:val="none"/>
                      <w:lang w:val="zh-CN"/>
                    </w:rPr>
                  </w:pPr>
                  <w:r>
                    <w:rPr>
                      <w:rFonts w:hint="eastAsia" w:ascii="Times New Roman" w:hAnsi="Times New Roman"/>
                      <w:b/>
                      <w:bCs/>
                      <w:caps w:val="0"/>
                      <w:smallCaps w:val="0"/>
                      <w:color w:val="auto"/>
                      <w:sz w:val="21"/>
                      <w:szCs w:val="21"/>
                      <w:highlight w:val="none"/>
                      <w:lang w:val="zh-CN"/>
                    </w:rPr>
                    <w:t>单 位</w:t>
                  </w:r>
                </w:p>
              </w:tc>
              <w:tc>
                <w:tcPr>
                  <w:tcW w:w="772" w:type="pct"/>
                  <w:noWrap/>
                  <w:vAlign w:val="center"/>
                </w:tcPr>
                <w:p w14:paraId="7AAD9A69">
                  <w:pPr>
                    <w:adjustRightInd w:val="0"/>
                    <w:snapToGrid w:val="0"/>
                    <w:spacing w:line="360" w:lineRule="exact"/>
                    <w:ind w:firstLine="0" w:firstLineChars="0"/>
                    <w:jc w:val="center"/>
                    <w:rPr>
                      <w:rFonts w:hint="eastAsia" w:ascii="Times New Roman" w:hAnsi="Times New Roman" w:eastAsia="宋体"/>
                      <w:b/>
                      <w:bCs/>
                      <w:caps w:val="0"/>
                      <w:smallCaps w:val="0"/>
                      <w:color w:val="auto"/>
                      <w:sz w:val="21"/>
                      <w:szCs w:val="21"/>
                      <w:highlight w:val="none"/>
                      <w:lang w:val="zh-CN" w:eastAsia="zh-CN"/>
                    </w:rPr>
                  </w:pPr>
                  <w:r>
                    <w:rPr>
                      <w:rFonts w:hint="eastAsia" w:ascii="Times New Roman" w:hAnsi="Times New Roman"/>
                      <w:b/>
                      <w:bCs/>
                      <w:caps w:val="0"/>
                      <w:smallCaps w:val="0"/>
                      <w:color w:val="auto"/>
                      <w:sz w:val="21"/>
                      <w:szCs w:val="21"/>
                      <w:highlight w:val="none"/>
                      <w:lang w:val="en-US" w:eastAsia="zh-CN"/>
                    </w:rPr>
                    <w:t>用途</w:t>
                  </w:r>
                </w:p>
              </w:tc>
              <w:tc>
                <w:tcPr>
                  <w:tcW w:w="821" w:type="pct"/>
                  <w:noWrap/>
                  <w:vAlign w:val="center"/>
                </w:tcPr>
                <w:p w14:paraId="63958BC5">
                  <w:pPr>
                    <w:adjustRightInd w:val="0"/>
                    <w:snapToGrid w:val="0"/>
                    <w:spacing w:line="360" w:lineRule="exact"/>
                    <w:ind w:firstLine="0" w:firstLineChars="0"/>
                    <w:jc w:val="center"/>
                    <w:rPr>
                      <w:rFonts w:hint="eastAsia" w:ascii="Times New Roman" w:hAnsi="Times New Roman" w:eastAsia="宋体"/>
                      <w:b/>
                      <w:bCs/>
                      <w:caps w:val="0"/>
                      <w:smallCaps w:val="0"/>
                      <w:color w:val="auto"/>
                      <w:sz w:val="21"/>
                      <w:szCs w:val="21"/>
                      <w:highlight w:val="none"/>
                      <w:lang w:val="en-US" w:eastAsia="zh-CN"/>
                    </w:rPr>
                  </w:pPr>
                  <w:r>
                    <w:rPr>
                      <w:rFonts w:hint="eastAsia" w:ascii="Times New Roman" w:hAnsi="Times New Roman"/>
                      <w:b/>
                      <w:bCs/>
                      <w:caps w:val="0"/>
                      <w:smallCaps w:val="0"/>
                      <w:color w:val="auto"/>
                      <w:sz w:val="21"/>
                      <w:szCs w:val="21"/>
                      <w:highlight w:val="none"/>
                      <w:lang w:val="en-US" w:eastAsia="zh-CN"/>
                    </w:rPr>
                    <w:t>备注</w:t>
                  </w:r>
                </w:p>
              </w:tc>
            </w:tr>
            <w:tr w14:paraId="0DDB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pct"/>
                  <w:vMerge w:val="restart"/>
                  <w:noWrap/>
                  <w:vAlign w:val="center"/>
                </w:tcPr>
                <w:p w14:paraId="4BC95083">
                  <w:pPr>
                    <w:adjustRightInd w:val="0"/>
                    <w:snapToGrid w:val="0"/>
                    <w:spacing w:line="360" w:lineRule="exact"/>
                    <w:ind w:firstLine="0" w:firstLineChars="0"/>
                    <w:jc w:val="center"/>
                    <w:rPr>
                      <w:rFonts w:hint="eastAsia" w:ascii="Times New Roman" w:hAnsi="Times New Roman" w:eastAsia="宋体"/>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开采区</w:t>
                  </w:r>
                </w:p>
              </w:tc>
              <w:tc>
                <w:tcPr>
                  <w:tcW w:w="1192" w:type="pct"/>
                  <w:noWrap/>
                  <w:vAlign w:val="center"/>
                </w:tcPr>
                <w:p w14:paraId="6905D676">
                  <w:pPr>
                    <w:adjustRightInd w:val="0"/>
                    <w:snapToGrid w:val="0"/>
                    <w:spacing w:line="360" w:lineRule="exact"/>
                    <w:ind w:firstLine="0" w:firstLineChars="0"/>
                    <w:jc w:val="center"/>
                    <w:rPr>
                      <w:rFonts w:ascii="Times New Roman" w:hAnsi="Times New Roman"/>
                      <w:caps w:val="0"/>
                      <w:smallCaps w:val="0"/>
                      <w:color w:val="auto"/>
                      <w:sz w:val="21"/>
                      <w:szCs w:val="21"/>
                      <w:highlight w:val="none"/>
                      <w:lang w:val="zh-CN"/>
                    </w:rPr>
                  </w:pPr>
                  <w:r>
                    <w:rPr>
                      <w:rFonts w:hint="eastAsia" w:ascii="Times New Roman" w:hAnsi="Times New Roman"/>
                      <w:caps w:val="0"/>
                      <w:smallCaps w:val="0"/>
                      <w:color w:val="auto"/>
                      <w:sz w:val="21"/>
                      <w:szCs w:val="21"/>
                      <w:highlight w:val="none"/>
                      <w:lang w:val="zh-CN"/>
                    </w:rPr>
                    <w:t>挖掘机</w:t>
                  </w:r>
                </w:p>
              </w:tc>
              <w:tc>
                <w:tcPr>
                  <w:tcW w:w="1160" w:type="pct"/>
                  <w:noWrap/>
                  <w:vAlign w:val="center"/>
                </w:tcPr>
                <w:p w14:paraId="14FD5F7C">
                  <w:pPr>
                    <w:adjustRightInd w:val="0"/>
                    <w:snapToGrid w:val="0"/>
                    <w:spacing w:line="360" w:lineRule="exact"/>
                    <w:ind w:firstLine="0" w:firstLineChars="0"/>
                    <w:jc w:val="center"/>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 xml:space="preserve">卡特326DL </w:t>
                  </w:r>
                </w:p>
              </w:tc>
              <w:tc>
                <w:tcPr>
                  <w:tcW w:w="520" w:type="pct"/>
                  <w:noWrap/>
                  <w:vAlign w:val="center"/>
                </w:tcPr>
                <w:p w14:paraId="101DABE8">
                  <w:pPr>
                    <w:adjustRightInd w:val="0"/>
                    <w:snapToGrid w:val="0"/>
                    <w:spacing w:line="360" w:lineRule="exact"/>
                    <w:ind w:firstLine="0" w:firstLineChars="0"/>
                    <w:jc w:val="center"/>
                    <w:rPr>
                      <w:rFonts w:hint="eastAsia" w:ascii="Times New Roman" w:hAnsi="Times New Roman" w:eastAsia="宋体"/>
                      <w:caps w:val="0"/>
                      <w:smallCaps w:val="0"/>
                      <w:color w:val="auto"/>
                      <w:sz w:val="21"/>
                      <w:szCs w:val="21"/>
                      <w:highlight w:val="none"/>
                      <w:lang w:val="zh-CN" w:eastAsia="zh-CN"/>
                    </w:rPr>
                  </w:pPr>
                  <w:r>
                    <w:rPr>
                      <w:rFonts w:hint="eastAsia" w:ascii="Times New Roman" w:hAnsi="Times New Roman"/>
                      <w:caps w:val="0"/>
                      <w:smallCaps w:val="0"/>
                      <w:color w:val="auto"/>
                      <w:sz w:val="21"/>
                      <w:szCs w:val="21"/>
                      <w:highlight w:val="none"/>
                      <w:lang w:val="en-US" w:eastAsia="zh-CN"/>
                    </w:rPr>
                    <w:t>1台</w:t>
                  </w:r>
                </w:p>
              </w:tc>
              <w:tc>
                <w:tcPr>
                  <w:tcW w:w="772" w:type="pct"/>
                  <w:noWrap/>
                  <w:vAlign w:val="center"/>
                </w:tcPr>
                <w:p w14:paraId="0A7C4940">
                  <w:pPr>
                    <w:adjustRightInd w:val="0"/>
                    <w:snapToGrid w:val="0"/>
                    <w:spacing w:line="360" w:lineRule="exact"/>
                    <w:ind w:firstLine="0" w:firstLineChars="0"/>
                    <w:jc w:val="center"/>
                    <w:rPr>
                      <w:rFonts w:hint="eastAsia" w:ascii="Times New Roman" w:hAnsi="Times New Roman" w:eastAsia="宋体"/>
                      <w:caps w:val="0"/>
                      <w:smallCaps w:val="0"/>
                      <w:color w:val="auto"/>
                      <w:sz w:val="21"/>
                      <w:szCs w:val="21"/>
                      <w:highlight w:val="none"/>
                      <w:lang w:eastAsia="zh-CN"/>
                    </w:rPr>
                  </w:pPr>
                  <w:r>
                    <w:rPr>
                      <w:rFonts w:hint="default" w:ascii="Times New Roman" w:hAnsi="Times New Roman"/>
                      <w:caps w:val="0"/>
                      <w:smallCaps w:val="0"/>
                      <w:color w:val="auto"/>
                      <w:sz w:val="21"/>
                      <w:szCs w:val="21"/>
                      <w:highlight w:val="none"/>
                    </w:rPr>
                    <w:t>铲装矿石</w:t>
                  </w:r>
                </w:p>
              </w:tc>
              <w:tc>
                <w:tcPr>
                  <w:tcW w:w="821" w:type="pct"/>
                  <w:noWrap/>
                  <w:vAlign w:val="center"/>
                </w:tcPr>
                <w:p w14:paraId="33F41693">
                  <w:pPr>
                    <w:adjustRightInd w:val="0"/>
                    <w:snapToGrid w:val="0"/>
                    <w:spacing w:line="360" w:lineRule="exact"/>
                    <w:ind w:firstLine="0" w:firstLineChars="0"/>
                    <w:jc w:val="center"/>
                    <w:rPr>
                      <w:rFonts w:hint="default" w:ascii="Times New Roman" w:hAnsi="Times New Roman"/>
                      <w:caps w:val="0"/>
                      <w:smallCaps w:val="0"/>
                      <w:color w:val="auto"/>
                      <w:sz w:val="21"/>
                      <w:szCs w:val="21"/>
                      <w:highlight w:val="none"/>
                    </w:rPr>
                  </w:pPr>
                  <w:r>
                    <w:rPr>
                      <w:rFonts w:hint="eastAsia"/>
                      <w:color w:val="auto"/>
                      <w:sz w:val="21"/>
                      <w:szCs w:val="21"/>
                      <w:highlight w:val="none"/>
                    </w:rPr>
                    <w:t>利用现有</w:t>
                  </w:r>
                </w:p>
              </w:tc>
            </w:tr>
            <w:tr w14:paraId="1006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pct"/>
                  <w:vMerge w:val="continue"/>
                  <w:noWrap/>
                  <w:vAlign w:val="center"/>
                </w:tcPr>
                <w:p w14:paraId="601B53C7">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p>
              </w:tc>
              <w:tc>
                <w:tcPr>
                  <w:tcW w:w="1192" w:type="pct"/>
                  <w:noWrap/>
                  <w:vAlign w:val="center"/>
                </w:tcPr>
                <w:p w14:paraId="033FCCC1">
                  <w:pPr>
                    <w:adjustRightInd w:val="0"/>
                    <w:snapToGrid w:val="0"/>
                    <w:spacing w:line="360" w:lineRule="exact"/>
                    <w:ind w:firstLine="0" w:firstLineChars="0"/>
                    <w:jc w:val="center"/>
                    <w:rPr>
                      <w:rFonts w:hint="eastAsia" w:ascii="Times New Roman" w:hAnsi="Times New Roman" w:eastAsia="宋体"/>
                      <w:caps w:val="0"/>
                      <w:smallCaps w:val="0"/>
                      <w:color w:val="auto"/>
                      <w:sz w:val="21"/>
                      <w:szCs w:val="21"/>
                      <w:highlight w:val="none"/>
                      <w:lang w:eastAsia="zh-CN"/>
                    </w:rPr>
                  </w:pPr>
                  <w:r>
                    <w:rPr>
                      <w:rFonts w:hint="eastAsia" w:ascii="Times New Roman" w:hAnsi="Times New Roman"/>
                      <w:caps w:val="0"/>
                      <w:smallCaps w:val="0"/>
                      <w:color w:val="auto"/>
                      <w:sz w:val="21"/>
                      <w:szCs w:val="21"/>
                      <w:highlight w:val="none"/>
                      <w:lang w:val="en-US" w:eastAsia="zh-CN"/>
                    </w:rPr>
                    <w:t>装载机</w:t>
                  </w:r>
                </w:p>
              </w:tc>
              <w:tc>
                <w:tcPr>
                  <w:tcW w:w="1160" w:type="pct"/>
                  <w:noWrap/>
                  <w:vAlign w:val="center"/>
                </w:tcPr>
                <w:p w14:paraId="0224291A">
                  <w:pPr>
                    <w:adjustRightInd w:val="0"/>
                    <w:snapToGrid w:val="0"/>
                    <w:spacing w:line="360" w:lineRule="exact"/>
                    <w:ind w:firstLine="0" w:firstLineChars="0"/>
                    <w:jc w:val="center"/>
                    <w:rPr>
                      <w:rFonts w:hint="default" w:ascii="Times New Roman" w:hAnsi="Times New Roman" w:eastAsia="宋体"/>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龙工50</w:t>
                  </w:r>
                </w:p>
              </w:tc>
              <w:tc>
                <w:tcPr>
                  <w:tcW w:w="520" w:type="pct"/>
                  <w:noWrap/>
                  <w:vAlign w:val="center"/>
                </w:tcPr>
                <w:p w14:paraId="57EAB855">
                  <w:pPr>
                    <w:adjustRightInd w:val="0"/>
                    <w:snapToGrid w:val="0"/>
                    <w:spacing w:line="360" w:lineRule="exact"/>
                    <w:ind w:firstLine="0" w:firstLineChars="0"/>
                    <w:jc w:val="center"/>
                    <w:rPr>
                      <w:rFonts w:ascii="Times New Roman" w:hAnsi="Times New Roman"/>
                      <w:caps w:val="0"/>
                      <w:smallCaps w:val="0"/>
                      <w:color w:val="auto"/>
                      <w:sz w:val="21"/>
                      <w:szCs w:val="21"/>
                      <w:highlight w:val="none"/>
                      <w:lang w:val="zh-CN"/>
                    </w:rPr>
                  </w:pPr>
                  <w:r>
                    <w:rPr>
                      <w:rFonts w:hint="eastAsia"/>
                      <w:caps w:val="0"/>
                      <w:smallCaps w:val="0"/>
                      <w:color w:val="auto"/>
                      <w:sz w:val="21"/>
                      <w:szCs w:val="21"/>
                      <w:highlight w:val="none"/>
                      <w:lang w:val="en-US" w:eastAsia="zh-CN"/>
                    </w:rPr>
                    <w:t>1</w:t>
                  </w:r>
                  <w:r>
                    <w:rPr>
                      <w:rFonts w:hint="eastAsia" w:ascii="Times New Roman" w:hAnsi="Times New Roman"/>
                      <w:caps w:val="0"/>
                      <w:smallCaps w:val="0"/>
                      <w:color w:val="auto"/>
                      <w:sz w:val="21"/>
                      <w:szCs w:val="21"/>
                      <w:highlight w:val="none"/>
                      <w:lang w:val="zh-CN"/>
                    </w:rPr>
                    <w:t>台</w:t>
                  </w:r>
                </w:p>
              </w:tc>
              <w:tc>
                <w:tcPr>
                  <w:tcW w:w="772" w:type="pct"/>
                  <w:noWrap/>
                  <w:vAlign w:val="center"/>
                </w:tcPr>
                <w:p w14:paraId="18CF90E2">
                  <w:pPr>
                    <w:adjustRightInd w:val="0"/>
                    <w:snapToGrid w:val="0"/>
                    <w:spacing w:line="360" w:lineRule="exact"/>
                    <w:ind w:firstLine="0" w:firstLineChars="0"/>
                    <w:jc w:val="center"/>
                    <w:rPr>
                      <w:rFonts w:ascii="Times New Roman" w:hAnsi="Times New Roman"/>
                      <w:caps w:val="0"/>
                      <w:smallCaps w:val="0"/>
                      <w:color w:val="auto"/>
                      <w:sz w:val="21"/>
                      <w:szCs w:val="21"/>
                      <w:highlight w:val="none"/>
                    </w:rPr>
                  </w:pPr>
                  <w:r>
                    <w:rPr>
                      <w:rFonts w:hint="default" w:ascii="Times New Roman" w:hAnsi="Times New Roman"/>
                      <w:caps w:val="0"/>
                      <w:smallCaps w:val="0"/>
                      <w:color w:val="auto"/>
                      <w:sz w:val="21"/>
                      <w:szCs w:val="21"/>
                      <w:highlight w:val="none"/>
                    </w:rPr>
                    <w:t>铲装矿石</w:t>
                  </w:r>
                </w:p>
              </w:tc>
              <w:tc>
                <w:tcPr>
                  <w:tcW w:w="821" w:type="pct"/>
                  <w:noWrap/>
                  <w:vAlign w:val="center"/>
                </w:tcPr>
                <w:p w14:paraId="1F10C704">
                  <w:pPr>
                    <w:adjustRightInd w:val="0"/>
                    <w:snapToGrid w:val="0"/>
                    <w:spacing w:line="360" w:lineRule="exact"/>
                    <w:ind w:firstLine="0" w:firstLineChars="0"/>
                    <w:jc w:val="center"/>
                    <w:rPr>
                      <w:rFonts w:hint="default" w:ascii="Times New Roman" w:hAnsi="Times New Roman"/>
                      <w:caps w:val="0"/>
                      <w:smallCaps w:val="0"/>
                      <w:color w:val="auto"/>
                      <w:sz w:val="21"/>
                      <w:szCs w:val="21"/>
                      <w:highlight w:val="none"/>
                    </w:rPr>
                  </w:pPr>
                  <w:r>
                    <w:rPr>
                      <w:rFonts w:hint="eastAsia"/>
                      <w:color w:val="auto"/>
                      <w:sz w:val="21"/>
                      <w:szCs w:val="21"/>
                      <w:highlight w:val="none"/>
                    </w:rPr>
                    <w:t>利用现有</w:t>
                  </w:r>
                </w:p>
              </w:tc>
            </w:tr>
            <w:tr w14:paraId="7D1C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pct"/>
                  <w:vMerge w:val="continue"/>
                  <w:noWrap/>
                  <w:vAlign w:val="center"/>
                </w:tcPr>
                <w:p w14:paraId="1B626428">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p>
              </w:tc>
              <w:tc>
                <w:tcPr>
                  <w:tcW w:w="1192" w:type="pct"/>
                  <w:noWrap/>
                  <w:vAlign w:val="center"/>
                </w:tcPr>
                <w:p w14:paraId="67D99DB1">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r>
                    <w:rPr>
                      <w:rFonts w:hint="eastAsia"/>
                      <w:caps w:val="0"/>
                      <w:smallCaps w:val="0"/>
                      <w:color w:val="auto"/>
                      <w:sz w:val="21"/>
                      <w:szCs w:val="21"/>
                      <w:highlight w:val="none"/>
                      <w:lang w:val="en-US" w:eastAsia="zh-CN"/>
                    </w:rPr>
                    <w:t>运输</w:t>
                  </w:r>
                  <w:r>
                    <w:rPr>
                      <w:rFonts w:hint="eastAsia" w:ascii="Times New Roman" w:hAnsi="Times New Roman"/>
                      <w:caps w:val="0"/>
                      <w:smallCaps w:val="0"/>
                      <w:color w:val="auto"/>
                      <w:sz w:val="21"/>
                      <w:szCs w:val="21"/>
                      <w:highlight w:val="none"/>
                      <w:lang w:val="en-US" w:eastAsia="zh-CN"/>
                    </w:rPr>
                    <w:t>汽车</w:t>
                  </w:r>
                </w:p>
              </w:tc>
              <w:tc>
                <w:tcPr>
                  <w:tcW w:w="1160" w:type="pct"/>
                  <w:noWrap/>
                  <w:vAlign w:val="center"/>
                </w:tcPr>
                <w:p w14:paraId="19A2A90D">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r>
                    <w:rPr>
                      <w:rFonts w:hint="eastAsia" w:ascii="Times New Roman" w:hAnsi="Times New Roman" w:eastAsia="宋体" w:cs="Times New Roman"/>
                      <w:color w:val="auto"/>
                      <w:kern w:val="0"/>
                      <w:sz w:val="21"/>
                      <w:szCs w:val="21"/>
                      <w:highlight w:val="none"/>
                    </w:rPr>
                    <w:t>JH6重卡</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val="en-US" w:eastAsia="zh-CN"/>
                    </w:rPr>
                    <w:t>25t</w:t>
                  </w:r>
                  <w:r>
                    <w:rPr>
                      <w:rFonts w:hint="eastAsia" w:ascii="Times New Roman" w:hAnsi="Times New Roman" w:eastAsia="宋体" w:cs="Times New Roman"/>
                      <w:color w:val="auto"/>
                      <w:kern w:val="0"/>
                      <w:sz w:val="21"/>
                      <w:szCs w:val="21"/>
                      <w:highlight w:val="none"/>
                      <w:lang w:eastAsia="zh-CN"/>
                    </w:rPr>
                    <w:t>）</w:t>
                  </w:r>
                </w:p>
              </w:tc>
              <w:tc>
                <w:tcPr>
                  <w:tcW w:w="520" w:type="pct"/>
                  <w:noWrap/>
                  <w:vAlign w:val="center"/>
                </w:tcPr>
                <w:p w14:paraId="609F014A">
                  <w:pPr>
                    <w:adjustRightInd w:val="0"/>
                    <w:snapToGrid w:val="0"/>
                    <w:spacing w:line="360" w:lineRule="exact"/>
                    <w:ind w:firstLine="0" w:firstLineChars="0"/>
                    <w:jc w:val="center"/>
                    <w:rPr>
                      <w:rFonts w:hint="default"/>
                      <w:caps w:val="0"/>
                      <w:smallCaps w:val="0"/>
                      <w:color w:val="auto"/>
                      <w:sz w:val="21"/>
                      <w:szCs w:val="21"/>
                      <w:highlight w:val="none"/>
                      <w:lang w:val="en-US" w:eastAsia="zh-CN"/>
                    </w:rPr>
                  </w:pPr>
                  <w:r>
                    <w:rPr>
                      <w:rFonts w:hint="eastAsia"/>
                      <w:caps w:val="0"/>
                      <w:smallCaps w:val="0"/>
                      <w:color w:val="auto"/>
                      <w:sz w:val="21"/>
                      <w:szCs w:val="21"/>
                      <w:highlight w:val="none"/>
                      <w:lang w:val="en-US" w:eastAsia="zh-CN"/>
                    </w:rPr>
                    <w:t>1辆</w:t>
                  </w:r>
                </w:p>
              </w:tc>
              <w:tc>
                <w:tcPr>
                  <w:tcW w:w="772" w:type="pct"/>
                  <w:noWrap/>
                  <w:vAlign w:val="center"/>
                </w:tcPr>
                <w:p w14:paraId="52283F79">
                  <w:pPr>
                    <w:adjustRightInd w:val="0"/>
                    <w:snapToGrid w:val="0"/>
                    <w:spacing w:line="360" w:lineRule="exact"/>
                    <w:ind w:firstLine="0" w:firstLineChars="0"/>
                    <w:jc w:val="center"/>
                    <w:rPr>
                      <w:rFonts w:hint="default" w:ascii="Times New Roman" w:hAnsi="Times New Roman"/>
                      <w:caps w:val="0"/>
                      <w:smallCaps w:val="0"/>
                      <w:color w:val="auto"/>
                      <w:sz w:val="21"/>
                      <w:szCs w:val="21"/>
                      <w:highlight w:val="none"/>
                    </w:rPr>
                  </w:pPr>
                  <w:r>
                    <w:rPr>
                      <w:rFonts w:hint="default" w:ascii="Times New Roman" w:hAnsi="Times New Roman"/>
                      <w:caps w:val="0"/>
                      <w:smallCaps w:val="0"/>
                      <w:color w:val="auto"/>
                      <w:sz w:val="21"/>
                      <w:szCs w:val="21"/>
                      <w:highlight w:val="none"/>
                    </w:rPr>
                    <w:t>矿石</w:t>
                  </w:r>
                  <w:r>
                    <w:rPr>
                      <w:rFonts w:hint="eastAsia" w:ascii="Times New Roman" w:hAnsi="Times New Roman"/>
                      <w:caps w:val="0"/>
                      <w:smallCaps w:val="0"/>
                      <w:color w:val="auto"/>
                      <w:sz w:val="21"/>
                      <w:szCs w:val="21"/>
                      <w:highlight w:val="none"/>
                      <w:lang w:val="en-US" w:eastAsia="zh-CN"/>
                    </w:rPr>
                    <w:t>运输</w:t>
                  </w:r>
                </w:p>
              </w:tc>
              <w:tc>
                <w:tcPr>
                  <w:tcW w:w="821" w:type="pct"/>
                  <w:noWrap/>
                  <w:vAlign w:val="center"/>
                </w:tcPr>
                <w:p w14:paraId="554B4C47">
                  <w:pPr>
                    <w:adjustRightInd w:val="0"/>
                    <w:snapToGrid w:val="0"/>
                    <w:spacing w:line="360" w:lineRule="exact"/>
                    <w:ind w:firstLine="0" w:firstLineChars="0"/>
                    <w:jc w:val="center"/>
                    <w:rPr>
                      <w:rFonts w:hint="eastAsia"/>
                      <w:color w:val="auto"/>
                      <w:sz w:val="21"/>
                      <w:szCs w:val="21"/>
                      <w:highlight w:val="none"/>
                    </w:rPr>
                  </w:pPr>
                  <w:r>
                    <w:rPr>
                      <w:rFonts w:hint="eastAsia"/>
                      <w:color w:val="auto"/>
                      <w:sz w:val="21"/>
                      <w:szCs w:val="21"/>
                      <w:highlight w:val="none"/>
                    </w:rPr>
                    <w:t>利用现有</w:t>
                  </w:r>
                </w:p>
              </w:tc>
            </w:tr>
            <w:tr w14:paraId="5265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pct"/>
                  <w:vMerge w:val="continue"/>
                  <w:noWrap/>
                  <w:vAlign w:val="center"/>
                </w:tcPr>
                <w:p w14:paraId="0AAD3682">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p>
              </w:tc>
              <w:tc>
                <w:tcPr>
                  <w:tcW w:w="1192" w:type="pct"/>
                  <w:shd w:val="clear" w:color="auto" w:fill="auto"/>
                  <w:noWrap/>
                  <w:vAlign w:val="center"/>
                </w:tcPr>
                <w:p w14:paraId="5F01BA51">
                  <w:pPr>
                    <w:adjustRightInd w:val="0"/>
                    <w:snapToGrid w:val="0"/>
                    <w:spacing w:line="360" w:lineRule="exact"/>
                    <w:ind w:firstLine="0" w:firstLineChars="0"/>
                    <w:jc w:val="center"/>
                    <w:rPr>
                      <w:rFonts w:hint="eastAsia" w:ascii="Times New Roman" w:hAnsi="Times New Roman" w:eastAsia="宋体" w:cs="Times New Roman"/>
                      <w:caps w:val="0"/>
                      <w:smallCaps w:val="0"/>
                      <w:color w:val="auto"/>
                      <w:kern w:val="2"/>
                      <w:sz w:val="21"/>
                      <w:szCs w:val="21"/>
                      <w:highlight w:val="none"/>
                      <w:lang w:val="en-US" w:eastAsia="zh-CN" w:bidi="ar-SA"/>
                    </w:rPr>
                  </w:pPr>
                  <w:r>
                    <w:rPr>
                      <w:rFonts w:hint="eastAsia"/>
                      <w:caps w:val="0"/>
                      <w:smallCaps w:val="0"/>
                      <w:color w:val="auto"/>
                      <w:sz w:val="21"/>
                      <w:szCs w:val="21"/>
                      <w:highlight w:val="none"/>
                      <w:lang w:val="en-US" w:eastAsia="zh-CN"/>
                    </w:rPr>
                    <w:t>挖掘机</w:t>
                  </w:r>
                </w:p>
              </w:tc>
              <w:tc>
                <w:tcPr>
                  <w:tcW w:w="1160" w:type="pct"/>
                  <w:shd w:val="clear" w:color="auto" w:fill="auto"/>
                  <w:noWrap/>
                  <w:vAlign w:val="center"/>
                </w:tcPr>
                <w:p w14:paraId="3570A72C">
                  <w:pPr>
                    <w:adjustRightInd w:val="0"/>
                    <w:snapToGrid w:val="0"/>
                    <w:spacing w:line="360" w:lineRule="exact"/>
                    <w:ind w:firstLine="0" w:firstLineChars="0"/>
                    <w:jc w:val="center"/>
                    <w:rPr>
                      <w:rFonts w:hint="eastAsia" w:ascii="Times New Roman" w:hAnsi="Times New Roman" w:eastAsia="宋体" w:cs="Times New Roman"/>
                      <w:caps w:val="0"/>
                      <w:smallCaps w:val="0"/>
                      <w:color w:val="auto"/>
                      <w:kern w:val="2"/>
                      <w:sz w:val="21"/>
                      <w:szCs w:val="21"/>
                      <w:highlight w:val="none"/>
                      <w:lang w:val="en-US" w:eastAsia="zh-CN" w:bidi="ar-SA"/>
                    </w:rPr>
                  </w:pPr>
                  <w:r>
                    <w:rPr>
                      <w:rFonts w:hint="eastAsia" w:ascii="Times New Roman" w:hAnsi="Times New Roman"/>
                      <w:caps w:val="0"/>
                      <w:smallCaps w:val="0"/>
                      <w:color w:val="auto"/>
                      <w:sz w:val="21"/>
                      <w:szCs w:val="21"/>
                      <w:highlight w:val="none"/>
                      <w:lang w:val="en-US" w:eastAsia="zh-CN"/>
                    </w:rPr>
                    <w:t>卡特326DL</w:t>
                  </w:r>
                </w:p>
              </w:tc>
              <w:tc>
                <w:tcPr>
                  <w:tcW w:w="520" w:type="pct"/>
                  <w:shd w:val="clear" w:color="auto" w:fill="auto"/>
                  <w:noWrap/>
                  <w:vAlign w:val="center"/>
                </w:tcPr>
                <w:p w14:paraId="2B7E5A59">
                  <w:pPr>
                    <w:adjustRightInd w:val="0"/>
                    <w:snapToGrid w:val="0"/>
                    <w:spacing w:line="360" w:lineRule="exact"/>
                    <w:ind w:firstLine="0" w:firstLineChars="0"/>
                    <w:jc w:val="center"/>
                    <w:rPr>
                      <w:rFonts w:hint="eastAsia" w:ascii="Times New Roman" w:hAnsi="Times New Roman" w:eastAsia="宋体" w:cs="Times New Roman"/>
                      <w:caps w:val="0"/>
                      <w:smallCaps w:val="0"/>
                      <w:color w:val="auto"/>
                      <w:kern w:val="2"/>
                      <w:sz w:val="21"/>
                      <w:szCs w:val="21"/>
                      <w:highlight w:val="none"/>
                      <w:lang w:val="en-US" w:eastAsia="zh-CN" w:bidi="ar-SA"/>
                    </w:rPr>
                  </w:pPr>
                  <w:r>
                    <w:rPr>
                      <w:rFonts w:hint="eastAsia" w:ascii="Times New Roman" w:hAnsi="Times New Roman"/>
                      <w:caps w:val="0"/>
                      <w:smallCaps w:val="0"/>
                      <w:color w:val="auto"/>
                      <w:sz w:val="21"/>
                      <w:szCs w:val="21"/>
                      <w:highlight w:val="none"/>
                      <w:lang w:val="en-US" w:eastAsia="zh-CN"/>
                    </w:rPr>
                    <w:t>1台</w:t>
                  </w:r>
                </w:p>
              </w:tc>
              <w:tc>
                <w:tcPr>
                  <w:tcW w:w="772" w:type="pct"/>
                  <w:shd w:val="clear" w:color="auto" w:fill="auto"/>
                  <w:noWrap/>
                  <w:vAlign w:val="center"/>
                </w:tcPr>
                <w:p w14:paraId="0B0AC4AF">
                  <w:pPr>
                    <w:adjustRightInd w:val="0"/>
                    <w:snapToGrid w:val="0"/>
                    <w:spacing w:line="360" w:lineRule="exact"/>
                    <w:ind w:firstLine="0" w:firstLineChars="0"/>
                    <w:jc w:val="center"/>
                    <w:rPr>
                      <w:rFonts w:hint="default" w:ascii="Times New Roman" w:hAnsi="Times New Roman" w:eastAsia="宋体" w:cs="Times New Roman"/>
                      <w:caps w:val="0"/>
                      <w:smallCaps w:val="0"/>
                      <w:color w:val="auto"/>
                      <w:kern w:val="2"/>
                      <w:sz w:val="21"/>
                      <w:szCs w:val="21"/>
                      <w:highlight w:val="none"/>
                      <w:lang w:val="en-US" w:eastAsia="zh-CN" w:bidi="ar-SA"/>
                    </w:rPr>
                  </w:pPr>
                  <w:r>
                    <w:rPr>
                      <w:rFonts w:hint="default" w:ascii="Times New Roman" w:hAnsi="Times New Roman"/>
                      <w:caps w:val="0"/>
                      <w:smallCaps w:val="0"/>
                      <w:color w:val="auto"/>
                      <w:sz w:val="21"/>
                      <w:szCs w:val="21"/>
                      <w:highlight w:val="none"/>
                    </w:rPr>
                    <w:t>铲装矿石</w:t>
                  </w:r>
                </w:p>
              </w:tc>
              <w:tc>
                <w:tcPr>
                  <w:tcW w:w="821" w:type="pct"/>
                  <w:shd w:val="clear" w:color="auto" w:fill="auto"/>
                  <w:noWrap/>
                  <w:vAlign w:val="center"/>
                </w:tcPr>
                <w:p w14:paraId="4DF51903">
                  <w:pPr>
                    <w:adjustRightInd w:val="0"/>
                    <w:snapToGrid w:val="0"/>
                    <w:spacing w:line="36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新建</w:t>
                  </w:r>
                </w:p>
              </w:tc>
            </w:tr>
            <w:tr w14:paraId="0B0F0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pct"/>
                  <w:vMerge w:val="continue"/>
                  <w:noWrap/>
                  <w:vAlign w:val="center"/>
                </w:tcPr>
                <w:p w14:paraId="3D534036">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p>
              </w:tc>
              <w:tc>
                <w:tcPr>
                  <w:tcW w:w="1874" w:type="dxa"/>
                  <w:shd w:val="clear" w:color="auto" w:fill="auto"/>
                  <w:noWrap/>
                  <w:vAlign w:val="center"/>
                </w:tcPr>
                <w:p w14:paraId="5D81820D">
                  <w:pPr>
                    <w:adjustRightInd w:val="0"/>
                    <w:snapToGrid w:val="0"/>
                    <w:spacing w:line="360" w:lineRule="exact"/>
                    <w:ind w:firstLine="0" w:firstLineChars="0"/>
                    <w:jc w:val="center"/>
                    <w:rPr>
                      <w:rFonts w:hint="default" w:ascii="Times New Roman" w:hAnsi="Times New Roman" w:eastAsia="宋体" w:cs="Times New Roman"/>
                      <w:caps w:val="0"/>
                      <w:smallCaps w:val="0"/>
                      <w:color w:val="auto"/>
                      <w:kern w:val="2"/>
                      <w:sz w:val="21"/>
                      <w:szCs w:val="21"/>
                      <w:highlight w:val="none"/>
                      <w:lang w:val="en-US" w:eastAsia="zh-CN" w:bidi="ar-SA"/>
                    </w:rPr>
                  </w:pPr>
                  <w:r>
                    <w:rPr>
                      <w:rFonts w:hint="eastAsia" w:ascii="Times New Roman" w:hAnsi="Times New Roman"/>
                      <w:caps w:val="0"/>
                      <w:smallCaps w:val="0"/>
                      <w:color w:val="auto"/>
                      <w:sz w:val="21"/>
                      <w:szCs w:val="21"/>
                      <w:highlight w:val="none"/>
                      <w:lang w:val="en-US" w:eastAsia="zh-CN"/>
                    </w:rPr>
                    <w:t>装载机</w:t>
                  </w:r>
                </w:p>
              </w:tc>
              <w:tc>
                <w:tcPr>
                  <w:tcW w:w="1824" w:type="dxa"/>
                  <w:shd w:val="clear" w:color="auto" w:fill="auto"/>
                  <w:noWrap/>
                  <w:vAlign w:val="center"/>
                </w:tcPr>
                <w:p w14:paraId="6C8C74EA">
                  <w:pPr>
                    <w:adjustRightInd w:val="0"/>
                    <w:snapToGrid w:val="0"/>
                    <w:spacing w:line="360" w:lineRule="exact"/>
                    <w:ind w:firstLine="0" w:firstLineChars="0"/>
                    <w:jc w:val="center"/>
                    <w:rPr>
                      <w:rFonts w:hint="default" w:ascii="Times New Roman" w:hAnsi="Times New Roman" w:eastAsia="宋体" w:cs="Times New Roman"/>
                      <w:caps w:val="0"/>
                      <w:smallCaps w:val="0"/>
                      <w:color w:val="auto"/>
                      <w:kern w:val="2"/>
                      <w:sz w:val="21"/>
                      <w:szCs w:val="21"/>
                      <w:highlight w:val="none"/>
                      <w:lang w:val="en-US" w:eastAsia="zh-CN" w:bidi="ar-SA"/>
                    </w:rPr>
                  </w:pPr>
                  <w:r>
                    <w:rPr>
                      <w:rFonts w:hint="eastAsia" w:ascii="Times New Roman" w:hAnsi="Times New Roman"/>
                      <w:caps w:val="0"/>
                      <w:smallCaps w:val="0"/>
                      <w:color w:val="auto"/>
                      <w:sz w:val="21"/>
                      <w:szCs w:val="21"/>
                      <w:highlight w:val="none"/>
                      <w:lang w:val="en-US" w:eastAsia="zh-CN"/>
                    </w:rPr>
                    <w:t>龙工50</w:t>
                  </w:r>
                </w:p>
              </w:tc>
              <w:tc>
                <w:tcPr>
                  <w:tcW w:w="818" w:type="dxa"/>
                  <w:shd w:val="clear" w:color="auto" w:fill="auto"/>
                  <w:noWrap/>
                  <w:vAlign w:val="center"/>
                </w:tcPr>
                <w:p w14:paraId="6A8B77DC">
                  <w:pPr>
                    <w:adjustRightInd w:val="0"/>
                    <w:snapToGrid w:val="0"/>
                    <w:spacing w:line="360" w:lineRule="exact"/>
                    <w:ind w:firstLine="0" w:firstLineChars="0"/>
                    <w:jc w:val="center"/>
                    <w:rPr>
                      <w:rFonts w:hint="default" w:ascii="Times New Roman" w:hAnsi="Times New Roman" w:eastAsia="宋体" w:cs="Times New Roman"/>
                      <w:caps w:val="0"/>
                      <w:smallCaps w:val="0"/>
                      <w:color w:val="auto"/>
                      <w:kern w:val="2"/>
                      <w:sz w:val="21"/>
                      <w:szCs w:val="21"/>
                      <w:highlight w:val="none"/>
                      <w:lang w:val="en-US" w:eastAsia="zh-CN" w:bidi="ar-SA"/>
                    </w:rPr>
                  </w:pPr>
                  <w:r>
                    <w:rPr>
                      <w:rFonts w:hint="eastAsia"/>
                      <w:caps w:val="0"/>
                      <w:smallCaps w:val="0"/>
                      <w:color w:val="auto"/>
                      <w:sz w:val="21"/>
                      <w:szCs w:val="21"/>
                      <w:highlight w:val="none"/>
                      <w:lang w:val="en-US" w:eastAsia="zh-CN"/>
                    </w:rPr>
                    <w:t>1</w:t>
                  </w:r>
                  <w:r>
                    <w:rPr>
                      <w:rFonts w:hint="eastAsia" w:ascii="Times New Roman" w:hAnsi="Times New Roman"/>
                      <w:caps w:val="0"/>
                      <w:smallCaps w:val="0"/>
                      <w:color w:val="auto"/>
                      <w:sz w:val="21"/>
                      <w:szCs w:val="21"/>
                      <w:highlight w:val="none"/>
                      <w:lang w:val="zh-CN"/>
                    </w:rPr>
                    <w:t>台</w:t>
                  </w:r>
                </w:p>
              </w:tc>
              <w:tc>
                <w:tcPr>
                  <w:tcW w:w="1214" w:type="dxa"/>
                  <w:shd w:val="clear" w:color="auto" w:fill="auto"/>
                  <w:noWrap/>
                  <w:vAlign w:val="center"/>
                </w:tcPr>
                <w:p w14:paraId="44380708">
                  <w:pPr>
                    <w:adjustRightInd w:val="0"/>
                    <w:snapToGrid w:val="0"/>
                    <w:spacing w:line="360" w:lineRule="exact"/>
                    <w:ind w:firstLine="0" w:firstLineChars="0"/>
                    <w:jc w:val="center"/>
                    <w:rPr>
                      <w:rFonts w:hint="eastAsia" w:ascii="Times New Roman" w:hAnsi="Times New Roman" w:eastAsia="宋体" w:cs="Times New Roman"/>
                      <w:caps w:val="0"/>
                      <w:smallCaps w:val="0"/>
                      <w:color w:val="auto"/>
                      <w:kern w:val="2"/>
                      <w:sz w:val="21"/>
                      <w:szCs w:val="21"/>
                      <w:highlight w:val="none"/>
                      <w:lang w:val="en-US" w:eastAsia="zh-CN" w:bidi="ar-SA"/>
                    </w:rPr>
                  </w:pPr>
                  <w:r>
                    <w:rPr>
                      <w:rFonts w:hint="default" w:ascii="Times New Roman" w:hAnsi="Times New Roman"/>
                      <w:caps w:val="0"/>
                      <w:smallCaps w:val="0"/>
                      <w:color w:val="auto"/>
                      <w:sz w:val="21"/>
                      <w:szCs w:val="21"/>
                      <w:highlight w:val="none"/>
                    </w:rPr>
                    <w:t>铲装矿石</w:t>
                  </w:r>
                </w:p>
              </w:tc>
              <w:tc>
                <w:tcPr>
                  <w:tcW w:w="821" w:type="pct"/>
                  <w:shd w:val="clear" w:color="auto" w:fill="auto"/>
                  <w:noWrap/>
                  <w:vAlign w:val="center"/>
                </w:tcPr>
                <w:p w14:paraId="7E636B8D">
                  <w:pPr>
                    <w:adjustRightInd w:val="0"/>
                    <w:snapToGrid w:val="0"/>
                    <w:spacing w:line="36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新建</w:t>
                  </w:r>
                </w:p>
              </w:tc>
            </w:tr>
            <w:tr w14:paraId="7AED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pct"/>
                  <w:vMerge w:val="continue"/>
                  <w:noWrap/>
                  <w:vAlign w:val="center"/>
                </w:tcPr>
                <w:p w14:paraId="6EF2D933">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p>
              </w:tc>
              <w:tc>
                <w:tcPr>
                  <w:tcW w:w="1192" w:type="pct"/>
                  <w:shd w:val="clear" w:color="auto" w:fill="auto"/>
                  <w:noWrap/>
                  <w:vAlign w:val="center"/>
                </w:tcPr>
                <w:p w14:paraId="61CD460E">
                  <w:pPr>
                    <w:adjustRightInd w:val="0"/>
                    <w:snapToGrid w:val="0"/>
                    <w:spacing w:line="360" w:lineRule="exact"/>
                    <w:ind w:firstLine="0" w:firstLineChars="0"/>
                    <w:jc w:val="center"/>
                    <w:rPr>
                      <w:rFonts w:hint="default" w:ascii="Times New Roman" w:hAnsi="Times New Roman" w:eastAsia="宋体" w:cs="Times New Roman"/>
                      <w:caps w:val="0"/>
                      <w:smallCaps w:val="0"/>
                      <w:color w:val="auto"/>
                      <w:kern w:val="2"/>
                      <w:sz w:val="21"/>
                      <w:szCs w:val="21"/>
                      <w:highlight w:val="none"/>
                      <w:lang w:val="en-US" w:eastAsia="zh-CN" w:bidi="ar-SA"/>
                    </w:rPr>
                  </w:pPr>
                  <w:r>
                    <w:rPr>
                      <w:rFonts w:hint="eastAsia"/>
                      <w:caps w:val="0"/>
                      <w:smallCaps w:val="0"/>
                      <w:color w:val="auto"/>
                      <w:sz w:val="21"/>
                      <w:szCs w:val="21"/>
                      <w:highlight w:val="none"/>
                      <w:lang w:val="en-US" w:eastAsia="zh-CN"/>
                    </w:rPr>
                    <w:t>运输</w:t>
                  </w:r>
                  <w:r>
                    <w:rPr>
                      <w:rFonts w:hint="eastAsia" w:ascii="Times New Roman" w:hAnsi="Times New Roman"/>
                      <w:caps w:val="0"/>
                      <w:smallCaps w:val="0"/>
                      <w:color w:val="auto"/>
                      <w:sz w:val="21"/>
                      <w:szCs w:val="21"/>
                      <w:highlight w:val="none"/>
                      <w:lang w:val="en-US" w:eastAsia="zh-CN"/>
                    </w:rPr>
                    <w:t>汽车</w:t>
                  </w:r>
                </w:p>
              </w:tc>
              <w:tc>
                <w:tcPr>
                  <w:tcW w:w="1160" w:type="pct"/>
                  <w:shd w:val="clear" w:color="auto" w:fill="auto"/>
                  <w:noWrap/>
                  <w:vAlign w:val="center"/>
                </w:tcPr>
                <w:p w14:paraId="6C9565BA">
                  <w:pPr>
                    <w:adjustRightInd w:val="0"/>
                    <w:snapToGrid w:val="0"/>
                    <w:spacing w:line="360" w:lineRule="exact"/>
                    <w:ind w:firstLine="0" w:firstLineChars="0"/>
                    <w:jc w:val="center"/>
                    <w:rPr>
                      <w:rFonts w:hint="default" w:ascii="Times New Roman" w:hAnsi="Times New Roman" w:eastAsia="宋体" w:cs="Times New Roman"/>
                      <w:caps w:val="0"/>
                      <w:smallCaps w:val="0"/>
                      <w:color w:val="auto"/>
                      <w:kern w:val="2"/>
                      <w:sz w:val="21"/>
                      <w:szCs w:val="21"/>
                      <w:highlight w:val="none"/>
                      <w:lang w:val="en-US" w:eastAsia="zh-CN" w:bidi="ar-SA"/>
                    </w:rPr>
                  </w:pPr>
                  <w:r>
                    <w:rPr>
                      <w:rFonts w:hint="eastAsia" w:ascii="Times New Roman" w:hAnsi="Times New Roman" w:eastAsia="宋体" w:cs="Times New Roman"/>
                      <w:color w:val="auto"/>
                      <w:kern w:val="0"/>
                      <w:sz w:val="21"/>
                      <w:szCs w:val="21"/>
                      <w:highlight w:val="none"/>
                    </w:rPr>
                    <w:t>JH6重卡</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val="en-US" w:eastAsia="zh-CN"/>
                    </w:rPr>
                    <w:t>25t</w:t>
                  </w:r>
                  <w:r>
                    <w:rPr>
                      <w:rFonts w:hint="eastAsia" w:ascii="Times New Roman" w:hAnsi="Times New Roman" w:eastAsia="宋体" w:cs="Times New Roman"/>
                      <w:color w:val="auto"/>
                      <w:kern w:val="0"/>
                      <w:sz w:val="21"/>
                      <w:szCs w:val="21"/>
                      <w:highlight w:val="none"/>
                      <w:lang w:eastAsia="zh-CN"/>
                    </w:rPr>
                    <w:t>）</w:t>
                  </w:r>
                </w:p>
              </w:tc>
              <w:tc>
                <w:tcPr>
                  <w:tcW w:w="520" w:type="pct"/>
                  <w:shd w:val="clear" w:color="auto" w:fill="auto"/>
                  <w:noWrap/>
                  <w:vAlign w:val="center"/>
                </w:tcPr>
                <w:p w14:paraId="3774868B">
                  <w:pPr>
                    <w:adjustRightInd w:val="0"/>
                    <w:snapToGrid w:val="0"/>
                    <w:spacing w:line="360" w:lineRule="exact"/>
                    <w:ind w:firstLine="0" w:firstLineChars="0"/>
                    <w:jc w:val="center"/>
                    <w:rPr>
                      <w:rFonts w:hint="default" w:ascii="Times New Roman" w:hAnsi="Times New Roman" w:eastAsia="宋体" w:cs="Times New Roman"/>
                      <w:caps w:val="0"/>
                      <w:smallCaps w:val="0"/>
                      <w:color w:val="auto"/>
                      <w:kern w:val="2"/>
                      <w:sz w:val="21"/>
                      <w:szCs w:val="21"/>
                      <w:highlight w:val="none"/>
                      <w:lang w:val="en-US" w:eastAsia="zh-CN" w:bidi="ar-SA"/>
                    </w:rPr>
                  </w:pPr>
                  <w:r>
                    <w:rPr>
                      <w:rFonts w:hint="eastAsia"/>
                      <w:caps w:val="0"/>
                      <w:smallCaps w:val="0"/>
                      <w:color w:val="auto"/>
                      <w:sz w:val="21"/>
                      <w:szCs w:val="21"/>
                      <w:highlight w:val="none"/>
                      <w:lang w:val="en-US" w:eastAsia="zh-CN"/>
                    </w:rPr>
                    <w:t>3</w:t>
                  </w:r>
                  <w:r>
                    <w:rPr>
                      <w:rFonts w:hint="eastAsia" w:ascii="Times New Roman" w:hAnsi="Times New Roman"/>
                      <w:caps w:val="0"/>
                      <w:smallCaps w:val="0"/>
                      <w:color w:val="auto"/>
                      <w:sz w:val="21"/>
                      <w:szCs w:val="21"/>
                      <w:highlight w:val="none"/>
                      <w:lang w:val="en-US" w:eastAsia="zh-CN"/>
                    </w:rPr>
                    <w:t>辆</w:t>
                  </w:r>
                </w:p>
              </w:tc>
              <w:tc>
                <w:tcPr>
                  <w:tcW w:w="772" w:type="pct"/>
                  <w:shd w:val="clear" w:color="auto" w:fill="auto"/>
                  <w:noWrap/>
                  <w:vAlign w:val="center"/>
                </w:tcPr>
                <w:p w14:paraId="3D22D628">
                  <w:pPr>
                    <w:adjustRightInd w:val="0"/>
                    <w:snapToGrid w:val="0"/>
                    <w:spacing w:line="360" w:lineRule="exact"/>
                    <w:ind w:firstLine="0" w:firstLineChars="0"/>
                    <w:jc w:val="center"/>
                    <w:rPr>
                      <w:rFonts w:hint="eastAsia" w:ascii="Times New Roman" w:hAnsi="Times New Roman" w:eastAsia="宋体" w:cs="Times New Roman"/>
                      <w:caps w:val="0"/>
                      <w:smallCaps w:val="0"/>
                      <w:color w:val="auto"/>
                      <w:kern w:val="2"/>
                      <w:sz w:val="21"/>
                      <w:szCs w:val="21"/>
                      <w:highlight w:val="none"/>
                      <w:lang w:val="en-US" w:eastAsia="zh-CN" w:bidi="ar-SA"/>
                    </w:rPr>
                  </w:pPr>
                  <w:r>
                    <w:rPr>
                      <w:rFonts w:hint="default" w:ascii="Times New Roman" w:hAnsi="Times New Roman"/>
                      <w:caps w:val="0"/>
                      <w:smallCaps w:val="0"/>
                      <w:color w:val="auto"/>
                      <w:sz w:val="21"/>
                      <w:szCs w:val="21"/>
                      <w:highlight w:val="none"/>
                    </w:rPr>
                    <w:t>矿石</w:t>
                  </w:r>
                  <w:r>
                    <w:rPr>
                      <w:rFonts w:hint="eastAsia" w:ascii="Times New Roman" w:hAnsi="Times New Roman"/>
                      <w:caps w:val="0"/>
                      <w:smallCaps w:val="0"/>
                      <w:color w:val="auto"/>
                      <w:sz w:val="21"/>
                      <w:szCs w:val="21"/>
                      <w:highlight w:val="none"/>
                      <w:lang w:val="en-US" w:eastAsia="zh-CN"/>
                    </w:rPr>
                    <w:t>运输</w:t>
                  </w:r>
                </w:p>
              </w:tc>
              <w:tc>
                <w:tcPr>
                  <w:tcW w:w="821" w:type="pct"/>
                  <w:shd w:val="clear" w:color="auto" w:fill="auto"/>
                  <w:noWrap/>
                  <w:vAlign w:val="center"/>
                </w:tcPr>
                <w:p w14:paraId="79275E68">
                  <w:pPr>
                    <w:adjustRightInd w:val="0"/>
                    <w:snapToGrid w:val="0"/>
                    <w:spacing w:line="36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新建</w:t>
                  </w:r>
                </w:p>
              </w:tc>
            </w:tr>
            <w:tr w14:paraId="0E29D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pct"/>
                  <w:vMerge w:val="continue"/>
                  <w:noWrap/>
                  <w:vAlign w:val="center"/>
                </w:tcPr>
                <w:p w14:paraId="7B381201">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p>
              </w:tc>
              <w:tc>
                <w:tcPr>
                  <w:tcW w:w="1192" w:type="pct"/>
                  <w:noWrap/>
                  <w:vAlign w:val="center"/>
                </w:tcPr>
                <w:p w14:paraId="3EA081B1">
                  <w:pPr>
                    <w:adjustRightInd w:val="0"/>
                    <w:snapToGrid w:val="0"/>
                    <w:spacing w:line="360" w:lineRule="exact"/>
                    <w:ind w:firstLine="0" w:firstLineChars="0"/>
                    <w:jc w:val="center"/>
                    <w:rPr>
                      <w:rFonts w:hint="default" w:ascii="Times New Roman" w:hAnsi="Times New Roman"/>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凿岩机</w:t>
                  </w:r>
                </w:p>
              </w:tc>
              <w:tc>
                <w:tcPr>
                  <w:tcW w:w="1160" w:type="pct"/>
                  <w:noWrap/>
                  <w:vAlign w:val="center"/>
                </w:tcPr>
                <w:p w14:paraId="7DB15136">
                  <w:pPr>
                    <w:adjustRightInd w:val="0"/>
                    <w:snapToGrid w:val="0"/>
                    <w:spacing w:line="360" w:lineRule="exact"/>
                    <w:ind w:firstLine="0" w:firstLineChars="0"/>
                    <w:jc w:val="center"/>
                    <w:rPr>
                      <w:rFonts w:hint="default" w:ascii="Times New Roman" w:hAnsi="Times New Roman"/>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YTP-24</w:t>
                  </w:r>
                </w:p>
              </w:tc>
              <w:tc>
                <w:tcPr>
                  <w:tcW w:w="520" w:type="pct"/>
                  <w:noWrap/>
                  <w:vAlign w:val="center"/>
                </w:tcPr>
                <w:p w14:paraId="0C0DFD74">
                  <w:pPr>
                    <w:adjustRightInd w:val="0"/>
                    <w:snapToGrid w:val="0"/>
                    <w:spacing w:line="360" w:lineRule="exact"/>
                    <w:ind w:firstLine="0" w:firstLineChars="0"/>
                    <w:jc w:val="center"/>
                    <w:rPr>
                      <w:rFonts w:hint="default" w:ascii="Times New Roman" w:hAnsi="Times New Roman"/>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1台</w:t>
                  </w:r>
                </w:p>
              </w:tc>
              <w:tc>
                <w:tcPr>
                  <w:tcW w:w="772" w:type="pct"/>
                  <w:noWrap/>
                  <w:vAlign w:val="center"/>
                </w:tcPr>
                <w:p w14:paraId="24083D4E">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凿岩</w:t>
                  </w:r>
                </w:p>
              </w:tc>
              <w:tc>
                <w:tcPr>
                  <w:tcW w:w="821" w:type="pct"/>
                  <w:noWrap/>
                  <w:vAlign w:val="center"/>
                </w:tcPr>
                <w:p w14:paraId="3F25A50E">
                  <w:pPr>
                    <w:adjustRightInd w:val="0"/>
                    <w:snapToGrid w:val="0"/>
                    <w:spacing w:line="360" w:lineRule="exact"/>
                    <w:ind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新建</w:t>
                  </w:r>
                </w:p>
              </w:tc>
            </w:tr>
            <w:tr w14:paraId="18A0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32" w:type="pct"/>
                  <w:vMerge w:val="continue"/>
                  <w:noWrap/>
                  <w:vAlign w:val="center"/>
                </w:tcPr>
                <w:p w14:paraId="3DA3586F">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p>
              </w:tc>
              <w:tc>
                <w:tcPr>
                  <w:tcW w:w="1192" w:type="pct"/>
                  <w:shd w:val="clear" w:color="auto" w:fill="auto"/>
                  <w:noWrap/>
                  <w:vAlign w:val="center"/>
                </w:tcPr>
                <w:p w14:paraId="5138E20D">
                  <w:pPr>
                    <w:adjustRightInd w:val="0"/>
                    <w:snapToGrid w:val="0"/>
                    <w:spacing w:line="360" w:lineRule="exact"/>
                    <w:ind w:firstLine="0" w:firstLineChars="0"/>
                    <w:jc w:val="center"/>
                    <w:rPr>
                      <w:rFonts w:hint="default" w:ascii="Times New Roman" w:hAnsi="Times New Roman"/>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洒水车</w:t>
                  </w:r>
                </w:p>
              </w:tc>
              <w:tc>
                <w:tcPr>
                  <w:tcW w:w="1160" w:type="pct"/>
                  <w:shd w:val="clear" w:color="auto" w:fill="auto"/>
                  <w:noWrap/>
                  <w:vAlign w:val="center"/>
                </w:tcPr>
                <w:p w14:paraId="10F48E5D">
                  <w:pPr>
                    <w:adjustRightInd w:val="0"/>
                    <w:snapToGrid w:val="0"/>
                    <w:spacing w:line="360" w:lineRule="exact"/>
                    <w:ind w:firstLine="0" w:firstLineChars="0"/>
                    <w:jc w:val="center"/>
                    <w:rPr>
                      <w:rFonts w:hint="default" w:ascii="Times New Roman" w:hAnsi="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12m</w:t>
                  </w:r>
                  <w:r>
                    <w:rPr>
                      <w:rFonts w:hint="eastAsia" w:ascii="Times New Roman" w:hAnsi="Times New Roman" w:cs="Times New Roman"/>
                      <w:caps w:val="0"/>
                      <w:smallCaps w:val="0"/>
                      <w:color w:val="auto"/>
                      <w:sz w:val="21"/>
                      <w:szCs w:val="21"/>
                      <w:highlight w:val="none"/>
                      <w:vertAlign w:val="superscript"/>
                      <w:lang w:val="en-US" w:eastAsia="zh-CN"/>
                    </w:rPr>
                    <w:t>3</w:t>
                  </w:r>
                </w:p>
              </w:tc>
              <w:tc>
                <w:tcPr>
                  <w:tcW w:w="520" w:type="pct"/>
                  <w:shd w:val="clear" w:color="auto" w:fill="auto"/>
                  <w:noWrap/>
                  <w:vAlign w:val="center"/>
                </w:tcPr>
                <w:p w14:paraId="51CA4590">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1辆</w:t>
                  </w:r>
                </w:p>
              </w:tc>
              <w:tc>
                <w:tcPr>
                  <w:tcW w:w="772" w:type="pct"/>
                  <w:shd w:val="clear" w:color="auto" w:fill="auto"/>
                  <w:noWrap/>
                  <w:vAlign w:val="center"/>
                </w:tcPr>
                <w:p w14:paraId="2DD751E2">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洒水降尘</w:t>
                  </w:r>
                </w:p>
              </w:tc>
              <w:tc>
                <w:tcPr>
                  <w:tcW w:w="821" w:type="pct"/>
                  <w:shd w:val="clear" w:color="auto" w:fill="auto"/>
                  <w:noWrap/>
                  <w:vAlign w:val="center"/>
                </w:tcPr>
                <w:p w14:paraId="0C2AD54B">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新建</w:t>
                  </w:r>
                </w:p>
              </w:tc>
            </w:tr>
            <w:tr w14:paraId="4884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2" w:type="pct"/>
                  <w:vMerge w:val="continue"/>
                  <w:noWrap/>
                  <w:vAlign w:val="center"/>
                </w:tcPr>
                <w:p w14:paraId="3660AF89">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val="en-US" w:eastAsia="zh-CN"/>
                    </w:rPr>
                  </w:pPr>
                </w:p>
              </w:tc>
              <w:tc>
                <w:tcPr>
                  <w:tcW w:w="1192" w:type="pct"/>
                  <w:shd w:val="clear" w:color="auto" w:fill="auto"/>
                  <w:noWrap/>
                  <w:vAlign w:val="center"/>
                </w:tcPr>
                <w:p w14:paraId="4A712B13">
                  <w:pPr>
                    <w:adjustRightInd w:val="0"/>
                    <w:snapToGrid w:val="0"/>
                    <w:spacing w:line="360" w:lineRule="exact"/>
                    <w:ind w:firstLine="0" w:firstLineChars="0"/>
                    <w:jc w:val="center"/>
                    <w:rPr>
                      <w:rFonts w:hint="eastAsia" w:ascii="Times New Roman" w:hAnsi="Times New Roman" w:cs="仿宋_GB2312"/>
                      <w:color w:val="auto"/>
                      <w:sz w:val="21"/>
                      <w:highlight w:val="none"/>
                    </w:rPr>
                  </w:pPr>
                  <w:r>
                    <w:rPr>
                      <w:rFonts w:hint="eastAsia" w:ascii="Times New Roman" w:hAnsi="Times New Roman"/>
                      <w:caps w:val="0"/>
                      <w:smallCaps w:val="0"/>
                      <w:color w:val="auto"/>
                      <w:sz w:val="21"/>
                      <w:szCs w:val="21"/>
                      <w:highlight w:val="none"/>
                      <w:lang w:val="en-US" w:eastAsia="zh-CN"/>
                    </w:rPr>
                    <w:t>变压器</w:t>
                  </w:r>
                </w:p>
              </w:tc>
              <w:tc>
                <w:tcPr>
                  <w:tcW w:w="1160" w:type="pct"/>
                  <w:shd w:val="clear" w:color="auto" w:fill="auto"/>
                  <w:noWrap/>
                  <w:vAlign w:val="center"/>
                </w:tcPr>
                <w:p w14:paraId="695E770E">
                  <w:pPr>
                    <w:adjustRightInd w:val="0"/>
                    <w:snapToGrid w:val="0"/>
                    <w:spacing w:line="36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800KVA</w:t>
                  </w:r>
                </w:p>
              </w:tc>
              <w:tc>
                <w:tcPr>
                  <w:tcW w:w="520" w:type="pct"/>
                  <w:shd w:val="clear" w:color="auto" w:fill="auto"/>
                  <w:noWrap/>
                  <w:vAlign w:val="center"/>
                </w:tcPr>
                <w:p w14:paraId="40C4BB1E">
                  <w:pPr>
                    <w:adjustRightInd w:val="0"/>
                    <w:snapToGrid w:val="0"/>
                    <w:spacing w:line="360" w:lineRule="exact"/>
                    <w:ind w:firstLine="0" w:firstLineChars="0"/>
                    <w:jc w:val="center"/>
                    <w:rPr>
                      <w:rFonts w:hint="eastAsia" w:ascii="Times New Roman" w:hAnsi="Times New Roman" w:cs="仿宋_GB2312"/>
                      <w:color w:val="auto"/>
                      <w:sz w:val="21"/>
                      <w:highlight w:val="none"/>
                      <w:lang w:val="en-US" w:eastAsia="zh-CN"/>
                    </w:rPr>
                  </w:pPr>
                  <w:r>
                    <w:rPr>
                      <w:rFonts w:hint="eastAsia" w:ascii="Times New Roman" w:hAnsi="Times New Roman"/>
                      <w:caps w:val="0"/>
                      <w:smallCaps w:val="0"/>
                      <w:color w:val="auto"/>
                      <w:sz w:val="21"/>
                      <w:szCs w:val="21"/>
                      <w:highlight w:val="none"/>
                      <w:lang w:val="en-US" w:eastAsia="zh-CN"/>
                    </w:rPr>
                    <w:t>1台</w:t>
                  </w:r>
                </w:p>
              </w:tc>
              <w:tc>
                <w:tcPr>
                  <w:tcW w:w="772" w:type="pct"/>
                  <w:shd w:val="clear" w:color="auto" w:fill="auto"/>
                  <w:noWrap/>
                  <w:vAlign w:val="center"/>
                </w:tcPr>
                <w:p w14:paraId="1F27AB91">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lang w:eastAsia="zh-CN"/>
                    </w:rPr>
                  </w:pPr>
                  <w:r>
                    <w:rPr>
                      <w:rFonts w:hint="eastAsia" w:ascii="Times New Roman" w:hAnsi="Times New Roman"/>
                      <w:caps w:val="0"/>
                      <w:smallCaps w:val="0"/>
                      <w:color w:val="auto"/>
                      <w:sz w:val="21"/>
                      <w:szCs w:val="21"/>
                      <w:highlight w:val="none"/>
                      <w:lang w:val="en-US" w:eastAsia="zh-CN"/>
                    </w:rPr>
                    <w:t>供电</w:t>
                  </w:r>
                </w:p>
              </w:tc>
              <w:tc>
                <w:tcPr>
                  <w:tcW w:w="821" w:type="pct"/>
                  <w:shd w:val="clear" w:color="auto" w:fill="auto"/>
                  <w:noWrap/>
                  <w:vAlign w:val="center"/>
                </w:tcPr>
                <w:p w14:paraId="141995F6">
                  <w:pPr>
                    <w:adjustRightInd w:val="0"/>
                    <w:snapToGrid w:val="0"/>
                    <w:spacing w:line="360" w:lineRule="exact"/>
                    <w:ind w:firstLine="0" w:firstLineChars="0"/>
                    <w:jc w:val="center"/>
                    <w:rPr>
                      <w:rFonts w:hint="eastAsia"/>
                      <w:color w:val="auto"/>
                      <w:sz w:val="21"/>
                      <w:szCs w:val="21"/>
                      <w:highlight w:val="none"/>
                      <w:lang w:val="en-US" w:eastAsia="zh-CN"/>
                    </w:rPr>
                  </w:pPr>
                  <w:r>
                    <w:rPr>
                      <w:rFonts w:hint="eastAsia"/>
                      <w:color w:val="auto"/>
                      <w:sz w:val="21"/>
                      <w:szCs w:val="21"/>
                      <w:highlight w:val="none"/>
                      <w:lang w:val="en-US" w:eastAsia="zh-CN"/>
                    </w:rPr>
                    <w:t>新建</w:t>
                  </w:r>
                </w:p>
              </w:tc>
            </w:tr>
            <w:tr w14:paraId="3E5C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2" w:type="pct"/>
                  <w:vMerge w:val="restart"/>
                  <w:noWrap/>
                  <w:vAlign w:val="center"/>
                </w:tcPr>
                <w:p w14:paraId="69780BF7">
                  <w:pPr>
                    <w:adjustRightInd w:val="0"/>
                    <w:snapToGrid w:val="0"/>
                    <w:spacing w:line="360" w:lineRule="exact"/>
                    <w:ind w:firstLine="0" w:firstLineChars="0"/>
                    <w:jc w:val="center"/>
                    <w:rPr>
                      <w:rFonts w:hint="eastAsia" w:ascii="Times New Roman" w:hAnsi="Times New Roman" w:eastAsia="宋体"/>
                      <w:caps w:val="0"/>
                      <w:smallCaps w:val="0"/>
                      <w:color w:val="auto"/>
                      <w:sz w:val="21"/>
                      <w:szCs w:val="21"/>
                      <w:highlight w:val="none"/>
                      <w:lang w:val="en-US" w:eastAsia="zh-CN"/>
                    </w:rPr>
                  </w:pPr>
                  <w:r>
                    <w:rPr>
                      <w:rFonts w:hint="eastAsia" w:ascii="Times New Roman" w:hAnsi="Times New Roman"/>
                      <w:caps w:val="0"/>
                      <w:smallCaps w:val="0"/>
                      <w:color w:val="auto"/>
                      <w:sz w:val="21"/>
                      <w:szCs w:val="21"/>
                      <w:highlight w:val="none"/>
                      <w:lang w:val="en-US" w:eastAsia="zh-CN"/>
                    </w:rPr>
                    <w:t>加工区</w:t>
                  </w:r>
                </w:p>
              </w:tc>
              <w:tc>
                <w:tcPr>
                  <w:tcW w:w="1192" w:type="pct"/>
                  <w:shd w:val="clear" w:color="auto" w:fill="auto"/>
                  <w:noWrap/>
                  <w:vAlign w:val="center"/>
                </w:tcPr>
                <w:p w14:paraId="4DE47F60">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zh-CN" w:eastAsia="zh-CN" w:bidi="ar-SA"/>
                    </w:rPr>
                  </w:pPr>
                  <w:r>
                    <w:rPr>
                      <w:rFonts w:hint="eastAsia" w:ascii="Times New Roman" w:hAnsi="Times New Roman"/>
                      <w:caps w:val="0"/>
                      <w:smallCaps w:val="0"/>
                      <w:color w:val="auto"/>
                      <w:sz w:val="21"/>
                      <w:szCs w:val="21"/>
                      <w:highlight w:val="none"/>
                    </w:rPr>
                    <w:t>颚式破碎机</w:t>
                  </w:r>
                </w:p>
              </w:tc>
              <w:tc>
                <w:tcPr>
                  <w:tcW w:w="1160" w:type="pct"/>
                  <w:shd w:val="clear" w:color="auto" w:fill="auto"/>
                  <w:noWrap/>
                  <w:vAlign w:val="center"/>
                </w:tcPr>
                <w:p w14:paraId="00876BB8">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eastAsia" w:ascii="Times New Roman" w:hAnsi="Times New Roman"/>
                      <w:caps w:val="0"/>
                      <w:smallCaps w:val="0"/>
                      <w:color w:val="auto"/>
                      <w:sz w:val="21"/>
                      <w:szCs w:val="21"/>
                      <w:highlight w:val="none"/>
                    </w:rPr>
                    <w:t>PE900</w:t>
                  </w:r>
                  <w:r>
                    <w:rPr>
                      <w:rFonts w:ascii="Times New Roman" w:hAnsi="Times New Roman" w:cs="Arial"/>
                      <w:caps w:val="0"/>
                      <w:smallCaps w:val="0"/>
                      <w:color w:val="auto"/>
                      <w:sz w:val="21"/>
                      <w:szCs w:val="21"/>
                      <w:highlight w:val="none"/>
                    </w:rPr>
                    <w:t>×</w:t>
                  </w:r>
                  <w:r>
                    <w:rPr>
                      <w:rFonts w:hint="eastAsia" w:ascii="Times New Roman" w:hAnsi="Times New Roman"/>
                      <w:caps w:val="0"/>
                      <w:smallCaps w:val="0"/>
                      <w:color w:val="auto"/>
                      <w:sz w:val="21"/>
                      <w:szCs w:val="21"/>
                      <w:highlight w:val="none"/>
                    </w:rPr>
                    <w:t>1200</w:t>
                  </w:r>
                </w:p>
              </w:tc>
              <w:tc>
                <w:tcPr>
                  <w:tcW w:w="520" w:type="pct"/>
                  <w:shd w:val="clear" w:color="auto" w:fill="auto"/>
                  <w:noWrap/>
                  <w:vAlign w:val="center"/>
                </w:tcPr>
                <w:p w14:paraId="108D3D7C">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zh-CN" w:eastAsia="zh-CN" w:bidi="ar-SA"/>
                    </w:rPr>
                  </w:pPr>
                  <w:r>
                    <w:rPr>
                      <w:rFonts w:hint="eastAsia" w:ascii="Times New Roman" w:hAnsi="Times New Roman"/>
                      <w:caps w:val="0"/>
                      <w:smallCaps w:val="0"/>
                      <w:color w:val="auto"/>
                      <w:sz w:val="21"/>
                      <w:szCs w:val="21"/>
                      <w:highlight w:val="none"/>
                      <w:lang w:val="en-US" w:eastAsia="zh-CN"/>
                    </w:rPr>
                    <w:t>1</w:t>
                  </w:r>
                  <w:r>
                    <w:rPr>
                      <w:rFonts w:hint="eastAsia" w:ascii="Times New Roman" w:hAnsi="Times New Roman"/>
                      <w:caps w:val="0"/>
                      <w:smallCaps w:val="0"/>
                      <w:color w:val="auto"/>
                      <w:sz w:val="21"/>
                      <w:szCs w:val="21"/>
                      <w:highlight w:val="none"/>
                    </w:rPr>
                    <w:t>台</w:t>
                  </w:r>
                </w:p>
              </w:tc>
              <w:tc>
                <w:tcPr>
                  <w:tcW w:w="772" w:type="pct"/>
                  <w:shd w:val="clear" w:color="auto" w:fill="auto"/>
                  <w:noWrap/>
                  <w:vAlign w:val="center"/>
                </w:tcPr>
                <w:p w14:paraId="319BE3AE">
                  <w:pPr>
                    <w:adjustRightInd w:val="0"/>
                    <w:snapToGrid w:val="0"/>
                    <w:spacing w:line="360" w:lineRule="exact"/>
                    <w:ind w:firstLine="0" w:firstLineChars="0"/>
                    <w:jc w:val="center"/>
                    <w:rPr>
                      <w:rFonts w:hint="eastAsia" w:ascii="Times New Roman" w:hAnsi="Times New Roman" w:eastAsia="宋体" w:cs="Times New Roman"/>
                      <w:caps w:val="0"/>
                      <w:smallCaps w:val="0"/>
                      <w:color w:val="auto"/>
                      <w:kern w:val="2"/>
                      <w:sz w:val="21"/>
                      <w:szCs w:val="21"/>
                      <w:highlight w:val="none"/>
                      <w:lang w:val="en-US" w:eastAsia="zh-CN" w:bidi="ar-SA"/>
                    </w:rPr>
                  </w:pPr>
                  <w:r>
                    <w:rPr>
                      <w:rFonts w:hint="default" w:ascii="Times New Roman" w:hAnsi="Times New Roman"/>
                      <w:caps w:val="0"/>
                      <w:smallCaps w:val="0"/>
                      <w:color w:val="auto"/>
                      <w:sz w:val="21"/>
                      <w:szCs w:val="21"/>
                      <w:highlight w:val="none"/>
                    </w:rPr>
                    <w:t>破碎</w:t>
                  </w:r>
                </w:p>
              </w:tc>
              <w:tc>
                <w:tcPr>
                  <w:tcW w:w="821" w:type="pct"/>
                  <w:shd w:val="clear" w:color="auto" w:fill="auto"/>
                  <w:noWrap/>
                  <w:vAlign w:val="center"/>
                </w:tcPr>
                <w:p w14:paraId="028F5D3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新建</w:t>
                  </w:r>
                </w:p>
              </w:tc>
            </w:tr>
            <w:tr w14:paraId="35C79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32" w:type="pct"/>
                  <w:vMerge w:val="continue"/>
                  <w:noWrap/>
                  <w:vAlign w:val="center"/>
                </w:tcPr>
                <w:p w14:paraId="2DCD9B2D">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rPr>
                  </w:pPr>
                </w:p>
              </w:tc>
              <w:tc>
                <w:tcPr>
                  <w:tcW w:w="1192" w:type="pct"/>
                  <w:shd w:val="clear" w:color="auto" w:fill="auto"/>
                  <w:noWrap/>
                  <w:vAlign w:val="center"/>
                </w:tcPr>
                <w:p w14:paraId="4C4C15DB">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eastAsia"/>
                      <w:caps w:val="0"/>
                      <w:smallCaps w:val="0"/>
                      <w:color w:val="auto"/>
                      <w:sz w:val="21"/>
                      <w:szCs w:val="21"/>
                      <w:highlight w:val="none"/>
                      <w:lang w:val="en-US" w:eastAsia="zh-CN"/>
                    </w:rPr>
                    <w:t>反击</w:t>
                  </w:r>
                  <w:r>
                    <w:rPr>
                      <w:rFonts w:hint="eastAsia" w:ascii="Times New Roman" w:hAnsi="Times New Roman"/>
                      <w:caps w:val="0"/>
                      <w:smallCaps w:val="0"/>
                      <w:color w:val="auto"/>
                      <w:sz w:val="21"/>
                      <w:szCs w:val="21"/>
                      <w:highlight w:val="none"/>
                    </w:rPr>
                    <w:t>式破碎机</w:t>
                  </w:r>
                </w:p>
              </w:tc>
              <w:tc>
                <w:tcPr>
                  <w:tcW w:w="1160" w:type="pct"/>
                  <w:shd w:val="clear" w:color="auto" w:fill="auto"/>
                  <w:noWrap/>
                  <w:vAlign w:val="center"/>
                </w:tcPr>
                <w:p w14:paraId="24F340CC">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eastAsia" w:ascii="Times New Roman" w:hAnsi="Times New Roman"/>
                      <w:caps w:val="0"/>
                      <w:smallCaps w:val="0"/>
                      <w:color w:val="auto"/>
                      <w:sz w:val="21"/>
                      <w:szCs w:val="21"/>
                      <w:highlight w:val="none"/>
                    </w:rPr>
                    <w:t>HY1200</w:t>
                  </w:r>
                  <w:r>
                    <w:rPr>
                      <w:rFonts w:ascii="Times New Roman" w:hAnsi="Times New Roman" w:cs="Arial"/>
                      <w:caps w:val="0"/>
                      <w:smallCaps w:val="0"/>
                      <w:color w:val="auto"/>
                      <w:sz w:val="21"/>
                      <w:szCs w:val="21"/>
                      <w:highlight w:val="none"/>
                    </w:rPr>
                    <w:t>×</w:t>
                  </w:r>
                  <w:r>
                    <w:rPr>
                      <w:rFonts w:hint="eastAsia" w:ascii="Times New Roman" w:hAnsi="Times New Roman"/>
                      <w:caps w:val="0"/>
                      <w:smallCaps w:val="0"/>
                      <w:color w:val="auto"/>
                      <w:sz w:val="21"/>
                      <w:szCs w:val="21"/>
                      <w:highlight w:val="none"/>
                    </w:rPr>
                    <w:t>2000</w:t>
                  </w:r>
                </w:p>
              </w:tc>
              <w:tc>
                <w:tcPr>
                  <w:tcW w:w="520" w:type="pct"/>
                  <w:shd w:val="clear" w:color="auto" w:fill="auto"/>
                  <w:noWrap/>
                  <w:vAlign w:val="center"/>
                </w:tcPr>
                <w:p w14:paraId="10B1FABA">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eastAsia"/>
                      <w:caps w:val="0"/>
                      <w:smallCaps w:val="0"/>
                      <w:color w:val="auto"/>
                      <w:sz w:val="21"/>
                      <w:szCs w:val="21"/>
                      <w:highlight w:val="none"/>
                      <w:lang w:val="en-US" w:eastAsia="zh-CN"/>
                    </w:rPr>
                    <w:t>1</w:t>
                  </w:r>
                  <w:r>
                    <w:rPr>
                      <w:rFonts w:hint="eastAsia" w:ascii="Times New Roman" w:hAnsi="Times New Roman"/>
                      <w:caps w:val="0"/>
                      <w:smallCaps w:val="0"/>
                      <w:color w:val="auto"/>
                      <w:sz w:val="21"/>
                      <w:szCs w:val="21"/>
                      <w:highlight w:val="none"/>
                    </w:rPr>
                    <w:t>台</w:t>
                  </w:r>
                </w:p>
              </w:tc>
              <w:tc>
                <w:tcPr>
                  <w:tcW w:w="772" w:type="pct"/>
                  <w:shd w:val="clear" w:color="auto" w:fill="auto"/>
                  <w:noWrap/>
                  <w:vAlign w:val="center"/>
                </w:tcPr>
                <w:p w14:paraId="5888B0FC">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default" w:ascii="Times New Roman" w:hAnsi="Times New Roman"/>
                      <w:caps w:val="0"/>
                      <w:smallCaps w:val="0"/>
                      <w:color w:val="auto"/>
                      <w:sz w:val="21"/>
                      <w:szCs w:val="21"/>
                      <w:highlight w:val="none"/>
                    </w:rPr>
                    <w:t>破碎</w:t>
                  </w:r>
                </w:p>
              </w:tc>
              <w:tc>
                <w:tcPr>
                  <w:tcW w:w="821" w:type="pct"/>
                  <w:shd w:val="clear" w:color="auto" w:fill="auto"/>
                  <w:noWrap/>
                  <w:vAlign w:val="center"/>
                </w:tcPr>
                <w:p w14:paraId="09E5478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新建</w:t>
                  </w:r>
                </w:p>
              </w:tc>
            </w:tr>
            <w:tr w14:paraId="1407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532" w:type="pct"/>
                  <w:vMerge w:val="continue"/>
                  <w:noWrap/>
                  <w:vAlign w:val="center"/>
                </w:tcPr>
                <w:p w14:paraId="07FBFF70">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rPr>
                  </w:pPr>
                </w:p>
              </w:tc>
              <w:tc>
                <w:tcPr>
                  <w:tcW w:w="1192" w:type="pct"/>
                  <w:shd w:val="clear" w:color="auto" w:fill="auto"/>
                  <w:noWrap/>
                  <w:vAlign w:val="center"/>
                </w:tcPr>
                <w:p w14:paraId="5B83F421">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eastAsia" w:ascii="Times New Roman" w:hAnsi="Times New Roman"/>
                      <w:caps w:val="0"/>
                      <w:smallCaps w:val="0"/>
                      <w:color w:val="auto"/>
                      <w:sz w:val="21"/>
                      <w:szCs w:val="21"/>
                      <w:highlight w:val="none"/>
                    </w:rPr>
                    <w:t>振动筛</w:t>
                  </w:r>
                </w:p>
              </w:tc>
              <w:tc>
                <w:tcPr>
                  <w:tcW w:w="1160" w:type="pct"/>
                  <w:shd w:val="clear" w:color="auto" w:fill="auto"/>
                  <w:noWrap/>
                  <w:vAlign w:val="center"/>
                </w:tcPr>
                <w:p w14:paraId="3F60A048">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eastAsia" w:ascii="Times New Roman" w:hAnsi="Times New Roman"/>
                      <w:caps w:val="0"/>
                      <w:smallCaps w:val="0"/>
                      <w:color w:val="auto"/>
                      <w:sz w:val="21"/>
                      <w:szCs w:val="21"/>
                      <w:highlight w:val="none"/>
                    </w:rPr>
                    <w:t>HY2KY3072</w:t>
                  </w:r>
                </w:p>
              </w:tc>
              <w:tc>
                <w:tcPr>
                  <w:tcW w:w="520" w:type="pct"/>
                  <w:shd w:val="clear" w:color="auto" w:fill="auto"/>
                  <w:noWrap/>
                  <w:vAlign w:val="center"/>
                </w:tcPr>
                <w:p w14:paraId="1F34E4BB">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eastAsia"/>
                      <w:caps w:val="0"/>
                      <w:smallCaps w:val="0"/>
                      <w:color w:val="auto"/>
                      <w:sz w:val="21"/>
                      <w:szCs w:val="21"/>
                      <w:highlight w:val="none"/>
                      <w:lang w:val="en-US" w:eastAsia="zh-CN"/>
                    </w:rPr>
                    <w:t>2</w:t>
                  </w:r>
                  <w:r>
                    <w:rPr>
                      <w:rFonts w:hint="eastAsia" w:ascii="Times New Roman" w:hAnsi="Times New Roman"/>
                      <w:caps w:val="0"/>
                      <w:smallCaps w:val="0"/>
                      <w:color w:val="auto"/>
                      <w:sz w:val="21"/>
                      <w:szCs w:val="21"/>
                      <w:highlight w:val="none"/>
                    </w:rPr>
                    <w:t>台</w:t>
                  </w:r>
                </w:p>
              </w:tc>
              <w:tc>
                <w:tcPr>
                  <w:tcW w:w="772" w:type="pct"/>
                  <w:shd w:val="clear" w:color="auto" w:fill="auto"/>
                  <w:noWrap/>
                  <w:vAlign w:val="center"/>
                </w:tcPr>
                <w:p w14:paraId="05BF1EB7">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default" w:ascii="Times New Roman" w:hAnsi="Times New Roman"/>
                      <w:caps w:val="0"/>
                      <w:smallCaps w:val="0"/>
                      <w:color w:val="auto"/>
                      <w:sz w:val="21"/>
                      <w:szCs w:val="21"/>
                      <w:highlight w:val="none"/>
                    </w:rPr>
                    <w:t>筛分</w:t>
                  </w:r>
                </w:p>
              </w:tc>
              <w:tc>
                <w:tcPr>
                  <w:tcW w:w="821" w:type="pct"/>
                  <w:shd w:val="clear" w:color="auto" w:fill="auto"/>
                  <w:noWrap/>
                  <w:vAlign w:val="center"/>
                </w:tcPr>
                <w:p w14:paraId="75E7D17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新建</w:t>
                  </w:r>
                </w:p>
              </w:tc>
            </w:tr>
            <w:tr w14:paraId="000C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2" w:type="pct"/>
                  <w:vMerge w:val="continue"/>
                  <w:noWrap/>
                  <w:vAlign w:val="center"/>
                </w:tcPr>
                <w:p w14:paraId="11D45F40">
                  <w:pPr>
                    <w:adjustRightInd w:val="0"/>
                    <w:snapToGrid w:val="0"/>
                    <w:spacing w:line="360" w:lineRule="exact"/>
                    <w:ind w:firstLine="0" w:firstLineChars="0"/>
                    <w:jc w:val="center"/>
                    <w:rPr>
                      <w:rFonts w:hint="eastAsia" w:ascii="Times New Roman" w:hAnsi="Times New Roman"/>
                      <w:caps w:val="0"/>
                      <w:smallCaps w:val="0"/>
                      <w:color w:val="auto"/>
                      <w:sz w:val="21"/>
                      <w:szCs w:val="21"/>
                      <w:highlight w:val="none"/>
                    </w:rPr>
                  </w:pPr>
                </w:p>
              </w:tc>
              <w:tc>
                <w:tcPr>
                  <w:tcW w:w="1192" w:type="pct"/>
                  <w:shd w:val="clear" w:color="auto" w:fill="auto"/>
                  <w:noWrap/>
                  <w:vAlign w:val="center"/>
                </w:tcPr>
                <w:p w14:paraId="58A10B2F">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eastAsia" w:ascii="Times New Roman" w:hAnsi="Times New Roman"/>
                      <w:caps w:val="0"/>
                      <w:smallCaps w:val="0"/>
                      <w:color w:val="auto"/>
                      <w:sz w:val="21"/>
                      <w:szCs w:val="21"/>
                      <w:highlight w:val="none"/>
                    </w:rPr>
                    <w:t>制砂机</w:t>
                  </w:r>
                </w:p>
              </w:tc>
              <w:tc>
                <w:tcPr>
                  <w:tcW w:w="1160" w:type="pct"/>
                  <w:shd w:val="clear" w:color="auto" w:fill="auto"/>
                  <w:noWrap/>
                  <w:vAlign w:val="center"/>
                </w:tcPr>
                <w:p w14:paraId="7FCEE77E">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eastAsia" w:ascii="Times New Roman" w:hAnsi="Times New Roman"/>
                      <w:caps w:val="0"/>
                      <w:smallCaps w:val="0"/>
                      <w:color w:val="auto"/>
                      <w:sz w:val="21"/>
                      <w:szCs w:val="21"/>
                      <w:highlight w:val="none"/>
                    </w:rPr>
                    <w:t>PXJ800×400</w:t>
                  </w:r>
                </w:p>
              </w:tc>
              <w:tc>
                <w:tcPr>
                  <w:tcW w:w="520" w:type="pct"/>
                  <w:shd w:val="clear" w:color="auto" w:fill="auto"/>
                  <w:noWrap/>
                  <w:vAlign w:val="center"/>
                </w:tcPr>
                <w:p w14:paraId="4D3F002D">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eastAsia"/>
                      <w:caps w:val="0"/>
                      <w:smallCaps w:val="0"/>
                      <w:color w:val="auto"/>
                      <w:sz w:val="21"/>
                      <w:szCs w:val="21"/>
                      <w:highlight w:val="none"/>
                      <w:lang w:val="en-US" w:eastAsia="zh-CN"/>
                    </w:rPr>
                    <w:t>1</w:t>
                  </w:r>
                  <w:r>
                    <w:rPr>
                      <w:rFonts w:hint="eastAsia" w:ascii="Times New Roman" w:hAnsi="Times New Roman"/>
                      <w:caps w:val="0"/>
                      <w:smallCaps w:val="0"/>
                      <w:color w:val="auto"/>
                      <w:sz w:val="21"/>
                      <w:szCs w:val="21"/>
                      <w:highlight w:val="none"/>
                    </w:rPr>
                    <w:t>台</w:t>
                  </w:r>
                </w:p>
              </w:tc>
              <w:tc>
                <w:tcPr>
                  <w:tcW w:w="772" w:type="pct"/>
                  <w:shd w:val="clear" w:color="auto" w:fill="auto"/>
                  <w:noWrap/>
                  <w:vAlign w:val="center"/>
                </w:tcPr>
                <w:p w14:paraId="4D5AAB78">
                  <w:pPr>
                    <w:adjustRightInd w:val="0"/>
                    <w:snapToGrid w:val="0"/>
                    <w:spacing w:line="360" w:lineRule="exact"/>
                    <w:ind w:firstLine="0" w:firstLineChars="0"/>
                    <w:jc w:val="center"/>
                    <w:rPr>
                      <w:rFonts w:ascii="Times New Roman" w:hAnsi="Times New Roman" w:eastAsia="宋体" w:cs="Times New Roman"/>
                      <w:caps w:val="0"/>
                      <w:smallCaps w:val="0"/>
                      <w:color w:val="auto"/>
                      <w:kern w:val="2"/>
                      <w:sz w:val="21"/>
                      <w:szCs w:val="21"/>
                      <w:highlight w:val="none"/>
                      <w:lang w:val="en-US" w:eastAsia="zh-CN" w:bidi="ar-SA"/>
                    </w:rPr>
                  </w:pPr>
                  <w:r>
                    <w:rPr>
                      <w:rFonts w:hint="default" w:ascii="Times New Roman" w:hAnsi="Times New Roman"/>
                      <w:caps w:val="0"/>
                      <w:smallCaps w:val="0"/>
                      <w:color w:val="auto"/>
                      <w:sz w:val="21"/>
                      <w:szCs w:val="21"/>
                      <w:highlight w:val="none"/>
                    </w:rPr>
                    <w:t>制砂</w:t>
                  </w:r>
                </w:p>
              </w:tc>
              <w:tc>
                <w:tcPr>
                  <w:tcW w:w="821" w:type="pct"/>
                  <w:shd w:val="clear" w:color="auto" w:fill="auto"/>
                  <w:noWrap/>
                  <w:vAlign w:val="center"/>
                </w:tcPr>
                <w:p w14:paraId="17B9222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新建</w:t>
                  </w:r>
                </w:p>
              </w:tc>
            </w:tr>
          </w:tbl>
          <w:p w14:paraId="78379745">
            <w:pPr>
              <w:numPr>
                <w:ilvl w:val="0"/>
                <w:numId w:val="0"/>
              </w:numPr>
              <w:spacing w:before="156" w:beforeLines="50"/>
              <w:ind w:firstLine="482" w:firstLineChars="200"/>
              <w:rPr>
                <w:rFonts w:hint="eastAsia"/>
                <w:b/>
                <w:bCs/>
                <w:color w:val="auto"/>
                <w:highlight w:val="none"/>
                <w:lang w:val="en-US" w:eastAsia="zh-CN"/>
              </w:rPr>
            </w:pPr>
            <w:r>
              <w:rPr>
                <w:rFonts w:hint="eastAsia" w:ascii="Times New Roman" w:hAnsi="Times New Roman" w:eastAsia="宋体" w:cs="Times New Roman"/>
                <w:b/>
                <w:bCs/>
                <w:color w:val="auto"/>
                <w:kern w:val="2"/>
                <w:sz w:val="24"/>
                <w:szCs w:val="22"/>
                <w:lang w:val="en-US" w:eastAsia="zh-CN" w:bidi="ar-SA"/>
              </w:rPr>
              <w:t>14、</w:t>
            </w:r>
            <w:r>
              <w:rPr>
                <w:rFonts w:hint="eastAsia"/>
                <w:b/>
                <w:bCs/>
                <w:color w:val="auto"/>
                <w:highlight w:val="none"/>
                <w:lang w:val="en-US" w:eastAsia="zh-CN"/>
              </w:rPr>
              <w:t>开拓运输方案</w:t>
            </w:r>
          </w:p>
          <w:p w14:paraId="2D8831BB">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本矿区矿石量优，夹石少，为了矿石的综合利用，保证采场矿石质量。根据矿山地形条件，该矿山为山坡地形，矿山属经济的山坡露天开</w:t>
            </w:r>
            <w:r>
              <w:rPr>
                <w:rFonts w:hint="eastAsia" w:cs="Times New Roman"/>
                <w:color w:val="auto"/>
                <w:lang w:val="en-US" w:eastAsia="zh-CN"/>
              </w:rPr>
              <w:t>采</w:t>
            </w:r>
            <w:r>
              <w:rPr>
                <w:rFonts w:hint="default" w:ascii="Times New Roman" w:hAnsi="Times New Roman" w:eastAsia="宋体" w:cs="Times New Roman"/>
                <w:color w:val="auto"/>
                <w:lang w:val="en-US" w:eastAsia="zh-CN"/>
              </w:rPr>
              <w:t>类型，依据矿区地质地形条件、周边设备设施，</w:t>
            </w:r>
            <w:r>
              <w:rPr>
                <w:rFonts w:hint="eastAsia" w:ascii="Times New Roman" w:hAnsi="Times New Roman" w:eastAsia="宋体" w:cs="Times New Roman"/>
                <w:color w:val="auto"/>
                <w:lang w:val="en-US" w:eastAsia="zh-CN"/>
              </w:rPr>
              <w:t>本项目</w:t>
            </w:r>
            <w:r>
              <w:rPr>
                <w:rFonts w:hint="default" w:ascii="Times New Roman" w:hAnsi="Times New Roman" w:eastAsia="宋体" w:cs="Times New Roman"/>
                <w:color w:val="auto"/>
                <w:lang w:val="en-US" w:eastAsia="zh-CN"/>
              </w:rPr>
              <w:t>选择公路开拓汽车运输，矿山工艺流程为：采矿工作面挖掘机铲装—矿用自卸汽车运输。</w:t>
            </w:r>
          </w:p>
          <w:p w14:paraId="513FB132">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本项目</w:t>
            </w:r>
            <w:r>
              <w:rPr>
                <w:rFonts w:hint="default" w:ascii="Times New Roman" w:hAnsi="Times New Roman" w:eastAsia="宋体" w:cs="Times New Roman"/>
                <w:color w:val="auto"/>
                <w:lang w:val="en-US" w:eastAsia="zh-CN"/>
              </w:rPr>
              <w:t>采用固定式开拓路线，矿山运矿公路主要由两部分运输道路组成，场外运输道路：主要是从西北面已有道路至拟建破碎站区域道路，该道路为泥结碎石路面，单车道，道路最大纵坡2.40%，平均纵坡1.33%，对矿权西北面已有道路进行加宽、修整即可利用。</w:t>
            </w:r>
          </w:p>
          <w:p w14:paraId="3E27512F">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场内运输道路：</w:t>
            </w:r>
            <w:r>
              <w:rPr>
                <w:rFonts w:hint="eastAsia" w:ascii="Times New Roman" w:hAnsi="Times New Roman" w:eastAsia="宋体" w:cs="Times New Roman"/>
                <w:color w:val="auto"/>
                <w:lang w:val="en-US" w:eastAsia="zh-CN"/>
              </w:rPr>
              <w:t>本项目</w:t>
            </w:r>
            <w:r>
              <w:rPr>
                <w:rFonts w:hint="default" w:ascii="Times New Roman" w:hAnsi="Times New Roman" w:eastAsia="宋体" w:cs="Times New Roman"/>
                <w:color w:val="auto"/>
                <w:lang w:val="en-US" w:eastAsia="zh-CN"/>
              </w:rPr>
              <w:t>场内运输道路布置从矿权西北面2200m标高开始修建场内台阶运输便道，根据对矿区生产台阶布置规划，随着采掘作业台阶的下降，运输道路开段沟逐步下降，所以运输道路的布置将随着采掘作业的进行而提前进行准备；随着矿山生产作业的进行，逐步新建完成2200m-2192m、2192m-2184m、2184m-2176m、2176m-2168m、2168m-2160m台阶运输便道，主要供给挖掘设备、运输车辆、人员上下通道，该台阶运输便道最大纵坡8.49％，平均纵坡控制在8.0％左右。</w:t>
            </w:r>
          </w:p>
          <w:p w14:paraId="3731470B">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cs="Times New Roman"/>
                <w:b/>
                <w:bCs/>
                <w:color w:val="auto"/>
                <w:highlight w:val="none"/>
                <w:lang w:val="en-US" w:eastAsia="zh-CN"/>
              </w:rPr>
            </w:pPr>
            <w:r>
              <w:rPr>
                <w:rFonts w:hint="default" w:ascii="Times New Roman" w:hAnsi="Times New Roman" w:eastAsia="宋体" w:cs="Times New Roman"/>
                <w:color w:val="auto"/>
                <w:lang w:val="en-US" w:eastAsia="zh-CN"/>
              </w:rPr>
              <w:t>外运公路：矿区位于寻甸县城260°方向，直线距离47.2km。位于昆明至轿子雪山旅游专线65km处南东侧，旅游专线公路为柏油路面。矿区与省道S101（轿子雪山旅游专线）有简易公路相连，公路里程约2km，交通方便。</w:t>
            </w:r>
          </w:p>
          <w:p w14:paraId="7C4B669A">
            <w:pPr>
              <w:keepNext w:val="0"/>
              <w:keepLines w:val="0"/>
              <w:pageBreakBefore w:val="0"/>
              <w:widowControl w:val="0"/>
              <w:kinsoku/>
              <w:wordWrap/>
              <w:overflowPunct/>
              <w:topLinePunct w:val="0"/>
              <w:autoSpaceDE/>
              <w:autoSpaceDN/>
              <w:bidi w:val="0"/>
              <w:adjustRightInd/>
              <w:snapToGrid/>
              <w:ind w:firstLine="482"/>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15、采矿进度计划</w:t>
            </w:r>
          </w:p>
          <w:p w14:paraId="6A9B8454">
            <w:pPr>
              <w:keepNext w:val="0"/>
              <w:keepLines w:val="0"/>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设计矿山采出矿石量为195.64 万t，按照矿山现有设备及技术能力，矿山第一年能够达产，以此制定出矿进度计划，台阶矿量汇总表为表2-12，采、剥进度计划表为表2-13。</w:t>
            </w:r>
          </w:p>
          <w:p w14:paraId="6D14F863">
            <w:pPr>
              <w:tabs>
                <w:tab w:val="left" w:pos="0"/>
              </w:tabs>
              <w:spacing w:line="240" w:lineRule="auto"/>
              <w:ind w:firstLine="0" w:firstLineChars="0"/>
              <w:jc w:val="center"/>
              <w:rPr>
                <w:rFonts w:hint="default" w:ascii="Times New Roman" w:hAnsi="Times New Roman" w:cs="Times New Roman"/>
                <w:b/>
                <w:bCs/>
                <w:color w:val="auto"/>
                <w:sz w:val="24"/>
                <w:szCs w:val="24"/>
              </w:rPr>
            </w:pPr>
            <w:r>
              <w:rPr>
                <w:rFonts w:hint="default" w:ascii="Times New Roman" w:hAnsi="Times New Roman" w:eastAsia="宋体" w:cs="Times New Roman"/>
                <w:b/>
                <w:color w:val="auto"/>
                <w:sz w:val="21"/>
                <w:szCs w:val="21"/>
                <w:highlight w:val="none"/>
              </w:rPr>
              <w:t>表</w:t>
            </w:r>
            <w:r>
              <w:rPr>
                <w:rFonts w:hint="default" w:ascii="Times New Roman" w:hAnsi="Times New Roman" w:eastAsia="宋体" w:cs="Times New Roman"/>
                <w:b/>
                <w:color w:val="auto"/>
                <w:sz w:val="21"/>
                <w:szCs w:val="21"/>
                <w:highlight w:val="none"/>
                <w:lang w:val="en-US" w:eastAsia="zh-CN"/>
              </w:rPr>
              <w:t>2-12 设计</w:t>
            </w:r>
            <w:r>
              <w:rPr>
                <w:rFonts w:hint="default" w:ascii="Times New Roman" w:hAnsi="Times New Roman" w:eastAsia="宋体" w:cs="Times New Roman"/>
                <w:b/>
                <w:color w:val="auto"/>
                <w:sz w:val="21"/>
                <w:szCs w:val="21"/>
                <w:highlight w:val="none"/>
              </w:rPr>
              <w:t>台阶</w:t>
            </w:r>
            <w:r>
              <w:rPr>
                <w:rFonts w:hint="default" w:ascii="Times New Roman" w:hAnsi="Times New Roman" w:eastAsia="宋体" w:cs="Times New Roman"/>
                <w:b/>
                <w:color w:val="auto"/>
                <w:sz w:val="21"/>
                <w:szCs w:val="21"/>
                <w:highlight w:val="none"/>
                <w:lang w:val="en-US" w:eastAsia="zh-CN"/>
              </w:rPr>
              <w:t>采出</w:t>
            </w:r>
            <w:r>
              <w:rPr>
                <w:rFonts w:hint="default" w:ascii="Times New Roman" w:hAnsi="Times New Roman" w:eastAsia="宋体" w:cs="Times New Roman"/>
                <w:b/>
                <w:color w:val="auto"/>
                <w:sz w:val="21"/>
                <w:szCs w:val="21"/>
                <w:highlight w:val="none"/>
              </w:rPr>
              <w:t>矿量汇总表</w:t>
            </w:r>
          </w:p>
          <w:tbl>
            <w:tblPr>
              <w:tblStyle w:val="31"/>
              <w:tblW w:w="7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1615"/>
              <w:gridCol w:w="1869"/>
              <w:gridCol w:w="1650"/>
              <w:gridCol w:w="1286"/>
            </w:tblGrid>
            <w:tr w14:paraId="6308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498" w:type="dxa"/>
                  <w:noWrap w:val="0"/>
                  <w:vAlign w:val="center"/>
                </w:tcPr>
                <w:p w14:paraId="6D22CCC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台阶（m）</w:t>
                  </w:r>
                </w:p>
              </w:tc>
              <w:tc>
                <w:tcPr>
                  <w:tcW w:w="1615" w:type="dxa"/>
                  <w:noWrap w:val="0"/>
                  <w:vAlign w:val="center"/>
                </w:tcPr>
                <w:p w14:paraId="7B3F346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设计台阶采出矿量（万t）</w:t>
                  </w:r>
                </w:p>
              </w:tc>
              <w:tc>
                <w:tcPr>
                  <w:tcW w:w="1869" w:type="dxa"/>
                  <w:noWrap w:val="0"/>
                  <w:vAlign w:val="center"/>
                </w:tcPr>
                <w:p w14:paraId="72F9D2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设计台阶采出矿量（万m</w:t>
                  </w:r>
                  <w:r>
                    <w:rPr>
                      <w:rFonts w:hint="default" w:ascii="Times New Roman" w:hAnsi="Times New Roman" w:eastAsia="宋体" w:cs="Times New Roman"/>
                      <w:b/>
                      <w:bCs/>
                      <w:color w:val="auto"/>
                      <w:kern w:val="0"/>
                      <w:sz w:val="21"/>
                      <w:szCs w:val="21"/>
                      <w:vertAlign w:val="superscript"/>
                      <w:lang w:val="en-US" w:eastAsia="zh-CN" w:bidi="ar"/>
                    </w:rPr>
                    <w:t>3</w:t>
                  </w:r>
                  <w:r>
                    <w:rPr>
                      <w:rFonts w:hint="default" w:ascii="Times New Roman" w:hAnsi="Times New Roman" w:eastAsia="宋体" w:cs="Times New Roman"/>
                      <w:b/>
                      <w:bCs/>
                      <w:color w:val="auto"/>
                      <w:kern w:val="0"/>
                      <w:sz w:val="21"/>
                      <w:szCs w:val="21"/>
                      <w:lang w:val="en-US" w:eastAsia="zh-CN" w:bidi="ar"/>
                    </w:rPr>
                    <w:t>）</w:t>
                  </w:r>
                </w:p>
              </w:tc>
              <w:tc>
                <w:tcPr>
                  <w:tcW w:w="1650" w:type="dxa"/>
                  <w:noWrap w:val="0"/>
                  <w:vAlign w:val="center"/>
                </w:tcPr>
                <w:p w14:paraId="1B8E30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剥离量(万m</w:t>
                  </w:r>
                  <w:r>
                    <w:rPr>
                      <w:rFonts w:hint="default" w:ascii="Times New Roman" w:hAnsi="Times New Roman" w:eastAsia="宋体" w:cs="Times New Roman"/>
                      <w:b/>
                      <w:bCs/>
                      <w:color w:val="auto"/>
                      <w:kern w:val="0"/>
                      <w:sz w:val="21"/>
                      <w:szCs w:val="21"/>
                      <w:vertAlign w:val="superscript"/>
                      <w:lang w:val="en-US" w:eastAsia="zh-CN" w:bidi="ar"/>
                    </w:rPr>
                    <w:t>3</w:t>
                  </w:r>
                  <w:r>
                    <w:rPr>
                      <w:rFonts w:hint="default" w:ascii="Times New Roman" w:hAnsi="Times New Roman" w:eastAsia="宋体" w:cs="Times New Roman"/>
                      <w:b/>
                      <w:bCs/>
                      <w:color w:val="auto"/>
                      <w:kern w:val="0"/>
                      <w:sz w:val="21"/>
                      <w:szCs w:val="21"/>
                      <w:lang w:val="en-US" w:eastAsia="zh-CN" w:bidi="ar"/>
                    </w:rPr>
                    <w:t>)</w:t>
                  </w:r>
                </w:p>
              </w:tc>
              <w:tc>
                <w:tcPr>
                  <w:tcW w:w="1286" w:type="dxa"/>
                  <w:noWrap w:val="0"/>
                  <w:vAlign w:val="center"/>
                </w:tcPr>
                <w:p w14:paraId="36C4BD2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kern w:val="0"/>
                      <w:sz w:val="21"/>
                      <w:szCs w:val="21"/>
                      <w:lang w:val="en-US" w:eastAsia="zh-CN" w:bidi="ar"/>
                    </w:rPr>
                    <w:t>台阶剥采比</w:t>
                  </w:r>
                </w:p>
              </w:tc>
            </w:tr>
            <w:tr w14:paraId="2448E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98" w:type="dxa"/>
                  <w:noWrap w:val="0"/>
                  <w:vAlign w:val="center"/>
                </w:tcPr>
                <w:p w14:paraId="7715BC49">
                  <w:pPr>
                    <w:widowControl/>
                    <w:spacing w:line="240" w:lineRule="auto"/>
                    <w:ind w:firstLine="0" w:firstLineChars="0"/>
                    <w:jc w:val="center"/>
                    <w:textAlignment w:val="center"/>
                    <w:rPr>
                      <w:rFonts w:hint="default" w:ascii="Times New Roman" w:hAnsi="Times New Roman"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2208～2200m</w:t>
                  </w:r>
                </w:p>
              </w:tc>
              <w:tc>
                <w:tcPr>
                  <w:tcW w:w="1615" w:type="dxa"/>
                  <w:noWrap w:val="0"/>
                  <w:vAlign w:val="center"/>
                </w:tcPr>
                <w:p w14:paraId="026D4CD8">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11.24 </w:t>
                  </w:r>
                </w:p>
              </w:tc>
              <w:tc>
                <w:tcPr>
                  <w:tcW w:w="1869" w:type="dxa"/>
                  <w:noWrap w:val="0"/>
                  <w:vAlign w:val="center"/>
                </w:tcPr>
                <w:p w14:paraId="37020281">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4.53 </w:t>
                  </w:r>
                </w:p>
              </w:tc>
              <w:tc>
                <w:tcPr>
                  <w:tcW w:w="1650" w:type="dxa"/>
                  <w:noWrap w:val="0"/>
                  <w:vAlign w:val="center"/>
                </w:tcPr>
                <w:p w14:paraId="68F5166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0.11</w:t>
                  </w:r>
                </w:p>
              </w:tc>
              <w:tc>
                <w:tcPr>
                  <w:tcW w:w="1286" w:type="dxa"/>
                  <w:noWrap w:val="0"/>
                  <w:vAlign w:val="center"/>
                </w:tcPr>
                <w:p w14:paraId="1299CE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0.024</w:t>
                  </w:r>
                </w:p>
              </w:tc>
            </w:tr>
            <w:tr w14:paraId="75F8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98" w:type="dxa"/>
                  <w:noWrap w:val="0"/>
                  <w:vAlign w:val="center"/>
                </w:tcPr>
                <w:p w14:paraId="263F5918">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2200～2192m</w:t>
                  </w:r>
                </w:p>
              </w:tc>
              <w:tc>
                <w:tcPr>
                  <w:tcW w:w="1615" w:type="dxa"/>
                  <w:noWrap w:val="0"/>
                  <w:vAlign w:val="center"/>
                </w:tcPr>
                <w:p w14:paraId="3C68EF51">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22.55 </w:t>
                  </w:r>
                </w:p>
              </w:tc>
              <w:tc>
                <w:tcPr>
                  <w:tcW w:w="1869" w:type="dxa"/>
                  <w:noWrap w:val="0"/>
                  <w:vAlign w:val="center"/>
                </w:tcPr>
                <w:p w14:paraId="6212EEC8">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9.09 </w:t>
                  </w:r>
                </w:p>
              </w:tc>
              <w:tc>
                <w:tcPr>
                  <w:tcW w:w="1650" w:type="dxa"/>
                  <w:noWrap w:val="0"/>
                  <w:vAlign w:val="center"/>
                </w:tcPr>
                <w:p w14:paraId="65D6F6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0.21</w:t>
                  </w:r>
                </w:p>
              </w:tc>
              <w:tc>
                <w:tcPr>
                  <w:tcW w:w="1286" w:type="dxa"/>
                  <w:noWrap w:val="0"/>
                  <w:vAlign w:val="center"/>
                </w:tcPr>
                <w:p w14:paraId="40E2DF1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0.023</w:t>
                  </w:r>
                </w:p>
              </w:tc>
            </w:tr>
            <w:tr w14:paraId="17D8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98" w:type="dxa"/>
                  <w:noWrap w:val="0"/>
                  <w:vAlign w:val="center"/>
                </w:tcPr>
                <w:p w14:paraId="7E2B1C68">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2192～2184m</w:t>
                  </w:r>
                </w:p>
              </w:tc>
              <w:tc>
                <w:tcPr>
                  <w:tcW w:w="1615" w:type="dxa"/>
                  <w:noWrap w:val="0"/>
                  <w:vAlign w:val="center"/>
                </w:tcPr>
                <w:p w14:paraId="54AA7820">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30.11 </w:t>
                  </w:r>
                </w:p>
              </w:tc>
              <w:tc>
                <w:tcPr>
                  <w:tcW w:w="1869" w:type="dxa"/>
                  <w:noWrap w:val="0"/>
                  <w:vAlign w:val="center"/>
                </w:tcPr>
                <w:p w14:paraId="2CAA18A4">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12.14 </w:t>
                  </w:r>
                </w:p>
              </w:tc>
              <w:tc>
                <w:tcPr>
                  <w:tcW w:w="1650" w:type="dxa"/>
                  <w:noWrap w:val="0"/>
                  <w:vAlign w:val="center"/>
                </w:tcPr>
                <w:p w14:paraId="24CC4B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0.25</w:t>
                  </w:r>
                </w:p>
              </w:tc>
              <w:tc>
                <w:tcPr>
                  <w:tcW w:w="1286" w:type="dxa"/>
                  <w:noWrap w:val="0"/>
                  <w:vAlign w:val="center"/>
                </w:tcPr>
                <w:p w14:paraId="31F6DC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0.021</w:t>
                  </w:r>
                </w:p>
              </w:tc>
            </w:tr>
            <w:tr w14:paraId="4AD5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98" w:type="dxa"/>
                  <w:noWrap w:val="0"/>
                  <w:vAlign w:val="center"/>
                </w:tcPr>
                <w:p w14:paraId="0F547C68">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2184～2176m</w:t>
                  </w:r>
                </w:p>
              </w:tc>
              <w:tc>
                <w:tcPr>
                  <w:tcW w:w="1615" w:type="dxa"/>
                  <w:noWrap w:val="0"/>
                  <w:vAlign w:val="center"/>
                </w:tcPr>
                <w:p w14:paraId="702872F9">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39.21 </w:t>
                  </w:r>
                </w:p>
              </w:tc>
              <w:tc>
                <w:tcPr>
                  <w:tcW w:w="1869" w:type="dxa"/>
                  <w:noWrap w:val="0"/>
                  <w:vAlign w:val="center"/>
                </w:tcPr>
                <w:p w14:paraId="1F221404">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15.81 </w:t>
                  </w:r>
                </w:p>
              </w:tc>
              <w:tc>
                <w:tcPr>
                  <w:tcW w:w="1650" w:type="dxa"/>
                  <w:noWrap w:val="0"/>
                  <w:vAlign w:val="center"/>
                </w:tcPr>
                <w:p w14:paraId="37B687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0.29</w:t>
                  </w:r>
                </w:p>
              </w:tc>
              <w:tc>
                <w:tcPr>
                  <w:tcW w:w="1286" w:type="dxa"/>
                  <w:noWrap w:val="0"/>
                  <w:vAlign w:val="center"/>
                </w:tcPr>
                <w:p w14:paraId="316E8F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0.018</w:t>
                  </w:r>
                </w:p>
              </w:tc>
            </w:tr>
            <w:tr w14:paraId="0AD9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98" w:type="dxa"/>
                  <w:noWrap w:val="0"/>
                  <w:vAlign w:val="center"/>
                </w:tcPr>
                <w:p w14:paraId="108C7B41">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2176～2168m</w:t>
                  </w:r>
                </w:p>
              </w:tc>
              <w:tc>
                <w:tcPr>
                  <w:tcW w:w="1615" w:type="dxa"/>
                  <w:noWrap w:val="0"/>
                  <w:vAlign w:val="center"/>
                </w:tcPr>
                <w:p w14:paraId="423900F8">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44.06 </w:t>
                  </w:r>
                </w:p>
              </w:tc>
              <w:tc>
                <w:tcPr>
                  <w:tcW w:w="1869" w:type="dxa"/>
                  <w:noWrap w:val="0"/>
                  <w:vAlign w:val="center"/>
                </w:tcPr>
                <w:p w14:paraId="11144E1A">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17.76 </w:t>
                  </w:r>
                </w:p>
              </w:tc>
              <w:tc>
                <w:tcPr>
                  <w:tcW w:w="1650" w:type="dxa"/>
                  <w:noWrap w:val="0"/>
                  <w:vAlign w:val="center"/>
                </w:tcPr>
                <w:p w14:paraId="68D3E8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0.24</w:t>
                  </w:r>
                </w:p>
              </w:tc>
              <w:tc>
                <w:tcPr>
                  <w:tcW w:w="1286" w:type="dxa"/>
                  <w:noWrap w:val="0"/>
                  <w:vAlign w:val="center"/>
                </w:tcPr>
                <w:p w14:paraId="419D33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0.013</w:t>
                  </w:r>
                </w:p>
              </w:tc>
            </w:tr>
            <w:tr w14:paraId="50F4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98" w:type="dxa"/>
                  <w:noWrap w:val="0"/>
                  <w:vAlign w:val="center"/>
                </w:tcPr>
                <w:p w14:paraId="45A00513">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lang w:val="en-US" w:eastAsia="zh-CN"/>
                    </w:rPr>
                    <w:t>2168～2160m</w:t>
                  </w:r>
                </w:p>
              </w:tc>
              <w:tc>
                <w:tcPr>
                  <w:tcW w:w="1615" w:type="dxa"/>
                  <w:noWrap w:val="0"/>
                  <w:vAlign w:val="center"/>
                </w:tcPr>
                <w:p w14:paraId="01000EFE">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48.48 </w:t>
                  </w:r>
                </w:p>
              </w:tc>
              <w:tc>
                <w:tcPr>
                  <w:tcW w:w="1869" w:type="dxa"/>
                  <w:noWrap w:val="0"/>
                  <w:vAlign w:val="center"/>
                </w:tcPr>
                <w:p w14:paraId="0EAA5BF1">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19.55 </w:t>
                  </w:r>
                </w:p>
              </w:tc>
              <w:tc>
                <w:tcPr>
                  <w:tcW w:w="1650" w:type="dxa"/>
                  <w:noWrap w:val="0"/>
                  <w:vAlign w:val="center"/>
                </w:tcPr>
                <w:p w14:paraId="7BF7D0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0.15</w:t>
                  </w:r>
                </w:p>
              </w:tc>
              <w:tc>
                <w:tcPr>
                  <w:tcW w:w="1286" w:type="dxa"/>
                  <w:noWrap w:val="0"/>
                  <w:vAlign w:val="center"/>
                </w:tcPr>
                <w:p w14:paraId="7A9DA26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0.007</w:t>
                  </w:r>
                </w:p>
              </w:tc>
            </w:tr>
            <w:tr w14:paraId="5B0F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498" w:type="dxa"/>
                  <w:noWrap w:val="0"/>
                  <w:vAlign w:val="center"/>
                </w:tcPr>
                <w:p w14:paraId="502099A2">
                  <w:pPr>
                    <w:widowControl/>
                    <w:spacing w:line="240" w:lineRule="auto"/>
                    <w:ind w:firstLine="0" w:firstLineChars="0"/>
                    <w:jc w:val="center"/>
                    <w:textAlignment w:val="center"/>
                    <w:rPr>
                      <w:rFonts w:hint="default" w:ascii="Times New Roman" w:hAnsi="Times New Roman" w:cs="Times New Roman"/>
                      <w:color w:val="auto"/>
                      <w:kern w:val="0"/>
                      <w:sz w:val="21"/>
                      <w:szCs w:val="21"/>
                      <w:lang w:val="en-US" w:eastAsia="zh-CN" w:bidi="ar-SA"/>
                    </w:rPr>
                  </w:pPr>
                  <w:r>
                    <w:rPr>
                      <w:rFonts w:hint="default" w:ascii="Times New Roman" w:hAnsi="Times New Roman" w:cs="Times New Roman"/>
                      <w:color w:val="auto"/>
                      <w:kern w:val="0"/>
                      <w:sz w:val="21"/>
                      <w:szCs w:val="21"/>
                    </w:rPr>
                    <w:t>总计</w:t>
                  </w:r>
                </w:p>
              </w:tc>
              <w:tc>
                <w:tcPr>
                  <w:tcW w:w="1615" w:type="dxa"/>
                  <w:noWrap w:val="0"/>
                  <w:vAlign w:val="center"/>
                </w:tcPr>
                <w:p w14:paraId="1B25E5E3">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195.64 </w:t>
                  </w:r>
                </w:p>
              </w:tc>
              <w:tc>
                <w:tcPr>
                  <w:tcW w:w="1869" w:type="dxa"/>
                  <w:noWrap w:val="0"/>
                  <w:vAlign w:val="center"/>
                </w:tcPr>
                <w:p w14:paraId="3F5222FD">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 xml:space="preserve">78.88 </w:t>
                  </w:r>
                </w:p>
              </w:tc>
              <w:tc>
                <w:tcPr>
                  <w:tcW w:w="1650" w:type="dxa"/>
                  <w:noWrap w:val="0"/>
                  <w:vAlign w:val="center"/>
                </w:tcPr>
                <w:p w14:paraId="7821F50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1.25</w:t>
                  </w:r>
                </w:p>
              </w:tc>
              <w:tc>
                <w:tcPr>
                  <w:tcW w:w="1286" w:type="dxa"/>
                  <w:noWrap w:val="0"/>
                  <w:vAlign w:val="center"/>
                </w:tcPr>
                <w:p w14:paraId="2942272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0.016</w:t>
                  </w:r>
                </w:p>
              </w:tc>
            </w:tr>
          </w:tbl>
          <w:p w14:paraId="2DC3A6DE">
            <w:pPr>
              <w:keepNext w:val="0"/>
              <w:keepLines w:val="0"/>
              <w:pageBreakBefore w:val="0"/>
              <w:widowControl w:val="0"/>
              <w:kinsoku/>
              <w:wordWrap/>
              <w:overflowPunct/>
              <w:topLinePunct w:val="0"/>
              <w:autoSpaceDE/>
              <w:autoSpaceDN/>
              <w:bidi w:val="0"/>
              <w:adjustRightInd/>
              <w:snapToGrid w:val="0"/>
              <w:spacing w:before="157" w:beforeLines="50" w:line="240" w:lineRule="auto"/>
              <w:ind w:firstLine="0" w:firstLineChars="0"/>
              <w:jc w:val="center"/>
              <w:textAlignment w:val="auto"/>
              <w:rPr>
                <w:rFonts w:hint="eastAsia"/>
                <w:b/>
                <w:bCs/>
                <w:color w:val="auto"/>
                <w:sz w:val="21"/>
                <w:szCs w:val="21"/>
              </w:rPr>
            </w:pPr>
            <w:r>
              <w:rPr>
                <w:rFonts w:hint="eastAsia" w:ascii="Times New Roman" w:hAnsi="Times New Roman" w:eastAsia="宋体" w:cs="Times New Roman"/>
                <w:b/>
                <w:color w:val="auto"/>
                <w:sz w:val="21"/>
                <w:szCs w:val="21"/>
                <w:highlight w:val="none"/>
              </w:rPr>
              <w:t>表</w:t>
            </w:r>
            <w:r>
              <w:rPr>
                <w:rFonts w:hint="eastAsia" w:ascii="Times New Roman" w:hAnsi="Times New Roman" w:eastAsia="宋体" w:cs="Times New Roman"/>
                <w:b/>
                <w:color w:val="auto"/>
                <w:sz w:val="21"/>
                <w:szCs w:val="21"/>
                <w:highlight w:val="none"/>
                <w:lang w:val="en-US" w:eastAsia="zh-CN"/>
              </w:rPr>
              <w:t>2-13</w:t>
            </w:r>
            <w:r>
              <w:rPr>
                <w:rFonts w:hint="eastAsia" w:ascii="Times New Roman" w:hAnsi="Times New Roman" w:eastAsia="宋体" w:cs="Times New Roman"/>
                <w:b/>
                <w:color w:val="auto"/>
                <w:sz w:val="21"/>
                <w:szCs w:val="21"/>
                <w:highlight w:val="none"/>
              </w:rPr>
              <w:t>采</w:t>
            </w:r>
            <w:r>
              <w:rPr>
                <w:rFonts w:hint="eastAsia" w:ascii="Times New Roman" w:hAnsi="Times New Roman" w:eastAsia="宋体" w:cs="Times New Roman"/>
                <w:b/>
                <w:color w:val="auto"/>
                <w:sz w:val="21"/>
                <w:szCs w:val="21"/>
                <w:highlight w:val="none"/>
                <w:lang w:eastAsia="zh-CN"/>
              </w:rPr>
              <w:t>、</w:t>
            </w:r>
            <w:r>
              <w:rPr>
                <w:rFonts w:hint="eastAsia" w:ascii="Times New Roman" w:hAnsi="Times New Roman" w:eastAsia="宋体" w:cs="Times New Roman"/>
                <w:b/>
                <w:color w:val="auto"/>
                <w:sz w:val="21"/>
                <w:szCs w:val="21"/>
                <w:highlight w:val="none"/>
              </w:rPr>
              <w:t>剥进度计划表</w:t>
            </w:r>
            <w:r>
              <w:rPr>
                <w:rFonts w:hint="eastAsia"/>
                <w:b/>
                <w:bCs/>
                <w:color w:val="auto"/>
                <w:sz w:val="21"/>
                <w:szCs w:val="21"/>
              </w:rPr>
              <w:t xml:space="preserve"> </w:t>
            </w:r>
          </w:p>
          <w:tbl>
            <w:tblPr>
              <w:tblStyle w:val="30"/>
              <w:tblW w:w="7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59"/>
              <w:gridCol w:w="500"/>
              <w:gridCol w:w="613"/>
              <w:gridCol w:w="475"/>
              <w:gridCol w:w="575"/>
              <w:gridCol w:w="512"/>
              <w:gridCol w:w="463"/>
              <w:gridCol w:w="425"/>
              <w:gridCol w:w="462"/>
              <w:gridCol w:w="488"/>
              <w:gridCol w:w="475"/>
              <w:gridCol w:w="537"/>
              <w:gridCol w:w="438"/>
              <w:gridCol w:w="425"/>
              <w:gridCol w:w="462"/>
              <w:gridCol w:w="426"/>
            </w:tblGrid>
            <w:tr w14:paraId="1E9D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7" w:hRule="atLeast"/>
                <w:jc w:val="center"/>
              </w:trPr>
              <w:tc>
                <w:tcPr>
                  <w:tcW w:w="659" w:type="dxa"/>
                  <w:vMerge w:val="restart"/>
                  <w:noWrap w:val="0"/>
                  <w:vAlign w:val="center"/>
                </w:tcPr>
                <w:p w14:paraId="79B9626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阶段水平</w:t>
                  </w:r>
                </w:p>
              </w:tc>
              <w:tc>
                <w:tcPr>
                  <w:tcW w:w="500" w:type="dxa"/>
                  <w:vMerge w:val="restart"/>
                  <w:noWrap w:val="0"/>
                  <w:vAlign w:val="center"/>
                </w:tcPr>
                <w:p w14:paraId="20869995">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矿</w:t>
                  </w:r>
                  <w:r>
                    <w:rPr>
                      <w:rFonts w:hint="eastAsia" w:ascii="Times New Roman" w:hAnsi="Times New Roman" w:cs="Times New Roman"/>
                      <w:b/>
                      <w:bCs/>
                      <w:color w:val="auto"/>
                      <w:kern w:val="0"/>
                      <w:sz w:val="18"/>
                      <w:szCs w:val="18"/>
                      <w:lang w:eastAsia="zh-CN" w:bidi="ar"/>
                    </w:rPr>
                    <w:t>（</w:t>
                  </w:r>
                  <w:r>
                    <w:rPr>
                      <w:rFonts w:hint="default" w:ascii="Times New Roman" w:hAnsi="Times New Roman" w:cs="Times New Roman"/>
                      <w:b/>
                      <w:bCs/>
                      <w:color w:val="auto"/>
                      <w:kern w:val="0"/>
                      <w:sz w:val="18"/>
                      <w:szCs w:val="18"/>
                      <w:lang w:bidi="ar"/>
                    </w:rPr>
                    <w:t>万t</w:t>
                  </w:r>
                  <w:r>
                    <w:rPr>
                      <w:rFonts w:hint="eastAsia" w:ascii="Times New Roman" w:hAnsi="Times New Roman" w:cs="Times New Roman"/>
                      <w:b/>
                      <w:bCs/>
                      <w:color w:val="auto"/>
                      <w:kern w:val="0"/>
                      <w:sz w:val="18"/>
                      <w:szCs w:val="18"/>
                      <w:lang w:eastAsia="zh-CN" w:bidi="ar"/>
                    </w:rPr>
                    <w:t>）</w:t>
                  </w:r>
                </w:p>
              </w:tc>
              <w:tc>
                <w:tcPr>
                  <w:tcW w:w="613" w:type="dxa"/>
                  <w:vMerge w:val="restart"/>
                  <w:noWrap w:val="0"/>
                  <w:vAlign w:val="center"/>
                </w:tcPr>
                <w:p w14:paraId="205DBBFA">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矿</w:t>
                  </w:r>
                  <w:r>
                    <w:rPr>
                      <w:rFonts w:hint="eastAsia" w:ascii="Times New Roman" w:hAnsi="Times New Roman" w:cs="Times New Roman"/>
                      <w:b/>
                      <w:bCs/>
                      <w:color w:val="auto"/>
                      <w:kern w:val="0"/>
                      <w:sz w:val="18"/>
                      <w:szCs w:val="18"/>
                      <w:lang w:eastAsia="zh-CN" w:bidi="ar"/>
                    </w:rPr>
                    <w:t>（</w:t>
                  </w:r>
                  <w:r>
                    <w:rPr>
                      <w:rFonts w:hint="default" w:ascii="Times New Roman" w:hAnsi="Times New Roman" w:cs="Times New Roman"/>
                      <w:b/>
                      <w:bCs/>
                      <w:color w:val="auto"/>
                      <w:kern w:val="0"/>
                      <w:sz w:val="18"/>
                      <w:szCs w:val="18"/>
                      <w:lang w:bidi="ar"/>
                    </w:rPr>
                    <w:t>万m³</w:t>
                  </w:r>
                  <w:r>
                    <w:rPr>
                      <w:rFonts w:hint="eastAsia" w:ascii="Times New Roman" w:hAnsi="Times New Roman" w:cs="Times New Roman"/>
                      <w:b/>
                      <w:bCs/>
                      <w:color w:val="auto"/>
                      <w:kern w:val="0"/>
                      <w:sz w:val="18"/>
                      <w:szCs w:val="18"/>
                      <w:lang w:eastAsia="zh-CN" w:bidi="ar"/>
                    </w:rPr>
                    <w:t>）</w:t>
                  </w:r>
                </w:p>
              </w:tc>
              <w:tc>
                <w:tcPr>
                  <w:tcW w:w="475" w:type="dxa"/>
                  <w:vMerge w:val="restart"/>
                  <w:noWrap w:val="0"/>
                  <w:vAlign w:val="center"/>
                </w:tcPr>
                <w:p w14:paraId="17BA241F">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岩</w:t>
                  </w:r>
                  <w:r>
                    <w:rPr>
                      <w:rFonts w:hint="eastAsia" w:ascii="Times New Roman" w:hAnsi="Times New Roman" w:cs="Times New Roman"/>
                      <w:b/>
                      <w:bCs/>
                      <w:color w:val="auto"/>
                      <w:kern w:val="0"/>
                      <w:sz w:val="18"/>
                      <w:szCs w:val="18"/>
                      <w:lang w:eastAsia="zh-CN" w:bidi="ar"/>
                    </w:rPr>
                    <w:t>（</w:t>
                  </w:r>
                  <w:r>
                    <w:rPr>
                      <w:rFonts w:hint="default" w:ascii="Times New Roman" w:hAnsi="Times New Roman" w:cs="Times New Roman"/>
                      <w:b/>
                      <w:bCs/>
                      <w:color w:val="auto"/>
                      <w:kern w:val="0"/>
                      <w:sz w:val="18"/>
                      <w:szCs w:val="18"/>
                      <w:lang w:bidi="ar"/>
                    </w:rPr>
                    <w:t>万m³</w:t>
                  </w:r>
                  <w:r>
                    <w:rPr>
                      <w:rFonts w:hint="eastAsia" w:ascii="Times New Roman" w:hAnsi="Times New Roman" w:cs="Times New Roman"/>
                      <w:b/>
                      <w:bCs/>
                      <w:color w:val="auto"/>
                      <w:kern w:val="0"/>
                      <w:sz w:val="18"/>
                      <w:szCs w:val="18"/>
                      <w:lang w:eastAsia="zh-CN" w:bidi="ar"/>
                    </w:rPr>
                    <w:t>）</w:t>
                  </w:r>
                </w:p>
              </w:tc>
              <w:tc>
                <w:tcPr>
                  <w:tcW w:w="575" w:type="dxa"/>
                  <w:vMerge w:val="restart"/>
                  <w:noWrap w:val="0"/>
                  <w:vAlign w:val="center"/>
                </w:tcPr>
                <w:p w14:paraId="5CFA89F6">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18"/>
                      <w:szCs w:val="18"/>
                      <w:lang w:bidi="ar"/>
                    </w:rPr>
                  </w:pPr>
                  <w:r>
                    <w:rPr>
                      <w:rFonts w:hint="default" w:ascii="Times New Roman" w:hAnsi="Times New Roman" w:cs="Times New Roman"/>
                      <w:b/>
                      <w:bCs/>
                      <w:color w:val="auto"/>
                      <w:kern w:val="0"/>
                      <w:sz w:val="18"/>
                      <w:szCs w:val="18"/>
                      <w:lang w:bidi="ar"/>
                    </w:rPr>
                    <w:t>采剥总</w:t>
                  </w:r>
                </w:p>
                <w:p w14:paraId="349D01C0">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量万m³</w:t>
                  </w:r>
                </w:p>
              </w:tc>
              <w:tc>
                <w:tcPr>
                  <w:tcW w:w="512" w:type="dxa"/>
                  <w:vMerge w:val="restart"/>
                  <w:noWrap w:val="0"/>
                  <w:vAlign w:val="center"/>
                </w:tcPr>
                <w:p w14:paraId="6BDC823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18"/>
                      <w:szCs w:val="18"/>
                      <w:lang w:bidi="ar"/>
                    </w:rPr>
                  </w:pPr>
                  <w:r>
                    <w:rPr>
                      <w:rFonts w:hint="default" w:ascii="Times New Roman" w:hAnsi="Times New Roman" w:cs="Times New Roman"/>
                      <w:b/>
                      <w:bCs/>
                      <w:color w:val="auto"/>
                      <w:kern w:val="0"/>
                      <w:sz w:val="18"/>
                      <w:szCs w:val="18"/>
                      <w:lang w:bidi="ar"/>
                    </w:rPr>
                    <w:t>工作</w:t>
                  </w:r>
                </w:p>
                <w:p w14:paraId="51E2C04E">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内容</w:t>
                  </w:r>
                </w:p>
              </w:tc>
              <w:tc>
                <w:tcPr>
                  <w:tcW w:w="888" w:type="dxa"/>
                  <w:gridSpan w:val="2"/>
                  <w:noWrap w:val="0"/>
                  <w:vAlign w:val="center"/>
                </w:tcPr>
                <w:p w14:paraId="7058A3F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基建期（</w:t>
                  </w:r>
                  <w:r>
                    <w:rPr>
                      <w:rFonts w:hint="default" w:ascii="Times New Roman" w:hAnsi="Times New Roman" w:cs="Times New Roman"/>
                      <w:b/>
                      <w:bCs/>
                      <w:color w:val="auto"/>
                      <w:kern w:val="0"/>
                      <w:sz w:val="18"/>
                      <w:szCs w:val="18"/>
                      <w:lang w:val="en-US" w:eastAsia="zh-CN" w:bidi="ar"/>
                    </w:rPr>
                    <w:t>6</w:t>
                  </w:r>
                  <w:r>
                    <w:rPr>
                      <w:rStyle w:val="101"/>
                      <w:rFonts w:hint="default" w:ascii="Times New Roman" w:hAnsi="Times New Roman" w:cs="Times New Roman"/>
                      <w:b/>
                      <w:bCs/>
                      <w:color w:val="auto"/>
                      <w:sz w:val="18"/>
                      <w:szCs w:val="18"/>
                      <w:lang w:bidi="ar"/>
                    </w:rPr>
                    <w:t>个月)</w:t>
                  </w:r>
                </w:p>
              </w:tc>
              <w:tc>
                <w:tcPr>
                  <w:tcW w:w="950" w:type="dxa"/>
                  <w:gridSpan w:val="2"/>
                  <w:noWrap w:val="0"/>
                  <w:vAlign w:val="center"/>
                </w:tcPr>
                <w:p w14:paraId="6E2363A4">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18"/>
                      <w:szCs w:val="18"/>
                      <w:lang w:bidi="ar"/>
                    </w:rPr>
                  </w:pPr>
                  <w:r>
                    <w:rPr>
                      <w:rFonts w:hint="default" w:ascii="Times New Roman" w:hAnsi="Times New Roman" w:cs="Times New Roman"/>
                      <w:b/>
                      <w:bCs/>
                      <w:color w:val="auto"/>
                      <w:kern w:val="0"/>
                      <w:sz w:val="18"/>
                      <w:szCs w:val="18"/>
                      <w:lang w:bidi="ar"/>
                    </w:rPr>
                    <w:t>第1年</w:t>
                  </w:r>
                </w:p>
              </w:tc>
              <w:tc>
                <w:tcPr>
                  <w:tcW w:w="1012" w:type="dxa"/>
                  <w:gridSpan w:val="2"/>
                  <w:noWrap w:val="0"/>
                  <w:vAlign w:val="center"/>
                </w:tcPr>
                <w:p w14:paraId="5F424358">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第2年</w:t>
                  </w:r>
                </w:p>
              </w:tc>
              <w:tc>
                <w:tcPr>
                  <w:tcW w:w="863" w:type="dxa"/>
                  <w:gridSpan w:val="2"/>
                  <w:noWrap w:val="0"/>
                  <w:vAlign w:val="center"/>
                </w:tcPr>
                <w:p w14:paraId="5F74E15C">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第3年</w:t>
                  </w:r>
                </w:p>
              </w:tc>
              <w:tc>
                <w:tcPr>
                  <w:tcW w:w="888" w:type="dxa"/>
                  <w:gridSpan w:val="2"/>
                  <w:noWrap w:val="0"/>
                  <w:vAlign w:val="center"/>
                </w:tcPr>
                <w:p w14:paraId="081875B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18"/>
                      <w:szCs w:val="18"/>
                      <w:lang w:bidi="ar"/>
                    </w:rPr>
                  </w:pPr>
                  <w:r>
                    <w:rPr>
                      <w:rFonts w:hint="default" w:ascii="Times New Roman" w:hAnsi="Times New Roman" w:cs="Times New Roman"/>
                      <w:b/>
                      <w:bCs/>
                      <w:color w:val="auto"/>
                      <w:kern w:val="0"/>
                      <w:sz w:val="18"/>
                      <w:szCs w:val="18"/>
                      <w:lang w:bidi="ar"/>
                    </w:rPr>
                    <w:t>第3</w:t>
                  </w:r>
                  <w:r>
                    <w:rPr>
                      <w:rFonts w:hint="default" w:ascii="Times New Roman" w:hAnsi="Times New Roman" w:cs="Times New Roman"/>
                      <w:b/>
                      <w:bCs/>
                      <w:color w:val="auto"/>
                      <w:kern w:val="0"/>
                      <w:sz w:val="18"/>
                      <w:szCs w:val="18"/>
                      <w:lang w:val="en-US" w:eastAsia="zh-CN" w:bidi="ar"/>
                    </w:rPr>
                    <w:t>.91</w:t>
                  </w:r>
                  <w:r>
                    <w:rPr>
                      <w:rFonts w:hint="default" w:ascii="Times New Roman" w:hAnsi="Times New Roman" w:cs="Times New Roman"/>
                      <w:b/>
                      <w:bCs/>
                      <w:color w:val="auto"/>
                      <w:kern w:val="0"/>
                      <w:sz w:val="18"/>
                      <w:szCs w:val="18"/>
                      <w:lang w:bidi="ar"/>
                    </w:rPr>
                    <w:t>年</w:t>
                  </w:r>
                </w:p>
              </w:tc>
            </w:tr>
            <w:tr w14:paraId="4705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87" w:hRule="atLeast"/>
                <w:jc w:val="center"/>
              </w:trPr>
              <w:tc>
                <w:tcPr>
                  <w:tcW w:w="659" w:type="dxa"/>
                  <w:vMerge w:val="continue"/>
                  <w:noWrap w:val="0"/>
                  <w:vAlign w:val="center"/>
                </w:tcPr>
                <w:p w14:paraId="5F8CE87C">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b/>
                      <w:bCs/>
                      <w:color w:val="auto"/>
                      <w:sz w:val="18"/>
                      <w:szCs w:val="18"/>
                    </w:rPr>
                  </w:pPr>
                </w:p>
              </w:tc>
              <w:tc>
                <w:tcPr>
                  <w:tcW w:w="500" w:type="dxa"/>
                  <w:vMerge w:val="continue"/>
                  <w:noWrap w:val="0"/>
                  <w:vAlign w:val="center"/>
                </w:tcPr>
                <w:p w14:paraId="0049D020">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b/>
                      <w:bCs/>
                      <w:color w:val="auto"/>
                      <w:sz w:val="18"/>
                      <w:szCs w:val="18"/>
                    </w:rPr>
                  </w:pPr>
                </w:p>
              </w:tc>
              <w:tc>
                <w:tcPr>
                  <w:tcW w:w="613" w:type="dxa"/>
                  <w:vMerge w:val="continue"/>
                  <w:noWrap w:val="0"/>
                  <w:vAlign w:val="center"/>
                </w:tcPr>
                <w:p w14:paraId="01016358">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b/>
                      <w:bCs/>
                      <w:color w:val="auto"/>
                      <w:sz w:val="18"/>
                      <w:szCs w:val="18"/>
                    </w:rPr>
                  </w:pPr>
                </w:p>
              </w:tc>
              <w:tc>
                <w:tcPr>
                  <w:tcW w:w="475" w:type="dxa"/>
                  <w:vMerge w:val="continue"/>
                  <w:noWrap w:val="0"/>
                  <w:vAlign w:val="center"/>
                </w:tcPr>
                <w:p w14:paraId="20B91975">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b/>
                      <w:bCs/>
                      <w:color w:val="auto"/>
                      <w:sz w:val="18"/>
                      <w:szCs w:val="18"/>
                    </w:rPr>
                  </w:pPr>
                </w:p>
              </w:tc>
              <w:tc>
                <w:tcPr>
                  <w:tcW w:w="575" w:type="dxa"/>
                  <w:vMerge w:val="continue"/>
                  <w:noWrap w:val="0"/>
                  <w:vAlign w:val="center"/>
                </w:tcPr>
                <w:p w14:paraId="1FF156A5">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b/>
                      <w:bCs/>
                      <w:color w:val="auto"/>
                      <w:sz w:val="18"/>
                      <w:szCs w:val="18"/>
                    </w:rPr>
                  </w:pPr>
                </w:p>
              </w:tc>
              <w:tc>
                <w:tcPr>
                  <w:tcW w:w="512" w:type="dxa"/>
                  <w:vMerge w:val="continue"/>
                  <w:noWrap w:val="0"/>
                  <w:vAlign w:val="center"/>
                </w:tcPr>
                <w:p w14:paraId="742D7595">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b/>
                      <w:bCs/>
                      <w:color w:val="auto"/>
                      <w:sz w:val="18"/>
                      <w:szCs w:val="18"/>
                    </w:rPr>
                  </w:pPr>
                </w:p>
              </w:tc>
              <w:tc>
                <w:tcPr>
                  <w:tcW w:w="463" w:type="dxa"/>
                  <w:noWrap w:val="0"/>
                  <w:vAlign w:val="center"/>
                </w:tcPr>
                <w:p w14:paraId="207E771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矿</w:t>
                  </w:r>
                </w:p>
              </w:tc>
              <w:tc>
                <w:tcPr>
                  <w:tcW w:w="425" w:type="dxa"/>
                  <w:noWrap w:val="0"/>
                  <w:vAlign w:val="center"/>
                </w:tcPr>
                <w:p w14:paraId="1240C0E4">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剥</w:t>
                  </w:r>
                </w:p>
              </w:tc>
              <w:tc>
                <w:tcPr>
                  <w:tcW w:w="462" w:type="dxa"/>
                  <w:noWrap w:val="0"/>
                  <w:vAlign w:val="center"/>
                </w:tcPr>
                <w:p w14:paraId="53717B58">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矿</w:t>
                  </w:r>
                </w:p>
              </w:tc>
              <w:tc>
                <w:tcPr>
                  <w:tcW w:w="488" w:type="dxa"/>
                  <w:noWrap w:val="0"/>
                  <w:vAlign w:val="center"/>
                </w:tcPr>
                <w:p w14:paraId="52C60C9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剥</w:t>
                  </w:r>
                </w:p>
              </w:tc>
              <w:tc>
                <w:tcPr>
                  <w:tcW w:w="475" w:type="dxa"/>
                  <w:noWrap w:val="0"/>
                  <w:vAlign w:val="center"/>
                </w:tcPr>
                <w:p w14:paraId="538E17D0">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矿</w:t>
                  </w:r>
                </w:p>
              </w:tc>
              <w:tc>
                <w:tcPr>
                  <w:tcW w:w="537" w:type="dxa"/>
                  <w:noWrap w:val="0"/>
                  <w:vAlign w:val="center"/>
                </w:tcPr>
                <w:p w14:paraId="77AD4CF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剥</w:t>
                  </w:r>
                </w:p>
              </w:tc>
              <w:tc>
                <w:tcPr>
                  <w:tcW w:w="438" w:type="dxa"/>
                  <w:noWrap w:val="0"/>
                  <w:vAlign w:val="center"/>
                </w:tcPr>
                <w:p w14:paraId="69837A45">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矿</w:t>
                  </w:r>
                </w:p>
              </w:tc>
              <w:tc>
                <w:tcPr>
                  <w:tcW w:w="425" w:type="dxa"/>
                  <w:noWrap w:val="0"/>
                  <w:vAlign w:val="center"/>
                </w:tcPr>
                <w:p w14:paraId="352AA8ED">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剥</w:t>
                  </w:r>
                </w:p>
              </w:tc>
              <w:tc>
                <w:tcPr>
                  <w:tcW w:w="462" w:type="dxa"/>
                  <w:noWrap w:val="0"/>
                  <w:vAlign w:val="center"/>
                </w:tcPr>
                <w:p w14:paraId="423ECE26">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kern w:val="0"/>
                      <w:sz w:val="18"/>
                      <w:szCs w:val="18"/>
                      <w:lang w:bidi="ar"/>
                    </w:rPr>
                    <w:t>矿</w:t>
                  </w:r>
                </w:p>
              </w:tc>
              <w:tc>
                <w:tcPr>
                  <w:tcW w:w="426" w:type="dxa"/>
                  <w:noWrap w:val="0"/>
                  <w:vAlign w:val="center"/>
                </w:tcPr>
                <w:p w14:paraId="27C41234">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b/>
                      <w:bCs/>
                      <w:color w:val="auto"/>
                      <w:sz w:val="18"/>
                      <w:szCs w:val="18"/>
                    </w:rPr>
                  </w:pPr>
                  <w:r>
                    <w:rPr>
                      <w:rFonts w:hint="default" w:ascii="Times New Roman" w:hAnsi="Times New Roman" w:cs="Times New Roman"/>
                      <w:b/>
                      <w:bCs/>
                      <w:color w:val="auto"/>
                      <w:sz w:val="18"/>
                      <w:szCs w:val="18"/>
                    </w:rPr>
                    <w:t>剥</w:t>
                  </w:r>
                </w:p>
              </w:tc>
            </w:tr>
            <w:tr w14:paraId="224A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3" w:hRule="atLeast"/>
                <w:jc w:val="center"/>
              </w:trPr>
              <w:tc>
                <w:tcPr>
                  <w:tcW w:w="659" w:type="dxa"/>
                  <w:noWrap w:val="0"/>
                  <w:vAlign w:val="center"/>
                </w:tcPr>
                <w:p w14:paraId="64769FD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2208～2200m</w:t>
                  </w:r>
                </w:p>
              </w:tc>
              <w:tc>
                <w:tcPr>
                  <w:tcW w:w="500" w:type="dxa"/>
                  <w:noWrap w:val="0"/>
                  <w:vAlign w:val="center"/>
                </w:tcPr>
                <w:p w14:paraId="2A234224">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11.24 </w:t>
                  </w:r>
                </w:p>
              </w:tc>
              <w:tc>
                <w:tcPr>
                  <w:tcW w:w="613" w:type="dxa"/>
                  <w:noWrap w:val="0"/>
                  <w:vAlign w:val="center"/>
                </w:tcPr>
                <w:p w14:paraId="10ED29DC">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4.53 </w:t>
                  </w:r>
                </w:p>
              </w:tc>
              <w:tc>
                <w:tcPr>
                  <w:tcW w:w="475" w:type="dxa"/>
                  <w:noWrap w:val="0"/>
                  <w:vAlign w:val="center"/>
                </w:tcPr>
                <w:p w14:paraId="208A702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0.11</w:t>
                  </w:r>
                </w:p>
              </w:tc>
              <w:tc>
                <w:tcPr>
                  <w:tcW w:w="575" w:type="dxa"/>
                  <w:noWrap w:val="0"/>
                  <w:vAlign w:val="center"/>
                </w:tcPr>
                <w:p w14:paraId="01E8A48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4.64</w:t>
                  </w:r>
                </w:p>
              </w:tc>
              <w:tc>
                <w:tcPr>
                  <w:tcW w:w="512" w:type="dxa"/>
                  <w:noWrap w:val="0"/>
                  <w:vAlign w:val="center"/>
                </w:tcPr>
                <w:p w14:paraId="03A1D4D4">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采剥</w:t>
                  </w:r>
                </w:p>
              </w:tc>
              <w:tc>
                <w:tcPr>
                  <w:tcW w:w="463" w:type="dxa"/>
                  <w:noWrap w:val="0"/>
                  <w:vAlign w:val="center"/>
                </w:tcPr>
                <w:p w14:paraId="61EACA1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4.53 </w:t>
                  </w:r>
                </w:p>
              </w:tc>
              <w:tc>
                <w:tcPr>
                  <w:tcW w:w="425" w:type="dxa"/>
                  <w:noWrap w:val="0"/>
                  <w:vAlign w:val="center"/>
                </w:tcPr>
                <w:p w14:paraId="3482F2F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0.11</w:t>
                  </w:r>
                </w:p>
              </w:tc>
              <w:tc>
                <w:tcPr>
                  <w:tcW w:w="462" w:type="dxa"/>
                  <w:noWrap w:val="0"/>
                  <w:vAlign w:val="center"/>
                </w:tcPr>
                <w:p w14:paraId="2A144F8D">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88" w:type="dxa"/>
                  <w:noWrap w:val="0"/>
                  <w:vAlign w:val="center"/>
                </w:tcPr>
                <w:p w14:paraId="22E1C0B2">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75" w:type="dxa"/>
                  <w:noWrap w:val="0"/>
                  <w:vAlign w:val="center"/>
                </w:tcPr>
                <w:p w14:paraId="342F2D56">
                  <w:pPr>
                    <w:keepNext w:val="0"/>
                    <w:keepLines w:val="0"/>
                    <w:pageBreakBefore w:val="0"/>
                    <w:kinsoku/>
                    <w:wordWrap/>
                    <w:overflowPunct/>
                    <w:topLinePunct w:val="0"/>
                    <w:autoSpaceDE/>
                    <w:bidi w:val="0"/>
                    <w:adjustRightInd w:val="0"/>
                    <w:snapToGrid w:val="0"/>
                    <w:spacing w:line="240" w:lineRule="auto"/>
                    <w:ind w:firstLine="0" w:firstLineChars="0"/>
                    <w:rPr>
                      <w:rFonts w:hint="default" w:ascii="Times New Roman" w:hAnsi="Times New Roman" w:cs="Times New Roman"/>
                      <w:color w:val="auto"/>
                      <w:sz w:val="18"/>
                      <w:szCs w:val="18"/>
                    </w:rPr>
                  </w:pPr>
                </w:p>
              </w:tc>
              <w:tc>
                <w:tcPr>
                  <w:tcW w:w="537" w:type="dxa"/>
                  <w:noWrap w:val="0"/>
                  <w:vAlign w:val="center"/>
                </w:tcPr>
                <w:p w14:paraId="5C3CB805">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38" w:type="dxa"/>
                  <w:noWrap w:val="0"/>
                  <w:vAlign w:val="center"/>
                </w:tcPr>
                <w:p w14:paraId="5FFB9673">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25" w:type="dxa"/>
                  <w:noWrap w:val="0"/>
                  <w:vAlign w:val="center"/>
                </w:tcPr>
                <w:p w14:paraId="72809146">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62" w:type="dxa"/>
                  <w:noWrap w:val="0"/>
                  <w:vAlign w:val="center"/>
                </w:tcPr>
                <w:p w14:paraId="0E38B979">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26" w:type="dxa"/>
                  <w:noWrap w:val="0"/>
                  <w:vAlign w:val="center"/>
                </w:tcPr>
                <w:p w14:paraId="2F3A04AC">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r>
            <w:tr w14:paraId="2D1B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6" w:hRule="atLeast"/>
                <w:jc w:val="center"/>
              </w:trPr>
              <w:tc>
                <w:tcPr>
                  <w:tcW w:w="659" w:type="dxa"/>
                  <w:noWrap w:val="0"/>
                  <w:vAlign w:val="center"/>
                </w:tcPr>
                <w:p w14:paraId="6426046D">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2200～2192m</w:t>
                  </w:r>
                </w:p>
              </w:tc>
              <w:tc>
                <w:tcPr>
                  <w:tcW w:w="500" w:type="dxa"/>
                  <w:noWrap w:val="0"/>
                  <w:vAlign w:val="center"/>
                </w:tcPr>
                <w:p w14:paraId="539F2C5E">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22.55 </w:t>
                  </w:r>
                </w:p>
              </w:tc>
              <w:tc>
                <w:tcPr>
                  <w:tcW w:w="613" w:type="dxa"/>
                  <w:noWrap w:val="0"/>
                  <w:vAlign w:val="center"/>
                </w:tcPr>
                <w:p w14:paraId="4FB56B81">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9.09 </w:t>
                  </w:r>
                </w:p>
              </w:tc>
              <w:tc>
                <w:tcPr>
                  <w:tcW w:w="475" w:type="dxa"/>
                  <w:noWrap w:val="0"/>
                  <w:vAlign w:val="center"/>
                </w:tcPr>
                <w:p w14:paraId="3E88BADF">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0.21</w:t>
                  </w:r>
                </w:p>
              </w:tc>
              <w:tc>
                <w:tcPr>
                  <w:tcW w:w="575" w:type="dxa"/>
                  <w:noWrap w:val="0"/>
                  <w:vAlign w:val="center"/>
                </w:tcPr>
                <w:p w14:paraId="0FDF750F">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9.30</w:t>
                  </w:r>
                </w:p>
              </w:tc>
              <w:tc>
                <w:tcPr>
                  <w:tcW w:w="512" w:type="dxa"/>
                  <w:noWrap w:val="0"/>
                  <w:vAlign w:val="center"/>
                </w:tcPr>
                <w:p w14:paraId="29DE0C79">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采剥</w:t>
                  </w:r>
                </w:p>
              </w:tc>
              <w:tc>
                <w:tcPr>
                  <w:tcW w:w="463" w:type="dxa"/>
                  <w:noWrap w:val="0"/>
                  <w:vAlign w:val="center"/>
                </w:tcPr>
                <w:p w14:paraId="510A076E">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5.47</w:t>
                  </w:r>
                </w:p>
              </w:tc>
              <w:tc>
                <w:tcPr>
                  <w:tcW w:w="425" w:type="dxa"/>
                  <w:noWrap w:val="0"/>
                  <w:vAlign w:val="center"/>
                </w:tcPr>
                <w:p w14:paraId="21D7E4AC">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0.12</w:t>
                  </w:r>
                </w:p>
              </w:tc>
              <w:tc>
                <w:tcPr>
                  <w:tcW w:w="462" w:type="dxa"/>
                  <w:noWrap w:val="0"/>
                  <w:vAlign w:val="center"/>
                </w:tcPr>
                <w:p w14:paraId="0B481F21">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3.62</w:t>
                  </w:r>
                </w:p>
              </w:tc>
              <w:tc>
                <w:tcPr>
                  <w:tcW w:w="488" w:type="dxa"/>
                  <w:noWrap w:val="0"/>
                  <w:vAlign w:val="center"/>
                </w:tcPr>
                <w:p w14:paraId="3F97E00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0.09</w:t>
                  </w:r>
                </w:p>
              </w:tc>
              <w:tc>
                <w:tcPr>
                  <w:tcW w:w="475" w:type="dxa"/>
                  <w:noWrap w:val="0"/>
                  <w:vAlign w:val="center"/>
                </w:tcPr>
                <w:p w14:paraId="586E0B97">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537" w:type="dxa"/>
                  <w:noWrap w:val="0"/>
                  <w:vAlign w:val="center"/>
                </w:tcPr>
                <w:p w14:paraId="5D8BD4AE">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38" w:type="dxa"/>
                  <w:noWrap w:val="0"/>
                  <w:vAlign w:val="center"/>
                </w:tcPr>
                <w:p w14:paraId="3CEB3BCF">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25" w:type="dxa"/>
                  <w:noWrap w:val="0"/>
                  <w:vAlign w:val="center"/>
                </w:tcPr>
                <w:p w14:paraId="1DEFBCC7">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62" w:type="dxa"/>
                  <w:noWrap w:val="0"/>
                  <w:vAlign w:val="center"/>
                </w:tcPr>
                <w:p w14:paraId="21486BC6">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26" w:type="dxa"/>
                  <w:noWrap w:val="0"/>
                  <w:vAlign w:val="center"/>
                </w:tcPr>
                <w:p w14:paraId="0057C539">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r>
            <w:tr w14:paraId="1856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64" w:hRule="atLeast"/>
                <w:jc w:val="center"/>
              </w:trPr>
              <w:tc>
                <w:tcPr>
                  <w:tcW w:w="659" w:type="dxa"/>
                  <w:noWrap w:val="0"/>
                  <w:vAlign w:val="center"/>
                </w:tcPr>
                <w:p w14:paraId="48BFD6A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2192～2184m</w:t>
                  </w:r>
                </w:p>
              </w:tc>
              <w:tc>
                <w:tcPr>
                  <w:tcW w:w="500" w:type="dxa"/>
                  <w:noWrap w:val="0"/>
                  <w:vAlign w:val="center"/>
                </w:tcPr>
                <w:p w14:paraId="18A0A988">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30.11 </w:t>
                  </w:r>
                </w:p>
              </w:tc>
              <w:tc>
                <w:tcPr>
                  <w:tcW w:w="613" w:type="dxa"/>
                  <w:noWrap w:val="0"/>
                  <w:vAlign w:val="center"/>
                </w:tcPr>
                <w:p w14:paraId="110133AE">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12.14 </w:t>
                  </w:r>
                </w:p>
              </w:tc>
              <w:tc>
                <w:tcPr>
                  <w:tcW w:w="475" w:type="dxa"/>
                  <w:noWrap w:val="0"/>
                  <w:vAlign w:val="center"/>
                </w:tcPr>
                <w:p w14:paraId="3370B3E0">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0.25</w:t>
                  </w:r>
                </w:p>
              </w:tc>
              <w:tc>
                <w:tcPr>
                  <w:tcW w:w="575" w:type="dxa"/>
                  <w:noWrap w:val="0"/>
                  <w:vAlign w:val="center"/>
                </w:tcPr>
                <w:p w14:paraId="4237D994">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12.39</w:t>
                  </w:r>
                </w:p>
              </w:tc>
              <w:tc>
                <w:tcPr>
                  <w:tcW w:w="512" w:type="dxa"/>
                  <w:noWrap w:val="0"/>
                  <w:vAlign w:val="center"/>
                </w:tcPr>
                <w:p w14:paraId="14DAF459">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kern w:val="0"/>
                      <w:sz w:val="18"/>
                      <w:szCs w:val="18"/>
                      <w:lang w:bidi="ar"/>
                    </w:rPr>
                  </w:pPr>
                  <w:r>
                    <w:rPr>
                      <w:rFonts w:hint="default" w:ascii="Times New Roman" w:hAnsi="Times New Roman" w:cs="Times New Roman"/>
                      <w:color w:val="auto"/>
                      <w:kern w:val="0"/>
                      <w:sz w:val="18"/>
                      <w:szCs w:val="18"/>
                      <w:lang w:bidi="ar"/>
                    </w:rPr>
                    <w:t>采剥</w:t>
                  </w:r>
                </w:p>
              </w:tc>
              <w:tc>
                <w:tcPr>
                  <w:tcW w:w="463" w:type="dxa"/>
                  <w:noWrap w:val="0"/>
                  <w:vAlign w:val="center"/>
                </w:tcPr>
                <w:p w14:paraId="5FDBF773">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eastAsia="宋体" w:cs="Times New Roman"/>
                      <w:color w:val="auto"/>
                      <w:sz w:val="18"/>
                      <w:szCs w:val="18"/>
                      <w:lang w:val="en-US" w:eastAsia="zh-CN"/>
                    </w:rPr>
                  </w:pPr>
                </w:p>
              </w:tc>
              <w:tc>
                <w:tcPr>
                  <w:tcW w:w="425" w:type="dxa"/>
                  <w:noWrap w:val="0"/>
                  <w:vAlign w:val="center"/>
                </w:tcPr>
                <w:p w14:paraId="113D6BB9">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eastAsia="宋体" w:cs="Times New Roman"/>
                      <w:color w:val="auto"/>
                      <w:sz w:val="18"/>
                      <w:szCs w:val="18"/>
                      <w:lang w:val="en-US" w:eastAsia="zh-CN"/>
                    </w:rPr>
                  </w:pPr>
                </w:p>
              </w:tc>
              <w:tc>
                <w:tcPr>
                  <w:tcW w:w="462" w:type="dxa"/>
                  <w:noWrap w:val="0"/>
                  <w:vAlign w:val="center"/>
                </w:tcPr>
                <w:p w14:paraId="655D7769">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12.14 </w:t>
                  </w:r>
                </w:p>
              </w:tc>
              <w:tc>
                <w:tcPr>
                  <w:tcW w:w="488" w:type="dxa"/>
                  <w:noWrap w:val="0"/>
                  <w:vAlign w:val="center"/>
                </w:tcPr>
                <w:p w14:paraId="1002F4F9">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0.25</w:t>
                  </w:r>
                </w:p>
              </w:tc>
              <w:tc>
                <w:tcPr>
                  <w:tcW w:w="475" w:type="dxa"/>
                  <w:noWrap w:val="0"/>
                  <w:vAlign w:val="center"/>
                </w:tcPr>
                <w:p w14:paraId="1EE7FDA3">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p>
              </w:tc>
              <w:tc>
                <w:tcPr>
                  <w:tcW w:w="537" w:type="dxa"/>
                  <w:noWrap w:val="0"/>
                  <w:vAlign w:val="center"/>
                </w:tcPr>
                <w:p w14:paraId="1F982A78">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eastAsia="zh-CN"/>
                    </w:rPr>
                  </w:pPr>
                </w:p>
              </w:tc>
              <w:tc>
                <w:tcPr>
                  <w:tcW w:w="438" w:type="dxa"/>
                  <w:noWrap w:val="0"/>
                  <w:vAlign w:val="center"/>
                </w:tcPr>
                <w:p w14:paraId="41838726">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25" w:type="dxa"/>
                  <w:noWrap w:val="0"/>
                  <w:vAlign w:val="center"/>
                </w:tcPr>
                <w:p w14:paraId="7A52F04E">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62" w:type="dxa"/>
                  <w:noWrap w:val="0"/>
                  <w:vAlign w:val="center"/>
                </w:tcPr>
                <w:p w14:paraId="14C34EAA">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26" w:type="dxa"/>
                  <w:noWrap w:val="0"/>
                  <w:vAlign w:val="center"/>
                </w:tcPr>
                <w:p w14:paraId="2019800F">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r>
            <w:tr w14:paraId="2B61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78" w:hRule="atLeast"/>
                <w:jc w:val="center"/>
              </w:trPr>
              <w:tc>
                <w:tcPr>
                  <w:tcW w:w="659" w:type="dxa"/>
                  <w:noWrap w:val="0"/>
                  <w:vAlign w:val="center"/>
                </w:tcPr>
                <w:p w14:paraId="6226CB80">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2184～2176m</w:t>
                  </w:r>
                </w:p>
              </w:tc>
              <w:tc>
                <w:tcPr>
                  <w:tcW w:w="500" w:type="dxa"/>
                  <w:noWrap w:val="0"/>
                  <w:vAlign w:val="center"/>
                </w:tcPr>
                <w:p w14:paraId="484CA29F">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39.21 </w:t>
                  </w:r>
                </w:p>
              </w:tc>
              <w:tc>
                <w:tcPr>
                  <w:tcW w:w="613" w:type="dxa"/>
                  <w:noWrap w:val="0"/>
                  <w:vAlign w:val="center"/>
                </w:tcPr>
                <w:p w14:paraId="551862C1">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15.81 </w:t>
                  </w:r>
                </w:p>
              </w:tc>
              <w:tc>
                <w:tcPr>
                  <w:tcW w:w="475" w:type="dxa"/>
                  <w:noWrap w:val="0"/>
                  <w:vAlign w:val="center"/>
                </w:tcPr>
                <w:p w14:paraId="6C08A620">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0.29</w:t>
                  </w:r>
                </w:p>
              </w:tc>
              <w:tc>
                <w:tcPr>
                  <w:tcW w:w="575" w:type="dxa"/>
                  <w:noWrap w:val="0"/>
                  <w:vAlign w:val="center"/>
                </w:tcPr>
                <w:p w14:paraId="23D047BC">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16.10</w:t>
                  </w:r>
                </w:p>
              </w:tc>
              <w:tc>
                <w:tcPr>
                  <w:tcW w:w="512" w:type="dxa"/>
                  <w:noWrap w:val="0"/>
                  <w:vAlign w:val="center"/>
                </w:tcPr>
                <w:p w14:paraId="4E10BEC7">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kern w:val="0"/>
                      <w:sz w:val="18"/>
                      <w:szCs w:val="18"/>
                      <w:lang w:bidi="ar"/>
                    </w:rPr>
                  </w:pPr>
                  <w:r>
                    <w:rPr>
                      <w:rFonts w:hint="default" w:ascii="Times New Roman" w:hAnsi="Times New Roman" w:cs="Times New Roman"/>
                      <w:color w:val="auto"/>
                      <w:kern w:val="0"/>
                      <w:sz w:val="18"/>
                      <w:szCs w:val="18"/>
                      <w:lang w:bidi="ar"/>
                    </w:rPr>
                    <w:t>采剥</w:t>
                  </w:r>
                </w:p>
              </w:tc>
              <w:tc>
                <w:tcPr>
                  <w:tcW w:w="463" w:type="dxa"/>
                  <w:noWrap w:val="0"/>
                  <w:vAlign w:val="center"/>
                </w:tcPr>
                <w:p w14:paraId="47B2615A">
                  <w:pPr>
                    <w:keepNext w:val="0"/>
                    <w:keepLines w:val="0"/>
                    <w:pageBreakBefore w:val="0"/>
                    <w:kinsoku/>
                    <w:wordWrap/>
                    <w:overflowPunct/>
                    <w:topLinePunct w:val="0"/>
                    <w:autoSpaceDE/>
                    <w:autoSpaceDN w:val="0"/>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p>
              </w:tc>
              <w:tc>
                <w:tcPr>
                  <w:tcW w:w="425" w:type="dxa"/>
                  <w:noWrap w:val="0"/>
                  <w:vAlign w:val="center"/>
                </w:tcPr>
                <w:p w14:paraId="1B75DE85">
                  <w:pPr>
                    <w:keepNext w:val="0"/>
                    <w:keepLines w:val="0"/>
                    <w:pageBreakBefore w:val="0"/>
                    <w:kinsoku/>
                    <w:wordWrap/>
                    <w:overflowPunct/>
                    <w:topLinePunct w:val="0"/>
                    <w:autoSpaceDE/>
                    <w:autoSpaceDN w:val="0"/>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p>
              </w:tc>
              <w:tc>
                <w:tcPr>
                  <w:tcW w:w="462" w:type="dxa"/>
                  <w:noWrap w:val="0"/>
                  <w:vAlign w:val="center"/>
                </w:tcPr>
                <w:p w14:paraId="72E73979">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4.40</w:t>
                  </w:r>
                </w:p>
              </w:tc>
              <w:tc>
                <w:tcPr>
                  <w:tcW w:w="488" w:type="dxa"/>
                  <w:noWrap w:val="0"/>
                  <w:vAlign w:val="center"/>
                </w:tcPr>
                <w:p w14:paraId="7D0E6C6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0.05</w:t>
                  </w:r>
                </w:p>
              </w:tc>
              <w:tc>
                <w:tcPr>
                  <w:tcW w:w="475" w:type="dxa"/>
                  <w:noWrap w:val="0"/>
                  <w:vAlign w:val="center"/>
                </w:tcPr>
                <w:p w14:paraId="30955628">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11.41</w:t>
                  </w:r>
                </w:p>
              </w:tc>
              <w:tc>
                <w:tcPr>
                  <w:tcW w:w="537" w:type="dxa"/>
                  <w:noWrap w:val="0"/>
                  <w:vAlign w:val="center"/>
                </w:tcPr>
                <w:p w14:paraId="456E33E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0.24</w:t>
                  </w:r>
                </w:p>
              </w:tc>
              <w:tc>
                <w:tcPr>
                  <w:tcW w:w="438" w:type="dxa"/>
                  <w:noWrap w:val="0"/>
                  <w:vAlign w:val="center"/>
                </w:tcPr>
                <w:p w14:paraId="4CFB88AA">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eastAsia="宋体" w:cs="Times New Roman"/>
                      <w:color w:val="auto"/>
                      <w:sz w:val="18"/>
                      <w:szCs w:val="18"/>
                      <w:lang w:val="en-US" w:eastAsia="zh-CN"/>
                    </w:rPr>
                  </w:pPr>
                </w:p>
              </w:tc>
              <w:tc>
                <w:tcPr>
                  <w:tcW w:w="425" w:type="dxa"/>
                  <w:noWrap w:val="0"/>
                  <w:vAlign w:val="center"/>
                </w:tcPr>
                <w:p w14:paraId="3C046EB1">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62" w:type="dxa"/>
                  <w:noWrap w:val="0"/>
                  <w:vAlign w:val="center"/>
                </w:tcPr>
                <w:p w14:paraId="0F62D964">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26" w:type="dxa"/>
                  <w:noWrap w:val="0"/>
                  <w:vAlign w:val="center"/>
                </w:tcPr>
                <w:p w14:paraId="35C78457">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r>
            <w:tr w14:paraId="0BBD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5" w:hRule="atLeast"/>
                <w:jc w:val="center"/>
              </w:trPr>
              <w:tc>
                <w:tcPr>
                  <w:tcW w:w="659" w:type="dxa"/>
                  <w:noWrap w:val="0"/>
                  <w:vAlign w:val="center"/>
                </w:tcPr>
                <w:p w14:paraId="221CE57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2176～2168m</w:t>
                  </w:r>
                </w:p>
              </w:tc>
              <w:tc>
                <w:tcPr>
                  <w:tcW w:w="500" w:type="dxa"/>
                  <w:noWrap w:val="0"/>
                  <w:vAlign w:val="center"/>
                </w:tcPr>
                <w:p w14:paraId="4F8DDBDE">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44.06 </w:t>
                  </w:r>
                </w:p>
              </w:tc>
              <w:tc>
                <w:tcPr>
                  <w:tcW w:w="613" w:type="dxa"/>
                  <w:noWrap w:val="0"/>
                  <w:vAlign w:val="center"/>
                </w:tcPr>
                <w:p w14:paraId="63C91943">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17.76 </w:t>
                  </w:r>
                </w:p>
              </w:tc>
              <w:tc>
                <w:tcPr>
                  <w:tcW w:w="475" w:type="dxa"/>
                  <w:noWrap w:val="0"/>
                  <w:vAlign w:val="center"/>
                </w:tcPr>
                <w:p w14:paraId="0789BD2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0.24</w:t>
                  </w:r>
                </w:p>
              </w:tc>
              <w:tc>
                <w:tcPr>
                  <w:tcW w:w="575" w:type="dxa"/>
                  <w:noWrap w:val="0"/>
                  <w:vAlign w:val="center"/>
                </w:tcPr>
                <w:p w14:paraId="0C4B2321">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18.00</w:t>
                  </w:r>
                </w:p>
              </w:tc>
              <w:tc>
                <w:tcPr>
                  <w:tcW w:w="512" w:type="dxa"/>
                  <w:noWrap w:val="0"/>
                  <w:vAlign w:val="center"/>
                </w:tcPr>
                <w:p w14:paraId="74495B36">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kern w:val="0"/>
                      <w:sz w:val="18"/>
                      <w:szCs w:val="18"/>
                      <w:lang w:bidi="ar"/>
                    </w:rPr>
                  </w:pPr>
                  <w:r>
                    <w:rPr>
                      <w:rFonts w:hint="default" w:ascii="Times New Roman" w:hAnsi="Times New Roman" w:cs="Times New Roman"/>
                      <w:color w:val="auto"/>
                      <w:kern w:val="0"/>
                      <w:sz w:val="18"/>
                      <w:szCs w:val="18"/>
                      <w:lang w:bidi="ar"/>
                    </w:rPr>
                    <w:t>采剥</w:t>
                  </w:r>
                </w:p>
              </w:tc>
              <w:tc>
                <w:tcPr>
                  <w:tcW w:w="463" w:type="dxa"/>
                  <w:noWrap w:val="0"/>
                  <w:vAlign w:val="center"/>
                </w:tcPr>
                <w:p w14:paraId="45559C6A">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25" w:type="dxa"/>
                  <w:noWrap w:val="0"/>
                  <w:vAlign w:val="center"/>
                </w:tcPr>
                <w:p w14:paraId="7E193BCC">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62" w:type="dxa"/>
                  <w:noWrap w:val="0"/>
                  <w:vAlign w:val="center"/>
                </w:tcPr>
                <w:p w14:paraId="2960C37B">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eastAsia="宋体" w:cs="Times New Roman"/>
                      <w:color w:val="auto"/>
                      <w:sz w:val="18"/>
                      <w:szCs w:val="18"/>
                      <w:lang w:val="en-US" w:eastAsia="zh-CN"/>
                    </w:rPr>
                  </w:pPr>
                </w:p>
              </w:tc>
              <w:tc>
                <w:tcPr>
                  <w:tcW w:w="488" w:type="dxa"/>
                  <w:noWrap w:val="0"/>
                  <w:vAlign w:val="center"/>
                </w:tcPr>
                <w:p w14:paraId="315EC209">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eastAsia="宋体" w:cs="Times New Roman"/>
                      <w:color w:val="auto"/>
                      <w:sz w:val="18"/>
                      <w:szCs w:val="18"/>
                      <w:lang w:val="en-US" w:eastAsia="zh-CN"/>
                    </w:rPr>
                  </w:pPr>
                </w:p>
              </w:tc>
              <w:tc>
                <w:tcPr>
                  <w:tcW w:w="475" w:type="dxa"/>
                  <w:noWrap w:val="0"/>
                  <w:vAlign w:val="center"/>
                </w:tcPr>
                <w:p w14:paraId="02D6C38C">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8.75</w:t>
                  </w:r>
                </w:p>
              </w:tc>
              <w:tc>
                <w:tcPr>
                  <w:tcW w:w="537" w:type="dxa"/>
                  <w:noWrap w:val="0"/>
                  <w:vAlign w:val="center"/>
                </w:tcPr>
                <w:p w14:paraId="69272438">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0.11</w:t>
                  </w:r>
                </w:p>
              </w:tc>
              <w:tc>
                <w:tcPr>
                  <w:tcW w:w="438" w:type="dxa"/>
                  <w:noWrap w:val="0"/>
                  <w:vAlign w:val="center"/>
                </w:tcPr>
                <w:p w14:paraId="62F6ECA5">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9.01</w:t>
                  </w:r>
                </w:p>
              </w:tc>
              <w:tc>
                <w:tcPr>
                  <w:tcW w:w="425" w:type="dxa"/>
                  <w:noWrap w:val="0"/>
                  <w:vAlign w:val="center"/>
                </w:tcPr>
                <w:p w14:paraId="081421BE">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0.13</w:t>
                  </w:r>
                </w:p>
              </w:tc>
              <w:tc>
                <w:tcPr>
                  <w:tcW w:w="462" w:type="dxa"/>
                  <w:noWrap w:val="0"/>
                  <w:vAlign w:val="center"/>
                </w:tcPr>
                <w:p w14:paraId="11B6FD4F">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eastAsia="宋体" w:cs="Times New Roman"/>
                      <w:color w:val="auto"/>
                      <w:sz w:val="18"/>
                      <w:szCs w:val="18"/>
                      <w:lang w:val="en-US" w:eastAsia="zh-CN"/>
                    </w:rPr>
                  </w:pPr>
                </w:p>
              </w:tc>
              <w:tc>
                <w:tcPr>
                  <w:tcW w:w="426" w:type="dxa"/>
                  <w:noWrap w:val="0"/>
                  <w:vAlign w:val="center"/>
                </w:tcPr>
                <w:p w14:paraId="3146F4F2">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eastAsia="宋体" w:cs="Times New Roman"/>
                      <w:color w:val="auto"/>
                      <w:sz w:val="18"/>
                      <w:szCs w:val="18"/>
                      <w:lang w:val="en-US" w:eastAsia="zh-CN"/>
                    </w:rPr>
                  </w:pPr>
                </w:p>
              </w:tc>
            </w:tr>
            <w:tr w14:paraId="2A98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659" w:type="dxa"/>
                  <w:noWrap w:val="0"/>
                  <w:vAlign w:val="center"/>
                </w:tcPr>
                <w:p w14:paraId="3B81A751">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2168～2160m</w:t>
                  </w:r>
                </w:p>
              </w:tc>
              <w:tc>
                <w:tcPr>
                  <w:tcW w:w="500" w:type="dxa"/>
                  <w:noWrap w:val="0"/>
                  <w:vAlign w:val="center"/>
                </w:tcPr>
                <w:p w14:paraId="764113B3">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48.48 </w:t>
                  </w:r>
                </w:p>
              </w:tc>
              <w:tc>
                <w:tcPr>
                  <w:tcW w:w="613" w:type="dxa"/>
                  <w:noWrap w:val="0"/>
                  <w:vAlign w:val="center"/>
                </w:tcPr>
                <w:p w14:paraId="34C1BF7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19.55 </w:t>
                  </w:r>
                </w:p>
              </w:tc>
              <w:tc>
                <w:tcPr>
                  <w:tcW w:w="475" w:type="dxa"/>
                  <w:noWrap w:val="0"/>
                  <w:vAlign w:val="center"/>
                </w:tcPr>
                <w:p w14:paraId="52CEC086">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0.15</w:t>
                  </w:r>
                </w:p>
              </w:tc>
              <w:tc>
                <w:tcPr>
                  <w:tcW w:w="575" w:type="dxa"/>
                  <w:noWrap w:val="0"/>
                  <w:vAlign w:val="center"/>
                </w:tcPr>
                <w:p w14:paraId="7225014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19.70</w:t>
                  </w:r>
                </w:p>
              </w:tc>
              <w:tc>
                <w:tcPr>
                  <w:tcW w:w="512" w:type="dxa"/>
                  <w:noWrap w:val="0"/>
                  <w:vAlign w:val="center"/>
                </w:tcPr>
                <w:p w14:paraId="0439A9DA">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kern w:val="0"/>
                      <w:sz w:val="18"/>
                      <w:szCs w:val="18"/>
                      <w:lang w:bidi="ar"/>
                    </w:rPr>
                  </w:pPr>
                  <w:r>
                    <w:rPr>
                      <w:rFonts w:hint="default" w:ascii="Times New Roman" w:hAnsi="Times New Roman" w:cs="Times New Roman"/>
                      <w:color w:val="auto"/>
                      <w:kern w:val="0"/>
                      <w:sz w:val="18"/>
                      <w:szCs w:val="18"/>
                      <w:lang w:bidi="ar"/>
                    </w:rPr>
                    <w:t>采剥</w:t>
                  </w:r>
                </w:p>
              </w:tc>
              <w:tc>
                <w:tcPr>
                  <w:tcW w:w="463" w:type="dxa"/>
                  <w:noWrap w:val="0"/>
                  <w:vAlign w:val="center"/>
                </w:tcPr>
                <w:p w14:paraId="08ED16D4">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25" w:type="dxa"/>
                  <w:noWrap w:val="0"/>
                  <w:vAlign w:val="center"/>
                </w:tcPr>
                <w:p w14:paraId="14D5A71C">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p>
              </w:tc>
              <w:tc>
                <w:tcPr>
                  <w:tcW w:w="462" w:type="dxa"/>
                  <w:noWrap w:val="0"/>
                  <w:vAlign w:val="center"/>
                </w:tcPr>
                <w:p w14:paraId="5F5635C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p>
              </w:tc>
              <w:tc>
                <w:tcPr>
                  <w:tcW w:w="488" w:type="dxa"/>
                  <w:noWrap w:val="0"/>
                  <w:vAlign w:val="center"/>
                </w:tcPr>
                <w:p w14:paraId="2A363078">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p>
              </w:tc>
              <w:tc>
                <w:tcPr>
                  <w:tcW w:w="475" w:type="dxa"/>
                  <w:noWrap w:val="0"/>
                  <w:vAlign w:val="center"/>
                </w:tcPr>
                <w:p w14:paraId="099E16D4">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p>
              </w:tc>
              <w:tc>
                <w:tcPr>
                  <w:tcW w:w="537" w:type="dxa"/>
                  <w:noWrap w:val="0"/>
                  <w:vAlign w:val="center"/>
                </w:tcPr>
                <w:p w14:paraId="3671FB7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p>
              </w:tc>
              <w:tc>
                <w:tcPr>
                  <w:tcW w:w="438" w:type="dxa"/>
                  <w:noWrap w:val="0"/>
                  <w:vAlign w:val="center"/>
                </w:tcPr>
                <w:p w14:paraId="3894BFFA">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11.15</w:t>
                  </w:r>
                </w:p>
              </w:tc>
              <w:tc>
                <w:tcPr>
                  <w:tcW w:w="425" w:type="dxa"/>
                  <w:noWrap w:val="0"/>
                  <w:vAlign w:val="center"/>
                </w:tcPr>
                <w:p w14:paraId="4A9E03F6">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0.09</w:t>
                  </w:r>
                </w:p>
              </w:tc>
              <w:tc>
                <w:tcPr>
                  <w:tcW w:w="462" w:type="dxa"/>
                  <w:noWrap w:val="0"/>
                  <w:vAlign w:val="center"/>
                </w:tcPr>
                <w:p w14:paraId="144289A3">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8.40</w:t>
                  </w:r>
                </w:p>
              </w:tc>
              <w:tc>
                <w:tcPr>
                  <w:tcW w:w="426" w:type="dxa"/>
                  <w:noWrap w:val="0"/>
                  <w:vAlign w:val="center"/>
                </w:tcPr>
                <w:p w14:paraId="3C7149AA">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0.06</w:t>
                  </w:r>
                </w:p>
              </w:tc>
            </w:tr>
            <w:tr w14:paraId="7B098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3" w:hRule="atLeast"/>
                <w:jc w:val="center"/>
              </w:trPr>
              <w:tc>
                <w:tcPr>
                  <w:tcW w:w="659" w:type="dxa"/>
                  <w:noWrap w:val="0"/>
                  <w:vAlign w:val="center"/>
                </w:tcPr>
                <w:p w14:paraId="5027B5D5">
                  <w:pPr>
                    <w:keepNext w:val="0"/>
                    <w:keepLines w:val="0"/>
                    <w:pageBreakBefore w:val="0"/>
                    <w:kinsoku/>
                    <w:wordWrap/>
                    <w:overflowPunct/>
                    <w:topLinePunct w:val="0"/>
                    <w:autoSpaceDE/>
                    <w:bidi w:val="0"/>
                    <w:adjustRightInd w:val="0"/>
                    <w:snapToGrid w:val="0"/>
                    <w:spacing w:line="240" w:lineRule="auto"/>
                    <w:ind w:firstLine="0" w:firstLineChars="0"/>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合  计</w:t>
                  </w:r>
                </w:p>
              </w:tc>
              <w:tc>
                <w:tcPr>
                  <w:tcW w:w="500" w:type="dxa"/>
                  <w:noWrap w:val="0"/>
                  <w:vAlign w:val="center"/>
                </w:tcPr>
                <w:p w14:paraId="64D34EAC">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195.64 </w:t>
                  </w:r>
                </w:p>
              </w:tc>
              <w:tc>
                <w:tcPr>
                  <w:tcW w:w="613" w:type="dxa"/>
                  <w:noWrap w:val="0"/>
                  <w:vAlign w:val="center"/>
                </w:tcPr>
                <w:p w14:paraId="379BEFE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 xml:space="preserve">78.88 </w:t>
                  </w:r>
                </w:p>
              </w:tc>
              <w:tc>
                <w:tcPr>
                  <w:tcW w:w="475" w:type="dxa"/>
                  <w:noWrap w:val="0"/>
                  <w:vAlign w:val="center"/>
                </w:tcPr>
                <w:p w14:paraId="76AB622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1.25</w:t>
                  </w:r>
                </w:p>
              </w:tc>
              <w:tc>
                <w:tcPr>
                  <w:tcW w:w="575" w:type="dxa"/>
                  <w:noWrap w:val="0"/>
                  <w:vAlign w:val="center"/>
                </w:tcPr>
                <w:p w14:paraId="00D74F2A">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80.13</w:t>
                  </w:r>
                </w:p>
              </w:tc>
              <w:tc>
                <w:tcPr>
                  <w:tcW w:w="512" w:type="dxa"/>
                  <w:noWrap w:val="0"/>
                  <w:vAlign w:val="center"/>
                </w:tcPr>
                <w:p w14:paraId="2CFFA724">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采剥</w:t>
                  </w:r>
                </w:p>
              </w:tc>
              <w:tc>
                <w:tcPr>
                  <w:tcW w:w="463" w:type="dxa"/>
                  <w:noWrap w:val="0"/>
                  <w:vAlign w:val="center"/>
                </w:tcPr>
                <w:p w14:paraId="677B26F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p>
              </w:tc>
              <w:tc>
                <w:tcPr>
                  <w:tcW w:w="425" w:type="dxa"/>
                  <w:noWrap w:val="0"/>
                  <w:vAlign w:val="center"/>
                </w:tcPr>
                <w:p w14:paraId="3C34C3F5">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p>
              </w:tc>
              <w:tc>
                <w:tcPr>
                  <w:tcW w:w="462" w:type="dxa"/>
                  <w:noWrap w:val="0"/>
                  <w:vAlign w:val="center"/>
                </w:tcPr>
                <w:p w14:paraId="7342B6D1">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p>
              </w:tc>
              <w:tc>
                <w:tcPr>
                  <w:tcW w:w="488" w:type="dxa"/>
                  <w:noWrap w:val="0"/>
                  <w:vAlign w:val="center"/>
                </w:tcPr>
                <w:p w14:paraId="3574D939">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sz w:val="18"/>
                      <w:szCs w:val="18"/>
                      <w:lang w:val="en-US" w:eastAsia="zh-CN"/>
                    </w:rPr>
                  </w:pPr>
                </w:p>
              </w:tc>
              <w:tc>
                <w:tcPr>
                  <w:tcW w:w="475" w:type="dxa"/>
                  <w:noWrap w:val="0"/>
                  <w:vAlign w:val="center"/>
                </w:tcPr>
                <w:p w14:paraId="323B383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537" w:type="dxa"/>
                  <w:noWrap w:val="0"/>
                  <w:vAlign w:val="center"/>
                </w:tcPr>
                <w:p w14:paraId="24791E48">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38" w:type="dxa"/>
                  <w:noWrap w:val="0"/>
                  <w:vAlign w:val="center"/>
                </w:tcPr>
                <w:p w14:paraId="27D6193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25" w:type="dxa"/>
                  <w:noWrap w:val="0"/>
                  <w:vAlign w:val="center"/>
                </w:tcPr>
                <w:p w14:paraId="3F06EBC8">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62" w:type="dxa"/>
                  <w:noWrap w:val="0"/>
                  <w:vAlign w:val="center"/>
                </w:tcPr>
                <w:p w14:paraId="0434D1B9">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26" w:type="dxa"/>
                  <w:noWrap w:val="0"/>
                  <w:vAlign w:val="center"/>
                </w:tcPr>
                <w:p w14:paraId="6170946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r>
            <w:tr w14:paraId="0497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6" w:hRule="atLeast"/>
                <w:jc w:val="center"/>
              </w:trPr>
              <w:tc>
                <w:tcPr>
                  <w:tcW w:w="3334" w:type="dxa"/>
                  <w:gridSpan w:val="6"/>
                  <w:noWrap w:val="0"/>
                  <w:vAlign w:val="center"/>
                </w:tcPr>
                <w:p w14:paraId="2712F513">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单位</w:t>
                  </w:r>
                </w:p>
              </w:tc>
              <w:tc>
                <w:tcPr>
                  <w:tcW w:w="463" w:type="dxa"/>
                  <w:noWrap w:val="0"/>
                  <w:vAlign w:val="center"/>
                </w:tcPr>
                <w:p w14:paraId="64D7560D">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万m³</w:t>
                  </w:r>
                </w:p>
              </w:tc>
              <w:tc>
                <w:tcPr>
                  <w:tcW w:w="425" w:type="dxa"/>
                  <w:noWrap w:val="0"/>
                  <w:vAlign w:val="center"/>
                </w:tcPr>
                <w:p w14:paraId="6482951A">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万m³</w:t>
                  </w:r>
                </w:p>
              </w:tc>
              <w:tc>
                <w:tcPr>
                  <w:tcW w:w="462" w:type="dxa"/>
                  <w:noWrap w:val="0"/>
                  <w:vAlign w:val="center"/>
                </w:tcPr>
                <w:p w14:paraId="224C9A7D">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万m³</w:t>
                  </w:r>
                </w:p>
              </w:tc>
              <w:tc>
                <w:tcPr>
                  <w:tcW w:w="488" w:type="dxa"/>
                  <w:noWrap w:val="0"/>
                  <w:vAlign w:val="center"/>
                </w:tcPr>
                <w:p w14:paraId="081DF34D">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万m³</w:t>
                  </w:r>
                </w:p>
              </w:tc>
              <w:tc>
                <w:tcPr>
                  <w:tcW w:w="475" w:type="dxa"/>
                  <w:noWrap w:val="0"/>
                  <w:vAlign w:val="center"/>
                </w:tcPr>
                <w:p w14:paraId="065E69F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万m³</w:t>
                  </w:r>
                </w:p>
              </w:tc>
              <w:tc>
                <w:tcPr>
                  <w:tcW w:w="537" w:type="dxa"/>
                  <w:noWrap w:val="0"/>
                  <w:vAlign w:val="center"/>
                </w:tcPr>
                <w:p w14:paraId="08021363">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万m³</w:t>
                  </w:r>
                </w:p>
              </w:tc>
              <w:tc>
                <w:tcPr>
                  <w:tcW w:w="438" w:type="dxa"/>
                  <w:noWrap w:val="0"/>
                  <w:vAlign w:val="center"/>
                </w:tcPr>
                <w:p w14:paraId="7A986945">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万m³</w:t>
                  </w:r>
                </w:p>
              </w:tc>
              <w:tc>
                <w:tcPr>
                  <w:tcW w:w="425" w:type="dxa"/>
                  <w:noWrap w:val="0"/>
                  <w:vAlign w:val="center"/>
                </w:tcPr>
                <w:p w14:paraId="472C14FD">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万m³</w:t>
                  </w:r>
                </w:p>
              </w:tc>
              <w:tc>
                <w:tcPr>
                  <w:tcW w:w="462" w:type="dxa"/>
                  <w:noWrap w:val="0"/>
                  <w:vAlign w:val="center"/>
                </w:tcPr>
                <w:p w14:paraId="2489FC5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万m³</w:t>
                  </w:r>
                </w:p>
              </w:tc>
              <w:tc>
                <w:tcPr>
                  <w:tcW w:w="426" w:type="dxa"/>
                  <w:noWrap w:val="0"/>
                  <w:vAlign w:val="center"/>
                </w:tcPr>
                <w:p w14:paraId="2A8C98B3">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万m³</w:t>
                  </w:r>
                </w:p>
              </w:tc>
            </w:tr>
            <w:tr w14:paraId="6294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4" w:hRule="atLeast"/>
                <w:jc w:val="center"/>
              </w:trPr>
              <w:tc>
                <w:tcPr>
                  <w:tcW w:w="3334" w:type="dxa"/>
                  <w:gridSpan w:val="6"/>
                  <w:noWrap w:val="0"/>
                  <w:vAlign w:val="center"/>
                </w:tcPr>
                <w:p w14:paraId="2D30C46C">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采矿量</w:t>
                  </w:r>
                </w:p>
              </w:tc>
              <w:tc>
                <w:tcPr>
                  <w:tcW w:w="463" w:type="dxa"/>
                  <w:noWrap w:val="0"/>
                  <w:vAlign w:val="center"/>
                </w:tcPr>
                <w:p w14:paraId="1446C0D6">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10.00</w:t>
                  </w:r>
                </w:p>
              </w:tc>
              <w:tc>
                <w:tcPr>
                  <w:tcW w:w="425" w:type="dxa"/>
                  <w:noWrap w:val="0"/>
                  <w:vAlign w:val="center"/>
                </w:tcPr>
                <w:p w14:paraId="74A0E22D">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62" w:type="dxa"/>
                  <w:noWrap w:val="0"/>
                  <w:vAlign w:val="center"/>
                </w:tcPr>
                <w:p w14:paraId="0AC2ABE5">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20.16</w:t>
                  </w:r>
                </w:p>
              </w:tc>
              <w:tc>
                <w:tcPr>
                  <w:tcW w:w="488" w:type="dxa"/>
                  <w:noWrap w:val="0"/>
                  <w:vAlign w:val="center"/>
                </w:tcPr>
                <w:p w14:paraId="421A3C3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75" w:type="dxa"/>
                  <w:noWrap w:val="0"/>
                  <w:vAlign w:val="center"/>
                </w:tcPr>
                <w:p w14:paraId="10946A0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20.16</w:t>
                  </w:r>
                </w:p>
              </w:tc>
              <w:tc>
                <w:tcPr>
                  <w:tcW w:w="537" w:type="dxa"/>
                  <w:noWrap w:val="0"/>
                  <w:vAlign w:val="center"/>
                </w:tcPr>
                <w:p w14:paraId="44272898">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38" w:type="dxa"/>
                  <w:noWrap w:val="0"/>
                  <w:vAlign w:val="center"/>
                </w:tcPr>
                <w:p w14:paraId="7F8A8551">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20.16</w:t>
                  </w:r>
                </w:p>
              </w:tc>
              <w:tc>
                <w:tcPr>
                  <w:tcW w:w="425" w:type="dxa"/>
                  <w:noWrap w:val="0"/>
                  <w:vAlign w:val="center"/>
                </w:tcPr>
                <w:p w14:paraId="23AF21A5">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62" w:type="dxa"/>
                  <w:noWrap w:val="0"/>
                  <w:vAlign w:val="center"/>
                </w:tcPr>
                <w:p w14:paraId="7CD6D5D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8.40</w:t>
                  </w:r>
                </w:p>
              </w:tc>
              <w:tc>
                <w:tcPr>
                  <w:tcW w:w="426" w:type="dxa"/>
                  <w:noWrap w:val="0"/>
                  <w:vAlign w:val="center"/>
                </w:tcPr>
                <w:p w14:paraId="2A50426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r>
            <w:tr w14:paraId="443D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1" w:hRule="atLeast"/>
                <w:jc w:val="center"/>
              </w:trPr>
              <w:tc>
                <w:tcPr>
                  <w:tcW w:w="3334" w:type="dxa"/>
                  <w:gridSpan w:val="6"/>
                  <w:noWrap w:val="0"/>
                  <w:vAlign w:val="center"/>
                </w:tcPr>
                <w:p w14:paraId="15BAEF98">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剥岩量</w:t>
                  </w:r>
                </w:p>
              </w:tc>
              <w:tc>
                <w:tcPr>
                  <w:tcW w:w="463" w:type="dxa"/>
                  <w:noWrap w:val="0"/>
                  <w:vAlign w:val="center"/>
                </w:tcPr>
                <w:p w14:paraId="462FD40C">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25" w:type="dxa"/>
                  <w:noWrap w:val="0"/>
                  <w:vAlign w:val="center"/>
                </w:tcPr>
                <w:p w14:paraId="175A71E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0.33</w:t>
                  </w:r>
                </w:p>
              </w:tc>
              <w:tc>
                <w:tcPr>
                  <w:tcW w:w="462" w:type="dxa"/>
                  <w:noWrap w:val="0"/>
                  <w:vAlign w:val="center"/>
                </w:tcPr>
                <w:p w14:paraId="16C46357">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88" w:type="dxa"/>
                  <w:noWrap w:val="0"/>
                  <w:vAlign w:val="center"/>
                </w:tcPr>
                <w:p w14:paraId="77DEAB3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0.39</w:t>
                  </w:r>
                </w:p>
              </w:tc>
              <w:tc>
                <w:tcPr>
                  <w:tcW w:w="475" w:type="dxa"/>
                  <w:noWrap w:val="0"/>
                  <w:vAlign w:val="center"/>
                </w:tcPr>
                <w:p w14:paraId="17F4D51F">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537" w:type="dxa"/>
                  <w:noWrap w:val="0"/>
                  <w:vAlign w:val="center"/>
                </w:tcPr>
                <w:p w14:paraId="70FC377E">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0.35</w:t>
                  </w:r>
                </w:p>
              </w:tc>
              <w:tc>
                <w:tcPr>
                  <w:tcW w:w="438" w:type="dxa"/>
                  <w:noWrap w:val="0"/>
                  <w:vAlign w:val="center"/>
                </w:tcPr>
                <w:p w14:paraId="075672B1">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25" w:type="dxa"/>
                  <w:noWrap w:val="0"/>
                  <w:vAlign w:val="center"/>
                </w:tcPr>
                <w:p w14:paraId="1E2AD9D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0.21</w:t>
                  </w:r>
                </w:p>
              </w:tc>
              <w:tc>
                <w:tcPr>
                  <w:tcW w:w="462" w:type="dxa"/>
                  <w:noWrap w:val="0"/>
                  <w:vAlign w:val="center"/>
                </w:tcPr>
                <w:p w14:paraId="124FCF90">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p>
              </w:tc>
              <w:tc>
                <w:tcPr>
                  <w:tcW w:w="426" w:type="dxa"/>
                  <w:noWrap w:val="0"/>
                  <w:vAlign w:val="center"/>
                </w:tcPr>
                <w:p w14:paraId="000E2FF1">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0.06</w:t>
                  </w:r>
                </w:p>
              </w:tc>
            </w:tr>
            <w:tr w14:paraId="0F60F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3334" w:type="dxa"/>
                  <w:gridSpan w:val="6"/>
                  <w:noWrap w:val="0"/>
                  <w:vAlign w:val="center"/>
                </w:tcPr>
                <w:p w14:paraId="06751253">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采剥总量</w:t>
                  </w:r>
                </w:p>
              </w:tc>
              <w:tc>
                <w:tcPr>
                  <w:tcW w:w="888" w:type="dxa"/>
                  <w:gridSpan w:val="2"/>
                  <w:noWrap w:val="0"/>
                  <w:vAlign w:val="center"/>
                </w:tcPr>
                <w:p w14:paraId="6EA1AAAC">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10.33</w:t>
                  </w:r>
                </w:p>
              </w:tc>
              <w:tc>
                <w:tcPr>
                  <w:tcW w:w="950" w:type="dxa"/>
                  <w:gridSpan w:val="2"/>
                  <w:noWrap w:val="0"/>
                  <w:vAlign w:val="center"/>
                </w:tcPr>
                <w:p w14:paraId="680AB46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20.55</w:t>
                  </w:r>
                </w:p>
              </w:tc>
              <w:tc>
                <w:tcPr>
                  <w:tcW w:w="1012" w:type="dxa"/>
                  <w:gridSpan w:val="2"/>
                  <w:noWrap w:val="0"/>
                  <w:vAlign w:val="center"/>
                </w:tcPr>
                <w:p w14:paraId="1095F6AB">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20.51</w:t>
                  </w:r>
                </w:p>
              </w:tc>
              <w:tc>
                <w:tcPr>
                  <w:tcW w:w="863" w:type="dxa"/>
                  <w:gridSpan w:val="2"/>
                  <w:noWrap w:val="0"/>
                  <w:vAlign w:val="center"/>
                </w:tcPr>
                <w:p w14:paraId="0C04267E">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20.37</w:t>
                  </w:r>
                </w:p>
              </w:tc>
              <w:tc>
                <w:tcPr>
                  <w:tcW w:w="888" w:type="dxa"/>
                  <w:gridSpan w:val="2"/>
                  <w:noWrap w:val="0"/>
                  <w:vAlign w:val="center"/>
                </w:tcPr>
                <w:p w14:paraId="60E83F2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8.46</w:t>
                  </w:r>
                </w:p>
              </w:tc>
            </w:tr>
            <w:tr w14:paraId="0290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9" w:hRule="atLeast"/>
                <w:jc w:val="center"/>
              </w:trPr>
              <w:tc>
                <w:tcPr>
                  <w:tcW w:w="3334" w:type="dxa"/>
                  <w:gridSpan w:val="6"/>
                  <w:noWrap w:val="0"/>
                  <w:vAlign w:val="center"/>
                </w:tcPr>
                <w:p w14:paraId="0548C714">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kern w:val="0"/>
                      <w:sz w:val="18"/>
                      <w:szCs w:val="18"/>
                      <w:lang w:bidi="ar"/>
                    </w:rPr>
                    <w:t>生产采剥比（m³/m³）</w:t>
                  </w:r>
                </w:p>
              </w:tc>
              <w:tc>
                <w:tcPr>
                  <w:tcW w:w="888" w:type="dxa"/>
                  <w:gridSpan w:val="2"/>
                  <w:noWrap w:val="0"/>
                  <w:vAlign w:val="center"/>
                </w:tcPr>
                <w:p w14:paraId="71EC7052">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0.033</w:t>
                  </w:r>
                </w:p>
              </w:tc>
              <w:tc>
                <w:tcPr>
                  <w:tcW w:w="950" w:type="dxa"/>
                  <w:gridSpan w:val="2"/>
                  <w:noWrap w:val="0"/>
                  <w:vAlign w:val="center"/>
                </w:tcPr>
                <w:p w14:paraId="669EB4F3">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0.019</w:t>
                  </w:r>
                </w:p>
              </w:tc>
              <w:tc>
                <w:tcPr>
                  <w:tcW w:w="1012" w:type="dxa"/>
                  <w:gridSpan w:val="2"/>
                  <w:noWrap w:val="0"/>
                  <w:vAlign w:val="center"/>
                </w:tcPr>
                <w:p w14:paraId="176E0596">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0.017</w:t>
                  </w:r>
                </w:p>
              </w:tc>
              <w:tc>
                <w:tcPr>
                  <w:tcW w:w="863" w:type="dxa"/>
                  <w:gridSpan w:val="2"/>
                  <w:noWrap w:val="0"/>
                  <w:vAlign w:val="center"/>
                </w:tcPr>
                <w:p w14:paraId="74EA747C">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0.010</w:t>
                  </w:r>
                </w:p>
              </w:tc>
              <w:tc>
                <w:tcPr>
                  <w:tcW w:w="888" w:type="dxa"/>
                  <w:gridSpan w:val="2"/>
                  <w:noWrap w:val="0"/>
                  <w:vAlign w:val="center"/>
                </w:tcPr>
                <w:p w14:paraId="67690C06">
                  <w:pPr>
                    <w:keepNext w:val="0"/>
                    <w:keepLines w:val="0"/>
                    <w:pageBreakBefore w:val="0"/>
                    <w:widowControl/>
                    <w:kinsoku/>
                    <w:wordWrap/>
                    <w:overflowPunct/>
                    <w:topLinePunct w:val="0"/>
                    <w:autoSpaceDE/>
                    <w:bidi w:val="0"/>
                    <w:adjustRightInd w:val="0"/>
                    <w:snapToGrid w:val="0"/>
                    <w:spacing w:line="240" w:lineRule="auto"/>
                    <w:ind w:firstLine="0" w:firstLineChars="0"/>
                    <w:jc w:val="center"/>
                    <w:textAlignment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0.071</w:t>
                  </w:r>
                </w:p>
              </w:tc>
            </w:tr>
          </w:tbl>
          <w:p w14:paraId="755F0A97">
            <w:pPr>
              <w:spacing w:before="156" w:beforeLines="50"/>
              <w:ind w:firstLine="482"/>
              <w:rPr>
                <w:rFonts w:ascii="Times New Roman" w:hAnsi="Times New Roman"/>
                <w:b/>
                <w:bCs/>
                <w:caps w:val="0"/>
                <w:smallCaps w:val="0"/>
                <w:color w:val="auto"/>
                <w:highlight w:val="none"/>
              </w:rPr>
            </w:pPr>
            <w:r>
              <w:rPr>
                <w:rFonts w:hint="eastAsia"/>
                <w:b/>
                <w:bCs/>
                <w:color w:val="auto"/>
                <w:highlight w:val="none"/>
              </w:rPr>
              <w:t>14</w:t>
            </w:r>
            <w:r>
              <w:rPr>
                <w:b/>
                <w:bCs/>
                <w:color w:val="auto"/>
                <w:highlight w:val="none"/>
              </w:rPr>
              <w:t>、</w:t>
            </w:r>
            <w:r>
              <w:rPr>
                <w:rFonts w:ascii="Times New Roman" w:hAnsi="Times New Roman"/>
                <w:b/>
                <w:bCs/>
                <w:caps w:val="0"/>
                <w:smallCaps w:val="0"/>
                <w:color w:val="auto"/>
                <w:highlight w:val="none"/>
              </w:rPr>
              <w:t>公用工程</w:t>
            </w:r>
          </w:p>
          <w:p w14:paraId="4E917F38">
            <w:pPr>
              <w:adjustRightInd w:val="0"/>
              <w:snapToGrid w:val="0"/>
              <w:ind w:firstLine="480"/>
              <w:rPr>
                <w:rFonts w:hint="eastAsia" w:ascii="Times New Roman" w:hAnsi="Times New Roman" w:eastAsia="宋体" w:cs="Times New Roman"/>
                <w:caps w:val="0"/>
                <w:smallCaps w:val="0"/>
                <w:color w:val="auto"/>
                <w:highlight w:val="none"/>
                <w:lang w:val="en-US" w:eastAsia="zh-CN"/>
              </w:rPr>
            </w:pPr>
            <w:r>
              <w:rPr>
                <w:rFonts w:hint="default" w:ascii="Times New Roman" w:hAnsi="Times New Roman" w:cs="Times New Roman"/>
                <w:color w:val="auto"/>
                <w:sz w:val="24"/>
                <w:highlight w:val="none"/>
              </w:rPr>
              <w:t>项目</w:t>
            </w:r>
            <w:r>
              <w:rPr>
                <w:rFonts w:hint="default" w:ascii="Times New Roman" w:hAnsi="Times New Roman" w:eastAsia="宋体" w:cs="Times New Roman"/>
                <w:caps w:val="0"/>
                <w:smallCaps w:val="0"/>
                <w:color w:val="auto"/>
                <w:highlight w:val="none"/>
                <w:lang w:val="en-US" w:eastAsia="zh-CN"/>
              </w:rPr>
              <w:t>公用工程主要包括供电工程、供水工程、道路工程。</w:t>
            </w:r>
          </w:p>
          <w:p w14:paraId="715E1976">
            <w:pPr>
              <w:adjustRightInd w:val="0"/>
              <w:snapToGrid w:val="0"/>
              <w:ind w:firstLine="480"/>
              <w:rPr>
                <w:rFonts w:hint="eastAsia" w:ascii="Times New Roman" w:hAnsi="Times New Roman" w:eastAsia="宋体" w:cs="Times New Roman"/>
                <w:caps w:val="0"/>
                <w:smallCaps w:val="0"/>
                <w:color w:val="auto"/>
                <w:highlight w:val="none"/>
                <w:lang w:val="en-US" w:eastAsia="zh-CN"/>
              </w:rPr>
            </w:pPr>
            <w:r>
              <w:rPr>
                <w:rFonts w:hint="eastAsia" w:ascii="Times New Roman" w:hAnsi="Times New Roman" w:eastAsia="宋体" w:cs="Times New Roman"/>
                <w:caps w:val="0"/>
                <w:smallCaps w:val="0"/>
                <w:color w:val="auto"/>
                <w:highlight w:val="none"/>
                <w:lang w:val="en-US" w:eastAsia="zh-CN"/>
              </w:rPr>
              <w:t>（1）</w:t>
            </w:r>
            <w:r>
              <w:rPr>
                <w:rFonts w:hint="default" w:ascii="Times New Roman" w:hAnsi="Times New Roman" w:eastAsia="宋体" w:cs="Times New Roman"/>
                <w:caps w:val="0"/>
                <w:smallCaps w:val="0"/>
                <w:color w:val="auto"/>
                <w:highlight w:val="none"/>
                <w:lang w:val="en-US" w:eastAsia="zh-CN"/>
              </w:rPr>
              <w:t>供电工程</w:t>
            </w:r>
          </w:p>
          <w:p w14:paraId="5049C92B">
            <w:pPr>
              <w:adjustRightInd w:val="0"/>
              <w:snapToGrid w:val="0"/>
              <w:ind w:firstLine="480"/>
              <w:rPr>
                <w:rFonts w:hint="default" w:ascii="Times New Roman" w:hAnsi="Times New Roman" w:eastAsia="宋体" w:cs="Times New Roman"/>
                <w:caps w:val="0"/>
                <w:smallCaps w:val="0"/>
                <w:color w:val="auto"/>
                <w:highlight w:val="none"/>
                <w:lang w:val="en-US" w:eastAsia="zh-CN"/>
              </w:rPr>
            </w:pPr>
            <w:r>
              <w:rPr>
                <w:rFonts w:hint="default" w:ascii="Times New Roman" w:hAnsi="Times New Roman" w:eastAsia="宋体" w:cs="Times New Roman"/>
                <w:caps w:val="0"/>
                <w:smallCaps w:val="0"/>
                <w:color w:val="auto"/>
                <w:highlight w:val="none"/>
                <w:lang w:val="en-US" w:eastAsia="zh-CN"/>
              </w:rPr>
              <w:t>项目用电使用乐朗村市政供电，</w:t>
            </w:r>
            <w:r>
              <w:rPr>
                <w:rFonts w:hint="eastAsia" w:ascii="Times New Roman" w:hAnsi="Times New Roman" w:eastAsia="宋体" w:cs="Times New Roman"/>
                <w:caps w:val="0"/>
                <w:smallCaps w:val="0"/>
                <w:color w:val="auto"/>
                <w:highlight w:val="none"/>
                <w:lang w:val="en-US" w:eastAsia="zh-CN"/>
              </w:rPr>
              <w:t>厂区由一台800KVA变压器变压后供给工业用电和生活用电。</w:t>
            </w:r>
          </w:p>
          <w:p w14:paraId="57CB1B77">
            <w:pPr>
              <w:adjustRightInd w:val="0"/>
              <w:snapToGrid w:val="0"/>
              <w:ind w:firstLine="480"/>
              <w:rPr>
                <w:rFonts w:hint="default" w:ascii="Times New Roman" w:hAnsi="Times New Roman" w:eastAsia="宋体" w:cs="Times New Roman"/>
                <w:caps w:val="0"/>
                <w:smallCaps w:val="0"/>
                <w:color w:val="auto"/>
                <w:highlight w:val="none"/>
                <w:lang w:val="en-US" w:eastAsia="zh-CN"/>
              </w:rPr>
            </w:pPr>
            <w:r>
              <w:rPr>
                <w:rFonts w:hint="eastAsia" w:ascii="Times New Roman" w:hAnsi="Times New Roman" w:eastAsia="宋体" w:cs="Times New Roman"/>
                <w:caps w:val="0"/>
                <w:smallCaps w:val="0"/>
                <w:color w:val="auto"/>
                <w:highlight w:val="none"/>
                <w:lang w:val="en-US" w:eastAsia="zh-CN"/>
              </w:rPr>
              <w:t>（2）</w:t>
            </w:r>
            <w:r>
              <w:rPr>
                <w:rFonts w:hint="default" w:ascii="Times New Roman" w:hAnsi="Times New Roman" w:eastAsia="宋体" w:cs="Times New Roman"/>
                <w:caps w:val="0"/>
                <w:smallCaps w:val="0"/>
                <w:color w:val="auto"/>
                <w:highlight w:val="none"/>
                <w:lang w:val="en-US" w:eastAsia="zh-CN"/>
              </w:rPr>
              <w:t>供水工程</w:t>
            </w:r>
          </w:p>
          <w:p w14:paraId="5EE97BD8">
            <w:pPr>
              <w:adjustRightInd w:val="0"/>
              <w:snapToGrid w:val="0"/>
              <w:ind w:firstLine="480"/>
              <w:rPr>
                <w:rFonts w:hint="eastAsia" w:ascii="Times New Roman" w:hAnsi="Times New Roman" w:eastAsia="宋体" w:cs="Times New Roman"/>
                <w:caps w:val="0"/>
                <w:smallCaps w:val="0"/>
                <w:color w:val="auto"/>
                <w:highlight w:val="none"/>
                <w:lang w:val="en-US" w:eastAsia="zh-CN"/>
              </w:rPr>
            </w:pPr>
            <w:r>
              <w:rPr>
                <w:rFonts w:hint="eastAsia" w:ascii="Times New Roman" w:hAnsi="Times New Roman" w:eastAsia="宋体" w:cs="Times New Roman"/>
                <w:caps w:val="0"/>
                <w:smallCaps w:val="0"/>
                <w:color w:val="auto"/>
                <w:highlight w:val="none"/>
                <w:lang w:val="en-US" w:eastAsia="zh-CN"/>
              </w:rPr>
              <w:t>矿区生产用水以及生活用水均来自柯渡镇自来水。采用罐车运至矿区3个蓄水罐后供矿山生产生活及消防用水。</w:t>
            </w:r>
          </w:p>
          <w:p w14:paraId="30343BBA">
            <w:pPr>
              <w:adjustRightInd w:val="0"/>
              <w:snapToGrid w:val="0"/>
              <w:ind w:firstLine="480"/>
              <w:rPr>
                <w:rFonts w:hint="eastAsia" w:ascii="Times New Roman" w:hAnsi="Times New Roman" w:eastAsia="宋体" w:cs="Times New Roman"/>
                <w:caps w:val="0"/>
                <w:smallCaps w:val="0"/>
                <w:color w:val="auto"/>
                <w:highlight w:val="none"/>
                <w:lang w:val="en-US" w:eastAsia="zh-CN"/>
              </w:rPr>
            </w:pPr>
            <w:r>
              <w:rPr>
                <w:rFonts w:hint="eastAsia" w:ascii="Times New Roman" w:hAnsi="Times New Roman" w:eastAsia="宋体" w:cs="Times New Roman"/>
                <w:caps w:val="0"/>
                <w:smallCaps w:val="0"/>
                <w:color w:val="auto"/>
                <w:highlight w:val="none"/>
                <w:lang w:val="en-US" w:eastAsia="zh-CN"/>
              </w:rPr>
              <w:t>（3）道路工程</w:t>
            </w:r>
          </w:p>
          <w:p w14:paraId="033D9CBD">
            <w:pPr>
              <w:adjustRightInd w:val="0"/>
              <w:snapToGrid w:val="0"/>
              <w:ind w:firstLine="480"/>
              <w:rPr>
                <w:rFonts w:hint="eastAsia"/>
                <w:color w:val="auto"/>
                <w:lang w:eastAsia="zh-CN"/>
              </w:rPr>
            </w:pPr>
            <w:r>
              <w:rPr>
                <w:rFonts w:hint="eastAsia" w:ascii="Times New Roman" w:hAnsi="Times New Roman" w:eastAsia="宋体" w:cs="Times New Roman"/>
                <w:caps w:val="0"/>
                <w:smallCaps w:val="0"/>
                <w:color w:val="auto"/>
                <w:highlight w:val="none"/>
                <w:lang w:val="en-US" w:eastAsia="zh-CN"/>
              </w:rPr>
              <w:t>项目区进场道路依托自</w:t>
            </w:r>
            <w:r>
              <w:rPr>
                <w:rFonts w:hint="default" w:ascii="Times New Roman" w:hAnsi="Times New Roman" w:eastAsia="宋体" w:cs="Times New Roman"/>
                <w:caps w:val="0"/>
                <w:smallCaps w:val="0"/>
                <w:color w:val="auto"/>
                <w:highlight w:val="none"/>
                <w:lang w:val="en-US" w:eastAsia="zh-CN"/>
              </w:rPr>
              <w:t>项目区北侧</w:t>
            </w:r>
            <w:r>
              <w:rPr>
                <w:rFonts w:hint="eastAsia" w:ascii="Times New Roman" w:hAnsi="Times New Roman" w:eastAsia="宋体" w:cs="Times New Roman"/>
                <w:caps w:val="0"/>
                <w:smallCaps w:val="0"/>
                <w:color w:val="auto"/>
                <w:highlight w:val="none"/>
                <w:lang w:val="en-US" w:eastAsia="zh-CN"/>
              </w:rPr>
              <w:t>裨子田</w:t>
            </w:r>
            <w:r>
              <w:rPr>
                <w:rFonts w:hint="default" w:ascii="Times New Roman" w:hAnsi="Times New Roman" w:eastAsia="宋体" w:cs="Times New Roman"/>
                <w:caps w:val="0"/>
                <w:smallCaps w:val="0"/>
                <w:color w:val="auto"/>
                <w:highlight w:val="none"/>
                <w:lang w:val="en-US" w:eastAsia="zh-CN"/>
              </w:rPr>
              <w:t>村</w:t>
            </w:r>
            <w:r>
              <w:rPr>
                <w:rFonts w:hint="eastAsia" w:ascii="Times New Roman" w:hAnsi="Times New Roman" w:eastAsia="宋体" w:cs="Times New Roman"/>
                <w:caps w:val="0"/>
                <w:smallCaps w:val="0"/>
                <w:color w:val="auto"/>
                <w:highlight w:val="none"/>
                <w:lang w:val="en-US" w:eastAsia="zh-CN"/>
              </w:rPr>
              <w:t>已</w:t>
            </w:r>
            <w:r>
              <w:rPr>
                <w:rFonts w:hint="default" w:ascii="Times New Roman" w:hAnsi="Times New Roman" w:eastAsia="宋体" w:cs="Times New Roman"/>
                <w:caps w:val="0"/>
                <w:smallCaps w:val="0"/>
                <w:color w:val="auto"/>
                <w:highlight w:val="none"/>
                <w:lang w:val="en-US" w:eastAsia="zh-CN"/>
              </w:rPr>
              <w:t>修建</w:t>
            </w:r>
            <w:r>
              <w:rPr>
                <w:rFonts w:hint="eastAsia" w:ascii="Times New Roman" w:hAnsi="Times New Roman" w:eastAsia="宋体" w:cs="Times New Roman"/>
                <w:caps w:val="0"/>
                <w:smallCaps w:val="0"/>
                <w:color w:val="auto"/>
                <w:highlight w:val="none"/>
                <w:lang w:val="en-US" w:eastAsia="zh-CN"/>
              </w:rPr>
              <w:t>的森林防火通道，可直接通往</w:t>
            </w:r>
            <w:r>
              <w:rPr>
                <w:rFonts w:hint="default" w:ascii="Times New Roman" w:hAnsi="Times New Roman" w:eastAsia="宋体" w:cs="Times New Roman"/>
                <w:caps w:val="0"/>
                <w:smallCaps w:val="0"/>
                <w:color w:val="auto"/>
                <w:highlight w:val="none"/>
                <w:lang w:val="en-US" w:eastAsia="zh-CN"/>
              </w:rPr>
              <w:t>项目区工业场地，</w:t>
            </w:r>
            <w:r>
              <w:rPr>
                <w:rFonts w:hint="eastAsia" w:cs="Times New Roman"/>
                <w:caps w:val="0"/>
                <w:smallCaps w:val="0"/>
                <w:color w:val="auto"/>
                <w:highlight w:val="none"/>
                <w:lang w:val="en-US" w:eastAsia="zh-CN"/>
              </w:rPr>
              <w:t>办公生活区</w:t>
            </w:r>
            <w:r>
              <w:rPr>
                <w:rFonts w:hint="eastAsia" w:ascii="Times New Roman" w:hAnsi="Times New Roman" w:eastAsia="宋体" w:cs="Times New Roman"/>
                <w:caps w:val="0"/>
                <w:smallCaps w:val="0"/>
                <w:color w:val="auto"/>
                <w:highlight w:val="none"/>
                <w:lang w:val="en-US" w:eastAsia="zh-CN"/>
              </w:rPr>
              <w:t>等</w:t>
            </w:r>
            <w:r>
              <w:rPr>
                <w:rFonts w:hint="eastAsia" w:cs="Times New Roman"/>
                <w:caps w:val="0"/>
                <w:smallCaps w:val="0"/>
                <w:color w:val="auto"/>
                <w:highlight w:val="none"/>
                <w:lang w:val="en-US" w:eastAsia="zh-CN"/>
              </w:rPr>
              <w:t>；</w:t>
            </w:r>
            <w:r>
              <w:rPr>
                <w:rFonts w:hint="eastAsia" w:ascii="Times New Roman" w:hAnsi="Times New Roman" w:eastAsia="宋体" w:cs="Times New Roman"/>
                <w:caps w:val="0"/>
                <w:smallCaps w:val="0"/>
                <w:color w:val="auto"/>
                <w:highlight w:val="none"/>
                <w:lang w:val="en-US" w:eastAsia="zh-CN"/>
              </w:rPr>
              <w:t>内部道路</w:t>
            </w:r>
            <w:r>
              <w:rPr>
                <w:rFonts w:hint="eastAsia" w:cs="Times New Roman"/>
                <w:caps w:val="0"/>
                <w:smallCaps w:val="0"/>
                <w:color w:val="auto"/>
                <w:highlight w:val="none"/>
                <w:lang w:val="en-US" w:eastAsia="zh-CN"/>
              </w:rPr>
              <w:t>，</w:t>
            </w:r>
            <w:r>
              <w:rPr>
                <w:rFonts w:hint="eastAsia" w:ascii="Times New Roman" w:hAnsi="Times New Roman" w:eastAsia="宋体" w:cs="Times New Roman"/>
                <w:caps w:val="0"/>
                <w:smallCaps w:val="0"/>
                <w:color w:val="auto"/>
                <w:highlight w:val="none"/>
                <w:lang w:val="en-US" w:eastAsia="zh-CN"/>
              </w:rPr>
              <w:t>现</w:t>
            </w:r>
            <w:r>
              <w:rPr>
                <w:rFonts w:hint="eastAsia" w:cs="Times New Roman"/>
                <w:caps w:val="0"/>
                <w:smallCaps w:val="0"/>
                <w:color w:val="auto"/>
                <w:highlight w:val="none"/>
                <w:lang w:val="en-US" w:eastAsia="zh-CN"/>
              </w:rPr>
              <w:t>有项目</w:t>
            </w:r>
            <w:r>
              <w:rPr>
                <w:rFonts w:hint="eastAsia" w:ascii="Times New Roman" w:hAnsi="Times New Roman" w:eastAsia="宋体" w:cs="Times New Roman"/>
                <w:caps w:val="0"/>
                <w:smallCaps w:val="0"/>
                <w:color w:val="auto"/>
                <w:highlight w:val="none"/>
                <w:lang w:val="en-US" w:eastAsia="zh-CN"/>
              </w:rPr>
              <w:t>已完成从</w:t>
            </w:r>
            <w:r>
              <w:rPr>
                <w:rFonts w:hint="eastAsia"/>
                <w:color w:val="auto"/>
                <w:highlight w:val="none"/>
                <w:lang w:val="en-US" w:eastAsia="zh-CN"/>
              </w:rPr>
              <w:t>矿区（矿2拐点）西北侧</w:t>
            </w:r>
            <w:r>
              <w:rPr>
                <w:rFonts w:hint="eastAsia" w:ascii="Times New Roman" w:hAnsi="Times New Roman" w:eastAsia="宋体" w:cs="Times New Roman"/>
                <w:caps w:val="0"/>
                <w:smallCaps w:val="0"/>
                <w:color w:val="auto"/>
                <w:highlight w:val="none"/>
                <w:lang w:val="en-US" w:eastAsia="zh-CN"/>
              </w:rPr>
              <w:t>已有的森林防火通道处修建一条进场通道至</w:t>
            </w:r>
            <w:r>
              <w:rPr>
                <w:rFonts w:hint="eastAsia" w:cs="Times New Roman"/>
                <w:caps w:val="0"/>
                <w:smallCaps w:val="0"/>
                <w:color w:val="auto"/>
                <w:highlight w:val="none"/>
                <w:lang w:val="en-US" w:eastAsia="zh-CN"/>
              </w:rPr>
              <w:t>露天开采区长约130m、路面宽6m</w:t>
            </w:r>
            <w:r>
              <w:rPr>
                <w:rFonts w:hint="eastAsia" w:ascii="Times New Roman" w:hAnsi="Times New Roman" w:eastAsia="宋体" w:cs="Times New Roman"/>
                <w:caps w:val="0"/>
                <w:smallCaps w:val="0"/>
                <w:color w:val="auto"/>
                <w:highlight w:val="none"/>
                <w:lang w:val="en-US" w:eastAsia="zh-CN"/>
              </w:rPr>
              <w:t>，</w:t>
            </w:r>
            <w:r>
              <w:rPr>
                <w:rFonts w:hint="default" w:ascii="Times New Roman" w:hAnsi="Times New Roman" w:eastAsia="宋体" w:cs="Times New Roman"/>
                <w:caps w:val="0"/>
                <w:smallCaps w:val="0"/>
                <w:color w:val="auto"/>
                <w:highlight w:val="none"/>
                <w:lang w:val="en-US" w:eastAsia="zh-CN"/>
              </w:rPr>
              <w:t>现有交通条件可以满足</w:t>
            </w:r>
            <w:r>
              <w:rPr>
                <w:rFonts w:hint="eastAsia" w:ascii="Times New Roman" w:hAnsi="Times New Roman" w:eastAsia="宋体" w:cs="Times New Roman"/>
                <w:caps w:val="0"/>
                <w:smallCaps w:val="0"/>
                <w:color w:val="auto"/>
                <w:highlight w:val="none"/>
                <w:lang w:val="en-US" w:eastAsia="zh-CN"/>
              </w:rPr>
              <w:t>入场</w:t>
            </w:r>
            <w:r>
              <w:rPr>
                <w:rFonts w:hint="default" w:ascii="Times New Roman" w:hAnsi="Times New Roman" w:eastAsia="宋体" w:cs="Times New Roman"/>
                <w:caps w:val="0"/>
                <w:smallCaps w:val="0"/>
                <w:color w:val="auto"/>
                <w:highlight w:val="none"/>
                <w:lang w:val="en-US" w:eastAsia="zh-CN"/>
              </w:rPr>
              <w:t>要求，</w:t>
            </w:r>
            <w:r>
              <w:rPr>
                <w:rFonts w:hint="eastAsia" w:cs="Times New Roman"/>
                <w:caps w:val="0"/>
                <w:smallCaps w:val="0"/>
                <w:color w:val="auto"/>
                <w:highlight w:val="none"/>
                <w:lang w:val="en-US" w:eastAsia="zh-CN"/>
              </w:rPr>
              <w:t>本项目</w:t>
            </w:r>
            <w:r>
              <w:rPr>
                <w:rFonts w:hint="default" w:ascii="Times New Roman" w:hAnsi="Times New Roman" w:eastAsia="宋体" w:cs="Times New Roman"/>
                <w:caps w:val="0"/>
                <w:smallCaps w:val="0"/>
                <w:color w:val="auto"/>
                <w:highlight w:val="none"/>
                <w:lang w:val="en-US" w:eastAsia="zh-CN"/>
              </w:rPr>
              <w:t>无需另行修建</w:t>
            </w:r>
            <w:r>
              <w:rPr>
                <w:rFonts w:hint="eastAsia" w:cs="Times New Roman"/>
                <w:caps w:val="0"/>
                <w:smallCaps w:val="0"/>
                <w:color w:val="auto"/>
                <w:highlight w:val="none"/>
                <w:lang w:val="en-US" w:eastAsia="zh-CN"/>
              </w:rPr>
              <w:t>进场</w:t>
            </w:r>
            <w:r>
              <w:rPr>
                <w:rFonts w:hint="default" w:ascii="Times New Roman" w:hAnsi="Times New Roman" w:eastAsia="宋体" w:cs="Times New Roman"/>
                <w:caps w:val="0"/>
                <w:smallCaps w:val="0"/>
                <w:color w:val="auto"/>
                <w:highlight w:val="none"/>
                <w:lang w:val="en-US" w:eastAsia="zh-CN"/>
              </w:rPr>
              <w:t>道路</w:t>
            </w:r>
            <w:r>
              <w:rPr>
                <w:rFonts w:hint="eastAsia" w:cs="Times New Roman"/>
                <w:caps w:val="0"/>
                <w:smallCaps w:val="0"/>
                <w:color w:val="auto"/>
                <w:highlight w:val="none"/>
                <w:lang w:val="en-US" w:eastAsia="zh-CN"/>
              </w:rPr>
              <w:t>；本项目新建矿区内部道路491.92m</w:t>
            </w:r>
            <w:r>
              <w:rPr>
                <w:rFonts w:hint="eastAsia"/>
                <w:color w:val="auto"/>
                <w:lang w:eastAsia="zh-CN"/>
              </w:rPr>
              <w:t>：</w:t>
            </w:r>
          </w:p>
          <w:p w14:paraId="5C321F2A">
            <w:pPr>
              <w:adjustRightInd w:val="0"/>
              <w:snapToGrid w:val="0"/>
              <w:ind w:firstLine="480"/>
              <w:rPr>
                <w:rFonts w:hint="eastAsia" w:ascii="Times New Roman" w:hAnsi="Times New Roman" w:eastAsia="宋体" w:cs="Times New Roman"/>
                <w:caps w:val="0"/>
                <w:smallCaps w:val="0"/>
                <w:color w:val="auto"/>
                <w:highlight w:val="none"/>
                <w:lang w:val="en-US" w:eastAsia="zh-CN"/>
              </w:rPr>
            </w:pPr>
            <w:r>
              <w:rPr>
                <w:rFonts w:hint="eastAsia" w:ascii="Times New Roman" w:hAnsi="Times New Roman" w:eastAsia="宋体" w:cs="Times New Roman"/>
                <w:caps w:val="0"/>
                <w:smallCaps w:val="0"/>
                <w:color w:val="auto"/>
                <w:highlight w:val="none"/>
                <w:lang w:val="en-US" w:eastAsia="zh-CN"/>
              </w:rPr>
              <w:t>2200m-2192m台阶运输便道，道路长94.12m，路面宽6m，路肩宽0.5m，道路平均纵坡8.49%，根据生产台阶布置，该地段道路为曲线布置，端部转弯半径40m；</w:t>
            </w:r>
          </w:p>
          <w:p w14:paraId="3E5820EE">
            <w:pPr>
              <w:adjustRightInd w:val="0"/>
              <w:snapToGrid w:val="0"/>
              <w:ind w:firstLine="480"/>
              <w:rPr>
                <w:rFonts w:hint="eastAsia" w:ascii="Times New Roman" w:hAnsi="Times New Roman" w:eastAsia="宋体" w:cs="Times New Roman"/>
                <w:caps w:val="0"/>
                <w:smallCaps w:val="0"/>
                <w:color w:val="auto"/>
                <w:highlight w:val="none"/>
                <w:lang w:val="en-US" w:eastAsia="zh-CN"/>
              </w:rPr>
            </w:pPr>
            <w:r>
              <w:rPr>
                <w:rFonts w:hint="eastAsia" w:ascii="Times New Roman" w:hAnsi="Times New Roman" w:eastAsia="宋体" w:cs="Times New Roman"/>
                <w:caps w:val="0"/>
                <w:smallCaps w:val="0"/>
                <w:color w:val="auto"/>
                <w:highlight w:val="none"/>
                <w:lang w:val="en-US" w:eastAsia="zh-CN"/>
              </w:rPr>
              <w:t>2192m-2184m台阶运输便道，道路长94.99m，路面宽6m，路肩宽0.5m，道路平均纵坡8.42%，根据生产台阶布置，该地段道路为曲线布置，端部转弯半径20m；</w:t>
            </w:r>
          </w:p>
          <w:p w14:paraId="1C1C429F">
            <w:pPr>
              <w:adjustRightInd w:val="0"/>
              <w:snapToGrid w:val="0"/>
              <w:ind w:firstLine="480"/>
              <w:rPr>
                <w:rFonts w:hint="eastAsia" w:ascii="Times New Roman" w:hAnsi="Times New Roman" w:eastAsia="宋体" w:cs="Times New Roman"/>
                <w:caps w:val="0"/>
                <w:smallCaps w:val="0"/>
                <w:color w:val="auto"/>
                <w:highlight w:val="none"/>
                <w:lang w:val="en-US" w:eastAsia="zh-CN"/>
              </w:rPr>
            </w:pPr>
            <w:r>
              <w:rPr>
                <w:rFonts w:hint="eastAsia" w:ascii="Times New Roman" w:hAnsi="Times New Roman" w:eastAsia="宋体" w:cs="Times New Roman"/>
                <w:caps w:val="0"/>
                <w:smallCaps w:val="0"/>
                <w:color w:val="auto"/>
                <w:highlight w:val="none"/>
                <w:lang w:val="en-US" w:eastAsia="zh-CN"/>
              </w:rPr>
              <w:t>2184m-2176m台阶运输便道，道路长100.16m，路面宽6m，路肩宽0.5m，道路平均纵坡7.98%，根据生产台阶布置，该地段道路为曲线布置，端部转弯半径50m；</w:t>
            </w:r>
          </w:p>
          <w:p w14:paraId="03415FE6">
            <w:pPr>
              <w:adjustRightInd w:val="0"/>
              <w:snapToGrid w:val="0"/>
              <w:ind w:firstLine="480"/>
              <w:rPr>
                <w:rFonts w:hint="eastAsia" w:ascii="Times New Roman" w:hAnsi="Times New Roman" w:eastAsia="宋体" w:cs="Times New Roman"/>
                <w:caps w:val="0"/>
                <w:smallCaps w:val="0"/>
                <w:color w:val="auto"/>
                <w:highlight w:val="none"/>
                <w:lang w:val="en-US" w:eastAsia="zh-CN"/>
              </w:rPr>
            </w:pPr>
            <w:r>
              <w:rPr>
                <w:rFonts w:hint="eastAsia" w:ascii="Times New Roman" w:hAnsi="Times New Roman" w:eastAsia="宋体" w:cs="Times New Roman"/>
                <w:caps w:val="0"/>
                <w:smallCaps w:val="0"/>
                <w:color w:val="auto"/>
                <w:highlight w:val="none"/>
                <w:lang w:val="en-US" w:eastAsia="zh-CN"/>
              </w:rPr>
              <w:t>2176m-2168m台阶运输便道，道路长102.10m，路面宽6m，路肩宽0.5m，道路平均纵坡7.83%，根据生产台阶布置，该地段道路为曲线布置，端部转弯半径22m；</w:t>
            </w:r>
          </w:p>
          <w:p w14:paraId="06EF9D32">
            <w:pPr>
              <w:adjustRightInd w:val="0"/>
              <w:snapToGrid w:val="0"/>
              <w:ind w:firstLine="480"/>
              <w:rPr>
                <w:rFonts w:hint="eastAsia"/>
                <w:color w:val="auto"/>
                <w:lang w:val="en-US" w:eastAsia="zh-CN"/>
              </w:rPr>
            </w:pPr>
            <w:r>
              <w:rPr>
                <w:rFonts w:hint="eastAsia" w:ascii="Times New Roman" w:hAnsi="Times New Roman" w:eastAsia="宋体" w:cs="Times New Roman"/>
                <w:caps w:val="0"/>
                <w:smallCaps w:val="0"/>
                <w:color w:val="auto"/>
                <w:highlight w:val="none"/>
                <w:lang w:val="en-US" w:eastAsia="zh-CN"/>
              </w:rPr>
              <w:t>2168m-2160m台阶运输便道，道路长100.55m，路面宽6m，路肩宽0.5m，道路平均纵坡7.96%，根据生产台阶布置，该地段道路为曲线布置，转弯半径20-22m；</w:t>
            </w:r>
          </w:p>
        </w:tc>
      </w:tr>
      <w:tr w14:paraId="238019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6" w:type="pct"/>
            <w:vAlign w:val="center"/>
          </w:tcPr>
          <w:p w14:paraId="21779D84">
            <w:pPr>
              <w:spacing w:line="240" w:lineRule="auto"/>
              <w:ind w:firstLine="0" w:firstLineChars="0"/>
              <w:jc w:val="center"/>
              <w:rPr>
                <w:b/>
                <w:bCs/>
                <w:color w:val="auto"/>
                <w:highlight w:val="none"/>
              </w:rPr>
            </w:pPr>
            <w:r>
              <w:rPr>
                <w:b/>
                <w:bCs/>
                <w:color w:val="auto"/>
                <w:highlight w:val="none"/>
              </w:rPr>
              <w:t>总平面及现场布置</w:t>
            </w:r>
          </w:p>
        </w:tc>
        <w:tc>
          <w:tcPr>
            <w:tcW w:w="4743" w:type="pct"/>
            <w:vAlign w:val="center"/>
          </w:tcPr>
          <w:p w14:paraId="04E29E5C">
            <w:pPr>
              <w:spacing w:before="156" w:beforeLines="50"/>
              <w:ind w:firstLine="482"/>
              <w:rPr>
                <w:b/>
                <w:bCs/>
                <w:color w:val="auto"/>
                <w:szCs w:val="24"/>
                <w:highlight w:val="none"/>
              </w:rPr>
            </w:pPr>
            <w:r>
              <w:rPr>
                <w:b/>
                <w:bCs/>
                <w:color w:val="auto"/>
                <w:szCs w:val="24"/>
                <w:highlight w:val="none"/>
              </w:rPr>
              <w:t>一、总平面布置</w:t>
            </w:r>
          </w:p>
          <w:p w14:paraId="04E1D4E4">
            <w:pPr>
              <w:spacing w:line="360" w:lineRule="auto"/>
              <w:ind w:firstLine="480"/>
              <w:rPr>
                <w:color w:val="auto"/>
                <w:szCs w:val="24"/>
                <w:highlight w:val="none"/>
              </w:rPr>
            </w:pPr>
            <w:r>
              <w:rPr>
                <w:color w:val="auto"/>
                <w:szCs w:val="24"/>
                <w:highlight w:val="none"/>
              </w:rPr>
              <w:t>本项目扩建后项目区总布置包括</w:t>
            </w:r>
            <w:r>
              <w:rPr>
                <w:rFonts w:hint="eastAsia"/>
                <w:color w:val="auto"/>
                <w:szCs w:val="24"/>
                <w:highlight w:val="none"/>
                <w:lang w:val="en-US" w:eastAsia="zh-CN"/>
              </w:rPr>
              <w:t>露天</w:t>
            </w:r>
            <w:r>
              <w:rPr>
                <w:color w:val="auto"/>
                <w:szCs w:val="24"/>
                <w:highlight w:val="none"/>
              </w:rPr>
              <w:t>开采区、道路、</w:t>
            </w:r>
            <w:r>
              <w:rPr>
                <w:rFonts w:hint="eastAsia"/>
                <w:color w:val="auto"/>
                <w:szCs w:val="24"/>
                <w:highlight w:val="none"/>
                <w:lang w:eastAsia="zh-CN"/>
              </w:rPr>
              <w:t>办公生活区、</w:t>
            </w:r>
            <w:r>
              <w:rPr>
                <w:rFonts w:hint="eastAsia"/>
                <w:color w:val="auto"/>
                <w:szCs w:val="24"/>
                <w:highlight w:val="none"/>
                <w:lang w:val="en-US" w:eastAsia="zh-CN"/>
              </w:rPr>
              <w:t>工业场地区、临时表土堆场、蓄水罐</w:t>
            </w:r>
            <w:r>
              <w:rPr>
                <w:color w:val="auto"/>
                <w:szCs w:val="24"/>
                <w:highlight w:val="none"/>
              </w:rPr>
              <w:t>等，</w:t>
            </w:r>
            <w:r>
              <w:rPr>
                <w:color w:val="auto"/>
                <w:szCs w:val="24"/>
                <w:highlight w:val="none"/>
                <w:lang w:val="zh-CN"/>
              </w:rPr>
              <w:t>本项目内不设置炸药库</w:t>
            </w:r>
            <w:r>
              <w:rPr>
                <w:rFonts w:hint="eastAsia"/>
                <w:color w:val="auto"/>
                <w:szCs w:val="24"/>
                <w:highlight w:val="none"/>
                <w:lang w:val="zh-CN"/>
              </w:rPr>
              <w:t>、</w:t>
            </w:r>
            <w:r>
              <w:rPr>
                <w:rFonts w:hint="eastAsia"/>
                <w:color w:val="auto"/>
                <w:szCs w:val="24"/>
                <w:highlight w:val="none"/>
                <w:lang w:val="en-US" w:eastAsia="zh-CN"/>
              </w:rPr>
              <w:t>高位水池</w:t>
            </w:r>
            <w:r>
              <w:rPr>
                <w:color w:val="auto"/>
                <w:szCs w:val="24"/>
                <w:highlight w:val="none"/>
              </w:rPr>
              <w:t>。</w:t>
            </w:r>
          </w:p>
          <w:p w14:paraId="66B0DB69">
            <w:pPr>
              <w:spacing w:line="360" w:lineRule="auto"/>
              <w:ind w:firstLine="482"/>
              <w:rPr>
                <w:b/>
                <w:bCs/>
                <w:color w:val="auto"/>
                <w:szCs w:val="24"/>
                <w:highlight w:val="none"/>
              </w:rPr>
            </w:pPr>
            <w:r>
              <w:rPr>
                <w:b/>
                <w:bCs/>
                <w:color w:val="auto"/>
                <w:szCs w:val="24"/>
                <w:highlight w:val="none"/>
              </w:rPr>
              <w:t>1、</w:t>
            </w:r>
            <w:r>
              <w:rPr>
                <w:rFonts w:hint="eastAsia"/>
                <w:b/>
                <w:bCs/>
                <w:color w:val="auto"/>
                <w:szCs w:val="24"/>
                <w:highlight w:val="none"/>
                <w:lang w:val="en-US" w:eastAsia="zh-CN"/>
              </w:rPr>
              <w:t>露天</w:t>
            </w:r>
            <w:r>
              <w:rPr>
                <w:b/>
                <w:bCs/>
                <w:color w:val="auto"/>
                <w:szCs w:val="24"/>
                <w:highlight w:val="none"/>
              </w:rPr>
              <w:t>开采区</w:t>
            </w:r>
          </w:p>
          <w:p w14:paraId="639ADBD0">
            <w:pPr>
              <w:pStyle w:val="78"/>
              <w:spacing w:line="360" w:lineRule="auto"/>
              <w:rPr>
                <w:rFonts w:hint="eastAsia" w:ascii="宋体" w:hAnsi="宋体" w:eastAsia="宋体" w:cs="宋体"/>
                <w:color w:val="auto"/>
                <w:highlight w:val="none"/>
                <w:lang w:val="en-US" w:eastAsia="zh-CN"/>
              </w:rPr>
            </w:pPr>
            <w:r>
              <w:rPr>
                <w:rFonts w:hint="eastAsia" w:eastAsia="宋体" w:cs="Times New Roman"/>
                <w:color w:val="auto"/>
                <w:highlight w:val="none"/>
              </w:rPr>
              <w:t>本项目</w:t>
            </w:r>
            <w:r>
              <w:rPr>
                <w:rFonts w:eastAsia="宋体" w:cs="Times New Roman"/>
                <w:color w:val="auto"/>
                <w:highlight w:val="none"/>
              </w:rPr>
              <w:t>矿权由</w:t>
            </w:r>
            <w:r>
              <w:rPr>
                <w:rFonts w:hint="eastAsia" w:eastAsia="宋体" w:cs="Times New Roman"/>
                <w:color w:val="auto"/>
                <w:highlight w:val="none"/>
                <w:lang w:val="en-US" w:eastAsia="zh-CN"/>
              </w:rPr>
              <w:t>5</w:t>
            </w:r>
            <w:r>
              <w:rPr>
                <w:rFonts w:eastAsia="宋体" w:cs="Times New Roman"/>
                <w:color w:val="auto"/>
                <w:highlight w:val="none"/>
              </w:rPr>
              <w:t>个拐点组成，矿权面积0.</w:t>
            </w:r>
            <w:r>
              <w:rPr>
                <w:rFonts w:hint="eastAsia" w:eastAsia="宋体" w:cs="Times New Roman"/>
                <w:color w:val="auto"/>
                <w:highlight w:val="none"/>
                <w:lang w:val="en-US" w:eastAsia="zh-CN"/>
              </w:rPr>
              <w:t>0399</w:t>
            </w:r>
            <w:r>
              <w:rPr>
                <w:rFonts w:eastAsia="宋体" w:cs="Times New Roman"/>
                <w:color w:val="auto"/>
                <w:highlight w:val="none"/>
              </w:rPr>
              <w:t>km²</w:t>
            </w:r>
            <w:r>
              <w:rPr>
                <w:rFonts w:hint="eastAsia" w:eastAsia="宋体" w:cs="Times New Roman"/>
                <w:color w:val="auto"/>
                <w:highlight w:val="none"/>
                <w:lang w:eastAsia="zh-CN"/>
              </w:rPr>
              <w:t>，</w:t>
            </w:r>
            <w:r>
              <w:rPr>
                <w:rFonts w:hint="eastAsia" w:eastAsia="宋体" w:cs="宋体"/>
                <w:color w:val="auto"/>
                <w:highlight w:val="none"/>
                <w:lang w:val="en-US" w:eastAsia="zh-CN"/>
              </w:rPr>
              <w:t>地形标高介于2208m～2160m</w:t>
            </w:r>
            <w:r>
              <w:rPr>
                <w:rFonts w:hint="eastAsia" w:ascii="宋体" w:hAnsi="宋体" w:eastAsia="宋体" w:cs="宋体"/>
                <w:color w:val="auto"/>
                <w:highlight w:val="none"/>
                <w:lang w:val="en-US" w:eastAsia="zh-CN"/>
              </w:rPr>
              <w:t>之间，台阶高度</w:t>
            </w:r>
            <w:r>
              <w:rPr>
                <w:rFonts w:hint="eastAsia" w:eastAsia="宋体" w:cs="宋体"/>
                <w:color w:val="auto"/>
                <w:highlight w:val="none"/>
                <w:lang w:val="en-US" w:eastAsia="zh-CN"/>
              </w:rPr>
              <w:t>8</w:t>
            </w:r>
            <w:r>
              <w:rPr>
                <w:rFonts w:hint="eastAsia" w:ascii="宋体" w:hAnsi="宋体" w:eastAsia="宋体" w:cs="宋体"/>
                <w:color w:val="auto"/>
                <w:highlight w:val="none"/>
                <w:lang w:val="en-US" w:eastAsia="zh-CN"/>
              </w:rPr>
              <w:t>m，为山坡露天</w:t>
            </w:r>
            <w:r>
              <w:rPr>
                <w:rFonts w:hint="eastAsia" w:eastAsia="宋体" w:cs="宋体"/>
                <w:color w:val="auto"/>
                <w:highlight w:val="none"/>
                <w:lang w:val="en-US" w:eastAsia="zh-CN"/>
              </w:rPr>
              <w:t>矿山</w:t>
            </w:r>
            <w:r>
              <w:rPr>
                <w:rFonts w:hint="eastAsia" w:ascii="宋体" w:hAnsi="宋体" w:eastAsia="宋体" w:cs="宋体"/>
                <w:color w:val="auto"/>
                <w:highlight w:val="none"/>
                <w:lang w:val="en-US" w:eastAsia="zh-CN"/>
              </w:rPr>
              <w:t>，最低开采标高</w:t>
            </w:r>
            <w:r>
              <w:rPr>
                <w:rFonts w:hint="eastAsia" w:eastAsia="宋体" w:cs="宋体"/>
                <w:color w:val="auto"/>
                <w:highlight w:val="none"/>
                <w:lang w:val="en-US" w:eastAsia="zh-CN"/>
              </w:rPr>
              <w:t>2160m</w:t>
            </w:r>
            <w:r>
              <w:rPr>
                <w:rFonts w:hint="eastAsia" w:ascii="宋体" w:hAnsi="宋体" w:eastAsia="宋体" w:cs="宋体"/>
                <w:color w:val="auto"/>
                <w:highlight w:val="none"/>
                <w:lang w:val="en-US" w:eastAsia="zh-CN"/>
              </w:rPr>
              <w:t>。</w:t>
            </w:r>
          </w:p>
          <w:p w14:paraId="3D413657">
            <w:pPr>
              <w:spacing w:line="360" w:lineRule="auto"/>
              <w:ind w:firstLine="482"/>
              <w:rPr>
                <w:rFonts w:hint="eastAsia" w:ascii="宋体" w:hAnsi="宋体" w:eastAsia="宋体" w:cs="宋体"/>
                <w:b/>
                <w:bCs/>
                <w:color w:val="auto"/>
                <w:highlight w:val="none"/>
                <w:lang w:val="en-US" w:eastAsia="zh-CN"/>
              </w:rPr>
            </w:pPr>
            <w:r>
              <w:rPr>
                <w:rFonts w:hint="eastAsia"/>
                <w:b/>
                <w:bCs/>
                <w:color w:val="auto"/>
                <w:szCs w:val="24"/>
                <w:highlight w:val="none"/>
                <w:lang w:val="en-US" w:eastAsia="zh-CN"/>
              </w:rPr>
              <w:t>2、矿山办公生活区</w:t>
            </w:r>
          </w:p>
          <w:p w14:paraId="7759D48B">
            <w:pPr>
              <w:pStyle w:val="78"/>
              <w:spacing w:line="360" w:lineRule="auto"/>
              <w:rPr>
                <w:rFonts w:hint="eastAsia" w:eastAsia="宋体" w:cs="Times New Roman"/>
                <w:color w:val="auto"/>
                <w:highlight w:val="none"/>
                <w:lang w:val="en-US" w:eastAsia="zh-CN"/>
              </w:rPr>
            </w:pPr>
            <w:r>
              <w:rPr>
                <w:rFonts w:hint="eastAsia" w:eastAsia="宋体" w:cs="Times New Roman"/>
                <w:color w:val="auto"/>
                <w:highlight w:val="none"/>
                <w:lang w:val="en-US" w:eastAsia="zh-CN"/>
              </w:rPr>
              <w:t>矿山拟建办公生活区位于矿区（矿2拐点）西北侧250m，现有森林防火通道北侧。</w:t>
            </w:r>
          </w:p>
          <w:p w14:paraId="0C3CBE71">
            <w:pPr>
              <w:spacing w:line="360" w:lineRule="auto"/>
              <w:ind w:firstLine="482"/>
              <w:rPr>
                <w:rFonts w:hint="default"/>
                <w:b/>
                <w:bCs/>
                <w:color w:val="auto"/>
                <w:szCs w:val="24"/>
                <w:highlight w:val="none"/>
                <w:lang w:val="en-US" w:eastAsia="zh-CN"/>
              </w:rPr>
            </w:pPr>
            <w:r>
              <w:rPr>
                <w:rFonts w:hint="eastAsia"/>
                <w:b/>
                <w:bCs/>
                <w:color w:val="auto"/>
                <w:szCs w:val="24"/>
                <w:highlight w:val="none"/>
                <w:lang w:val="en-US" w:eastAsia="zh-CN"/>
              </w:rPr>
              <w:t>3、工业场地区</w:t>
            </w:r>
          </w:p>
          <w:p w14:paraId="0DC9251B">
            <w:pPr>
              <w:pStyle w:val="78"/>
              <w:spacing w:line="360" w:lineRule="auto"/>
              <w:rPr>
                <w:rFonts w:hint="eastAsia" w:eastAsia="宋体" w:cs="Times New Roman"/>
                <w:color w:val="auto"/>
                <w:highlight w:val="none"/>
                <w:lang w:val="en-US" w:eastAsia="zh-CN"/>
              </w:rPr>
            </w:pPr>
            <w:r>
              <w:rPr>
                <w:rFonts w:hint="eastAsia" w:eastAsia="宋体" w:cs="Times New Roman"/>
                <w:color w:val="auto"/>
                <w:highlight w:val="none"/>
                <w:lang w:val="en-US" w:eastAsia="zh-CN"/>
              </w:rPr>
              <w:t>矿山工业场地位于矿区（矿2拐点）西北侧45m，现有森林防火通道北侧。</w:t>
            </w:r>
          </w:p>
          <w:p w14:paraId="6757389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eastAsia="宋体" w:cs="宋体"/>
                <w:b/>
                <w:bCs/>
                <w:color w:val="auto"/>
                <w:szCs w:val="28"/>
                <w:highlight w:val="none"/>
                <w:lang w:val="en-US" w:eastAsia="zh-CN"/>
              </w:rPr>
            </w:pPr>
            <w:r>
              <w:rPr>
                <w:rFonts w:hint="eastAsia" w:cs="宋体"/>
                <w:b/>
                <w:bCs/>
                <w:color w:val="auto"/>
                <w:szCs w:val="28"/>
                <w:highlight w:val="none"/>
                <w:lang w:val="en-US" w:eastAsia="zh-CN"/>
              </w:rPr>
              <w:t>4</w:t>
            </w:r>
            <w:r>
              <w:rPr>
                <w:rFonts w:hint="eastAsia" w:cs="宋体"/>
                <w:b/>
                <w:bCs/>
                <w:color w:val="auto"/>
                <w:szCs w:val="28"/>
                <w:highlight w:val="none"/>
              </w:rPr>
              <w:t>、</w:t>
            </w:r>
            <w:r>
              <w:rPr>
                <w:rFonts w:hint="eastAsia" w:cs="宋体"/>
                <w:b/>
                <w:bCs/>
                <w:color w:val="auto"/>
                <w:szCs w:val="28"/>
                <w:highlight w:val="none"/>
                <w:lang w:val="en-US" w:eastAsia="zh-CN"/>
              </w:rPr>
              <w:t>临时表土堆场</w:t>
            </w:r>
          </w:p>
          <w:p w14:paraId="27BF5AC1">
            <w:pPr>
              <w:pStyle w:val="78"/>
              <w:spacing w:line="360" w:lineRule="auto"/>
              <w:rPr>
                <w:rFonts w:hint="eastAsia" w:eastAsia="宋体" w:cs="Times New Roman"/>
                <w:color w:val="auto"/>
                <w:highlight w:val="none"/>
                <w:lang w:val="en-US" w:eastAsia="zh-CN"/>
              </w:rPr>
            </w:pPr>
            <w:r>
              <w:rPr>
                <w:rFonts w:hint="eastAsia" w:eastAsia="宋体" w:cs="Times New Roman"/>
                <w:color w:val="auto"/>
                <w:highlight w:val="none"/>
                <w:lang w:val="en-US" w:eastAsia="zh-CN"/>
              </w:rPr>
              <w:t>矿区内矿石为石英砂岩，矿石具有细粒结构，层状构造。以细粒（0.1～0.25mm）石英为主，长石次之，二者含量大于95%，其它矿物含量甚微，未见有害元素。接触～孔隙式胶结，胶结物为钙质、泥质、硅质。</w:t>
            </w:r>
          </w:p>
          <w:p w14:paraId="60FAA38C">
            <w:pPr>
              <w:pStyle w:val="78"/>
              <w:spacing w:line="360" w:lineRule="auto"/>
              <w:rPr>
                <w:rFonts w:hint="eastAsia" w:eastAsia="宋体" w:cs="Times New Roman"/>
                <w:color w:val="auto"/>
                <w:highlight w:val="none"/>
                <w:lang w:val="en-US" w:eastAsia="zh-CN"/>
              </w:rPr>
            </w:pPr>
            <w:r>
              <w:rPr>
                <w:rFonts w:hint="eastAsia" w:eastAsia="宋体" w:cs="Times New Roman"/>
                <w:color w:val="auto"/>
                <w:highlight w:val="none"/>
                <w:lang w:val="en-US" w:eastAsia="zh-CN"/>
              </w:rPr>
              <w:t xml:space="preserve">矿区矿床类型为海相沉积砂岩矿床，矿体为泥盆系中统第一段(D2a)地层，矿层稳定且分布广泛，矿石质量稳定，本次圈定的矿区范围仅为矿体（床）的一小部分，无夹石，仅在矿区南西部低洼处有0.5-3m厚的表土层。 </w:t>
            </w:r>
          </w:p>
          <w:p w14:paraId="0E52B3EA">
            <w:pPr>
              <w:pStyle w:val="78"/>
              <w:spacing w:line="360" w:lineRule="auto"/>
              <w:rPr>
                <w:rFonts w:hint="eastAsia" w:eastAsia="宋体" w:cs="Times New Roman"/>
                <w:color w:val="auto"/>
                <w:highlight w:val="none"/>
                <w:lang w:val="en-US" w:eastAsia="zh-CN"/>
              </w:rPr>
            </w:pPr>
            <w:r>
              <w:rPr>
                <w:rFonts w:hint="eastAsia" w:eastAsia="宋体" w:cs="Times New Roman"/>
                <w:color w:val="auto"/>
                <w:highlight w:val="none"/>
                <w:lang w:val="en-US" w:eastAsia="zh-CN"/>
              </w:rPr>
              <w:t>从矿山实际情况了解到，矿区设计开采范围内剥离的废土量约为1.25万m³，矿山设计服务年限为3.91年，年平均剥离量为0.30万m³。项目设置一个临时表土堆场，位于矿界西侧，临时堆放剥离表土，现已形成2200m、2192m开采平台，已经剥离废土、废石基建期用于工业场地区、办公生活区平整及运输公路的铺垫。运营期后续剥离表土用于采空平台覆土复垦，进行植被恢复，故本项目不设置排土场。</w:t>
            </w:r>
            <w:bookmarkStart w:id="7" w:name="_Toc393812591"/>
            <w:bookmarkStart w:id="8" w:name="_Toc330116536"/>
            <w:bookmarkStart w:id="9" w:name="_Toc8646"/>
            <w:bookmarkStart w:id="10" w:name="_Toc377052369"/>
          </w:p>
          <w:bookmarkEnd w:id="7"/>
          <w:bookmarkEnd w:id="8"/>
          <w:bookmarkEnd w:id="9"/>
          <w:bookmarkEnd w:id="10"/>
          <w:p w14:paraId="6DE443F6">
            <w:pPr>
              <w:spacing w:line="360" w:lineRule="auto"/>
              <w:ind w:firstLine="482"/>
              <w:rPr>
                <w:rFonts w:hint="eastAsia"/>
                <w:b/>
                <w:bCs/>
                <w:color w:val="auto"/>
                <w:szCs w:val="24"/>
                <w:highlight w:val="none"/>
                <w:lang w:val="zh-TW" w:eastAsia="zh-TW"/>
              </w:rPr>
            </w:pPr>
            <w:r>
              <w:rPr>
                <w:rFonts w:hint="eastAsia"/>
                <w:b/>
                <w:bCs/>
                <w:color w:val="auto"/>
                <w:szCs w:val="24"/>
                <w:highlight w:val="none"/>
                <w:lang w:val="en-US" w:eastAsia="zh-CN"/>
              </w:rPr>
              <w:t>5、开拓</w:t>
            </w:r>
            <w:r>
              <w:rPr>
                <w:rFonts w:hint="eastAsia"/>
                <w:b/>
                <w:bCs/>
                <w:color w:val="auto"/>
                <w:szCs w:val="24"/>
                <w:highlight w:val="none"/>
                <w:lang w:val="zh-TW" w:eastAsia="zh-TW"/>
              </w:rPr>
              <w:t>运输</w:t>
            </w:r>
          </w:p>
          <w:p w14:paraId="7FA723D9">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Times New Roman" w:hAnsi="Times New Roman" w:eastAsia="宋体" w:cs="Times New Roman"/>
                <w:color w:val="auto"/>
                <w:kern w:val="2"/>
                <w:sz w:val="24"/>
                <w:szCs w:val="28"/>
                <w:highlight w:val="none"/>
                <w:lang w:val="zh-TW" w:eastAsia="zh-TW" w:bidi="ar-SA"/>
              </w:rPr>
            </w:pPr>
            <w:bookmarkStart w:id="11" w:name="_Toc232567809"/>
            <w:r>
              <w:rPr>
                <w:rFonts w:hint="eastAsia" w:ascii="Times New Roman" w:hAnsi="Times New Roman" w:eastAsia="宋体" w:cs="Times New Roman"/>
                <w:color w:val="auto"/>
                <w:kern w:val="2"/>
                <w:sz w:val="24"/>
                <w:szCs w:val="28"/>
                <w:highlight w:val="none"/>
                <w:lang w:val="en-US" w:eastAsia="zh-CN" w:bidi="ar-SA"/>
              </w:rPr>
              <w:t>（1）</w:t>
            </w:r>
            <w:r>
              <w:rPr>
                <w:rFonts w:hint="eastAsia" w:ascii="Times New Roman" w:hAnsi="Times New Roman" w:eastAsia="宋体" w:cs="Times New Roman"/>
                <w:color w:val="auto"/>
                <w:kern w:val="2"/>
                <w:sz w:val="24"/>
                <w:szCs w:val="28"/>
                <w:highlight w:val="none"/>
                <w:lang w:val="zh-TW" w:eastAsia="zh-TW" w:bidi="ar-SA"/>
              </w:rPr>
              <w:t>外部运输</w:t>
            </w:r>
            <w:bookmarkEnd w:id="11"/>
          </w:p>
          <w:p w14:paraId="4346F9F3">
            <w:pPr>
              <w:ind w:firstLine="480"/>
              <w:rPr>
                <w:rFonts w:hint="default" w:ascii="Times New Roman" w:hAnsi="Times New Roman" w:eastAsia="宋体" w:cs="Times New Roman"/>
                <w:color w:val="auto"/>
                <w:kern w:val="2"/>
                <w:sz w:val="24"/>
                <w:szCs w:val="28"/>
                <w:highlight w:val="none"/>
                <w:lang w:val="en-US" w:eastAsia="zh-CN" w:bidi="ar-SA"/>
              </w:rPr>
            </w:pPr>
            <w:r>
              <w:rPr>
                <w:rFonts w:hint="eastAsia" w:ascii="Times New Roman" w:hAnsi="Times New Roman" w:eastAsia="宋体" w:cs="Times New Roman"/>
                <w:color w:val="auto"/>
                <w:kern w:val="2"/>
                <w:sz w:val="24"/>
                <w:szCs w:val="28"/>
                <w:highlight w:val="none"/>
                <w:lang w:val="en-US" w:eastAsia="zh-CN" w:bidi="ar-SA"/>
              </w:rPr>
              <w:t>项目</w:t>
            </w:r>
            <w:r>
              <w:rPr>
                <w:rFonts w:hint="eastAsia" w:ascii="Times New Roman" w:hAnsi="Times New Roman" w:eastAsia="宋体" w:cs="Times New Roman"/>
                <w:color w:val="auto"/>
                <w:kern w:val="2"/>
                <w:sz w:val="24"/>
                <w:szCs w:val="28"/>
                <w:highlight w:val="none"/>
                <w:lang w:val="zh-TW" w:eastAsia="zh-TW" w:bidi="ar-SA"/>
              </w:rPr>
              <w:t>运输</w:t>
            </w:r>
            <w:r>
              <w:rPr>
                <w:rFonts w:hint="eastAsia" w:ascii="Times New Roman" w:hAnsi="Times New Roman" w:eastAsia="宋体" w:cs="Times New Roman"/>
                <w:color w:val="auto"/>
                <w:kern w:val="2"/>
                <w:sz w:val="24"/>
                <w:szCs w:val="28"/>
                <w:highlight w:val="none"/>
                <w:lang w:val="en-US" w:eastAsia="zh-CN" w:bidi="ar-SA"/>
              </w:rPr>
              <w:t>道路依托自</w:t>
            </w:r>
            <w:r>
              <w:rPr>
                <w:rFonts w:hint="default" w:ascii="Times New Roman" w:hAnsi="Times New Roman" w:eastAsia="宋体" w:cs="Times New Roman"/>
                <w:color w:val="auto"/>
                <w:kern w:val="2"/>
                <w:sz w:val="24"/>
                <w:szCs w:val="28"/>
                <w:highlight w:val="none"/>
                <w:lang w:val="en-US" w:eastAsia="zh-CN" w:bidi="ar-SA"/>
              </w:rPr>
              <w:t>项目区北侧</w:t>
            </w:r>
            <w:r>
              <w:rPr>
                <w:rFonts w:hint="eastAsia" w:ascii="Times New Roman" w:hAnsi="Times New Roman" w:eastAsia="宋体" w:cs="Times New Roman"/>
                <w:color w:val="auto"/>
                <w:kern w:val="2"/>
                <w:sz w:val="24"/>
                <w:szCs w:val="28"/>
                <w:highlight w:val="none"/>
                <w:lang w:val="en-US" w:eastAsia="zh-CN" w:bidi="ar-SA"/>
              </w:rPr>
              <w:t>裨子田</w:t>
            </w:r>
            <w:r>
              <w:rPr>
                <w:rFonts w:hint="default" w:ascii="Times New Roman" w:hAnsi="Times New Roman" w:eastAsia="宋体" w:cs="Times New Roman"/>
                <w:color w:val="auto"/>
                <w:kern w:val="2"/>
                <w:sz w:val="24"/>
                <w:szCs w:val="28"/>
                <w:highlight w:val="none"/>
                <w:lang w:val="en-US" w:eastAsia="zh-CN" w:bidi="ar-SA"/>
              </w:rPr>
              <w:t>村</w:t>
            </w:r>
            <w:r>
              <w:rPr>
                <w:rFonts w:hint="eastAsia" w:ascii="Times New Roman" w:hAnsi="Times New Roman" w:eastAsia="宋体" w:cs="Times New Roman"/>
                <w:color w:val="auto"/>
                <w:kern w:val="2"/>
                <w:sz w:val="24"/>
                <w:szCs w:val="28"/>
                <w:highlight w:val="none"/>
                <w:lang w:val="en-US" w:eastAsia="zh-CN" w:bidi="ar-SA"/>
              </w:rPr>
              <w:t>已</w:t>
            </w:r>
            <w:r>
              <w:rPr>
                <w:rFonts w:hint="default" w:ascii="Times New Roman" w:hAnsi="Times New Roman" w:eastAsia="宋体" w:cs="Times New Roman"/>
                <w:color w:val="auto"/>
                <w:kern w:val="2"/>
                <w:sz w:val="24"/>
                <w:szCs w:val="28"/>
                <w:highlight w:val="none"/>
                <w:lang w:val="en-US" w:eastAsia="zh-CN" w:bidi="ar-SA"/>
              </w:rPr>
              <w:t>修建</w:t>
            </w:r>
            <w:r>
              <w:rPr>
                <w:rFonts w:hint="eastAsia" w:ascii="Times New Roman" w:hAnsi="Times New Roman" w:eastAsia="宋体" w:cs="Times New Roman"/>
                <w:color w:val="auto"/>
                <w:kern w:val="2"/>
                <w:sz w:val="24"/>
                <w:szCs w:val="28"/>
                <w:highlight w:val="none"/>
                <w:lang w:val="en-US" w:eastAsia="zh-CN" w:bidi="ar-SA"/>
              </w:rPr>
              <w:t>的森林防火通道，</w:t>
            </w:r>
            <w:bookmarkStart w:id="12" w:name="_Toc232567810"/>
            <w:r>
              <w:rPr>
                <w:rFonts w:hint="eastAsia" w:ascii="Times New Roman" w:hAnsi="Times New Roman" w:eastAsia="宋体" w:cs="Times New Roman"/>
                <w:color w:val="auto"/>
                <w:kern w:val="2"/>
                <w:sz w:val="24"/>
                <w:szCs w:val="28"/>
                <w:highlight w:val="none"/>
                <w:lang w:val="en-US" w:eastAsia="zh-CN" w:bidi="ar-SA"/>
              </w:rPr>
              <w:t>可到达项目办公生活区和工业场地区。</w:t>
            </w:r>
          </w:p>
          <w:p w14:paraId="3CA36F4A">
            <w:pPr>
              <w:ind w:firstLine="480"/>
              <w:rPr>
                <w:rFonts w:hint="eastAsia" w:ascii="Times New Roman" w:hAnsi="Times New Roman" w:eastAsia="宋体" w:cs="Times New Roman"/>
                <w:color w:val="auto"/>
                <w:kern w:val="2"/>
                <w:sz w:val="24"/>
                <w:szCs w:val="28"/>
                <w:highlight w:val="none"/>
                <w:lang w:val="zh-TW" w:eastAsia="zh-TW" w:bidi="ar-SA"/>
              </w:rPr>
            </w:pPr>
            <w:r>
              <w:rPr>
                <w:rFonts w:hint="eastAsia" w:ascii="Times New Roman" w:hAnsi="Times New Roman" w:eastAsia="宋体" w:cs="Times New Roman"/>
                <w:color w:val="auto"/>
                <w:kern w:val="2"/>
                <w:sz w:val="24"/>
                <w:szCs w:val="28"/>
                <w:highlight w:val="none"/>
                <w:lang w:val="en-US" w:eastAsia="zh-CN" w:bidi="ar-SA"/>
              </w:rPr>
              <w:t>（2）</w:t>
            </w:r>
            <w:r>
              <w:rPr>
                <w:rFonts w:hint="eastAsia" w:ascii="Times New Roman" w:hAnsi="Times New Roman" w:eastAsia="宋体" w:cs="Times New Roman"/>
                <w:color w:val="auto"/>
                <w:kern w:val="2"/>
                <w:sz w:val="24"/>
                <w:szCs w:val="28"/>
                <w:highlight w:val="none"/>
                <w:lang w:val="zh-TW" w:eastAsia="zh-TW" w:bidi="ar-SA"/>
              </w:rPr>
              <w:t>内部运输</w:t>
            </w:r>
            <w:bookmarkEnd w:id="12"/>
            <w:r>
              <w:rPr>
                <w:rFonts w:hint="eastAsia" w:ascii="Times New Roman" w:hAnsi="Times New Roman" w:eastAsia="宋体" w:cs="Times New Roman"/>
                <w:color w:val="auto"/>
                <w:kern w:val="2"/>
                <w:sz w:val="24"/>
                <w:szCs w:val="28"/>
                <w:highlight w:val="none"/>
                <w:lang w:val="en-US" w:eastAsia="zh-CN" w:bidi="ar-SA"/>
              </w:rPr>
              <w:t xml:space="preserve"> </w:t>
            </w:r>
          </w:p>
          <w:p w14:paraId="1595F7F5">
            <w:pPr>
              <w:ind w:firstLine="480"/>
              <w:rPr>
                <w:rFonts w:hint="eastAsia" w:cs="Times New Roman"/>
                <w:caps w:val="0"/>
                <w:smallCaps w:val="0"/>
                <w:color w:val="auto"/>
                <w:highlight w:val="none"/>
                <w:lang w:val="en-US" w:eastAsia="zh-CN"/>
              </w:rPr>
            </w:pPr>
            <w:r>
              <w:rPr>
                <w:rFonts w:hint="eastAsia" w:ascii="Times New Roman" w:hAnsi="Times New Roman" w:eastAsia="宋体" w:cs="Times New Roman"/>
                <w:caps w:val="0"/>
                <w:smallCaps w:val="0"/>
                <w:color w:val="auto"/>
                <w:highlight w:val="none"/>
                <w:lang w:val="en-US" w:eastAsia="zh-CN"/>
              </w:rPr>
              <w:t>现</w:t>
            </w:r>
            <w:r>
              <w:rPr>
                <w:rFonts w:hint="eastAsia" w:cs="Times New Roman"/>
                <w:caps w:val="0"/>
                <w:smallCaps w:val="0"/>
                <w:color w:val="auto"/>
                <w:highlight w:val="none"/>
                <w:lang w:val="en-US" w:eastAsia="zh-CN"/>
              </w:rPr>
              <w:t>有项目</w:t>
            </w:r>
            <w:r>
              <w:rPr>
                <w:rFonts w:hint="eastAsia" w:ascii="Times New Roman" w:hAnsi="Times New Roman" w:eastAsia="宋体" w:cs="Times New Roman"/>
                <w:caps w:val="0"/>
                <w:smallCaps w:val="0"/>
                <w:color w:val="auto"/>
                <w:highlight w:val="none"/>
                <w:lang w:val="en-US" w:eastAsia="zh-CN"/>
              </w:rPr>
              <w:t>已完成从</w:t>
            </w:r>
            <w:r>
              <w:rPr>
                <w:rFonts w:hint="eastAsia"/>
                <w:color w:val="auto"/>
                <w:highlight w:val="none"/>
                <w:lang w:val="en-US" w:eastAsia="zh-CN"/>
              </w:rPr>
              <w:t>矿区（矿2拐点）西北侧</w:t>
            </w:r>
            <w:r>
              <w:rPr>
                <w:rFonts w:hint="eastAsia" w:ascii="Times New Roman" w:hAnsi="Times New Roman" w:eastAsia="宋体" w:cs="Times New Roman"/>
                <w:caps w:val="0"/>
                <w:smallCaps w:val="0"/>
                <w:color w:val="auto"/>
                <w:highlight w:val="none"/>
                <w:lang w:val="en-US" w:eastAsia="zh-CN"/>
              </w:rPr>
              <w:t>已有的森林防火通道处修建一条进场通道至</w:t>
            </w:r>
            <w:r>
              <w:rPr>
                <w:rFonts w:hint="eastAsia" w:cs="Times New Roman"/>
                <w:caps w:val="0"/>
                <w:smallCaps w:val="0"/>
                <w:color w:val="auto"/>
                <w:highlight w:val="none"/>
                <w:lang w:val="en-US" w:eastAsia="zh-CN"/>
              </w:rPr>
              <w:t>露天开采区长约130m、路面宽6m</w:t>
            </w:r>
            <w:r>
              <w:rPr>
                <w:rFonts w:hint="eastAsia" w:ascii="Times New Roman" w:hAnsi="Times New Roman" w:eastAsia="宋体" w:cs="Times New Roman"/>
                <w:caps w:val="0"/>
                <w:smallCaps w:val="0"/>
                <w:color w:val="auto"/>
                <w:highlight w:val="none"/>
                <w:lang w:val="en-US" w:eastAsia="zh-CN"/>
              </w:rPr>
              <w:t>，</w:t>
            </w:r>
            <w:r>
              <w:rPr>
                <w:rFonts w:hint="default" w:ascii="Times New Roman" w:hAnsi="Times New Roman" w:eastAsia="宋体" w:cs="Times New Roman"/>
                <w:caps w:val="0"/>
                <w:smallCaps w:val="0"/>
                <w:color w:val="auto"/>
                <w:highlight w:val="none"/>
                <w:lang w:val="en-US" w:eastAsia="zh-CN"/>
              </w:rPr>
              <w:t>现有交通条件可以满足</w:t>
            </w:r>
            <w:r>
              <w:rPr>
                <w:rFonts w:hint="eastAsia" w:ascii="Times New Roman" w:hAnsi="Times New Roman" w:eastAsia="宋体" w:cs="Times New Roman"/>
                <w:caps w:val="0"/>
                <w:smallCaps w:val="0"/>
                <w:color w:val="auto"/>
                <w:highlight w:val="none"/>
                <w:lang w:val="en-US" w:eastAsia="zh-CN"/>
              </w:rPr>
              <w:t>入场</w:t>
            </w:r>
            <w:r>
              <w:rPr>
                <w:rFonts w:hint="default" w:ascii="Times New Roman" w:hAnsi="Times New Roman" w:eastAsia="宋体" w:cs="Times New Roman"/>
                <w:caps w:val="0"/>
                <w:smallCaps w:val="0"/>
                <w:color w:val="auto"/>
                <w:highlight w:val="none"/>
                <w:lang w:val="en-US" w:eastAsia="zh-CN"/>
              </w:rPr>
              <w:t>要求，</w:t>
            </w:r>
            <w:r>
              <w:rPr>
                <w:rFonts w:hint="eastAsia" w:cs="Times New Roman"/>
                <w:caps w:val="0"/>
                <w:smallCaps w:val="0"/>
                <w:color w:val="auto"/>
                <w:highlight w:val="none"/>
                <w:lang w:val="en-US" w:eastAsia="zh-CN"/>
              </w:rPr>
              <w:t>本项目</w:t>
            </w:r>
            <w:r>
              <w:rPr>
                <w:rFonts w:hint="default" w:ascii="Times New Roman" w:hAnsi="Times New Roman" w:eastAsia="宋体" w:cs="Times New Roman"/>
                <w:caps w:val="0"/>
                <w:smallCaps w:val="0"/>
                <w:color w:val="auto"/>
                <w:highlight w:val="none"/>
                <w:lang w:val="en-US" w:eastAsia="zh-CN"/>
              </w:rPr>
              <w:t>无需另行修建</w:t>
            </w:r>
            <w:r>
              <w:rPr>
                <w:rFonts w:hint="eastAsia" w:cs="Times New Roman"/>
                <w:caps w:val="0"/>
                <w:smallCaps w:val="0"/>
                <w:color w:val="auto"/>
                <w:highlight w:val="none"/>
                <w:lang w:val="en-US" w:eastAsia="zh-CN"/>
              </w:rPr>
              <w:t>进场</w:t>
            </w:r>
            <w:r>
              <w:rPr>
                <w:rFonts w:hint="default" w:ascii="Times New Roman" w:hAnsi="Times New Roman" w:eastAsia="宋体" w:cs="Times New Roman"/>
                <w:caps w:val="0"/>
                <w:smallCaps w:val="0"/>
                <w:color w:val="auto"/>
                <w:highlight w:val="none"/>
                <w:lang w:val="en-US" w:eastAsia="zh-CN"/>
              </w:rPr>
              <w:t>道路</w:t>
            </w:r>
            <w:r>
              <w:rPr>
                <w:rFonts w:hint="eastAsia" w:cs="Times New Roman"/>
                <w:caps w:val="0"/>
                <w:smallCaps w:val="0"/>
                <w:color w:val="auto"/>
                <w:highlight w:val="none"/>
                <w:lang w:val="en-US" w:eastAsia="zh-CN"/>
              </w:rPr>
              <w:t>。</w:t>
            </w:r>
          </w:p>
          <w:p w14:paraId="3F74B975">
            <w:pPr>
              <w:ind w:firstLine="480"/>
              <w:rPr>
                <w:rFonts w:hint="eastAsia" w:ascii="Times New Roman" w:hAnsi="Times New Roman" w:eastAsia="宋体" w:cs="Times New Roman"/>
                <w:color w:val="auto"/>
                <w:kern w:val="2"/>
                <w:sz w:val="24"/>
                <w:szCs w:val="28"/>
                <w:highlight w:val="none"/>
                <w:lang w:val="en-US" w:eastAsia="zh-CN" w:bidi="ar-SA"/>
              </w:rPr>
            </w:pPr>
            <w:r>
              <w:rPr>
                <w:rFonts w:hint="eastAsia" w:cs="Times New Roman"/>
                <w:caps w:val="0"/>
                <w:smallCaps w:val="0"/>
                <w:color w:val="auto"/>
                <w:highlight w:val="none"/>
                <w:lang w:val="en-US" w:eastAsia="zh-CN"/>
              </w:rPr>
              <w:t>本项目新建矿区内部道路491.92m</w:t>
            </w:r>
            <w:r>
              <w:rPr>
                <w:rFonts w:hint="eastAsia"/>
                <w:color w:val="auto"/>
                <w:lang w:eastAsia="zh-CN"/>
              </w:rPr>
              <w:t>，</w:t>
            </w:r>
            <w:r>
              <w:rPr>
                <w:rFonts w:hint="eastAsia" w:cs="Times New Roman"/>
                <w:caps w:val="0"/>
                <w:smallCaps w:val="0"/>
                <w:color w:val="auto"/>
                <w:highlight w:val="none"/>
                <w:lang w:val="en-US" w:eastAsia="zh-CN"/>
              </w:rPr>
              <w:t>路面宽6m、</w:t>
            </w:r>
            <w:r>
              <w:rPr>
                <w:rFonts w:hint="eastAsia" w:ascii="Times New Roman" w:hAnsi="Times New Roman" w:eastAsia="宋体" w:cs="Times New Roman"/>
                <w:caps w:val="0"/>
                <w:smallCaps w:val="0"/>
                <w:color w:val="auto"/>
                <w:highlight w:val="none"/>
                <w:lang w:val="en-US" w:eastAsia="zh-CN"/>
              </w:rPr>
              <w:t>路肩宽0.5m</w:t>
            </w:r>
            <w:r>
              <w:rPr>
                <w:rFonts w:hint="eastAsia" w:cs="Times New Roman"/>
                <w:caps w:val="0"/>
                <w:smallCaps w:val="0"/>
                <w:color w:val="auto"/>
                <w:highlight w:val="none"/>
                <w:lang w:val="en-US" w:eastAsia="zh-CN"/>
              </w:rPr>
              <w:t>。</w:t>
            </w:r>
          </w:p>
          <w:p w14:paraId="41E8C5B8">
            <w:pPr>
              <w:ind w:firstLine="480"/>
              <w:rPr>
                <w:rFonts w:hint="eastAsia" w:ascii="Times New Roman" w:hAnsi="Times New Roman" w:eastAsia="宋体" w:cs="Times New Roman"/>
                <w:color w:val="auto"/>
                <w:kern w:val="2"/>
                <w:sz w:val="24"/>
                <w:szCs w:val="28"/>
                <w:highlight w:val="none"/>
                <w:lang w:val="en-US" w:eastAsia="zh-CN" w:bidi="ar-SA"/>
              </w:rPr>
            </w:pPr>
            <w:r>
              <w:rPr>
                <w:rFonts w:hint="eastAsia" w:ascii="Times New Roman" w:hAnsi="Times New Roman" w:eastAsia="宋体" w:cs="Times New Roman"/>
                <w:color w:val="auto"/>
                <w:kern w:val="2"/>
                <w:sz w:val="24"/>
                <w:szCs w:val="28"/>
                <w:highlight w:val="none"/>
                <w:lang w:val="en-US" w:eastAsia="zh-CN" w:bidi="ar-SA"/>
              </w:rPr>
              <w:t>矿区各个场地布置紧凑，不占用村庄、基本农田等，场地布置较为合理，总平面布置具体见附图。</w:t>
            </w:r>
          </w:p>
          <w:p w14:paraId="19F602C8">
            <w:pPr>
              <w:ind w:firstLine="482"/>
              <w:rPr>
                <w:b/>
                <w:bCs/>
                <w:color w:val="auto"/>
                <w:szCs w:val="24"/>
                <w:highlight w:val="none"/>
              </w:rPr>
            </w:pPr>
            <w:r>
              <w:rPr>
                <w:b/>
                <w:bCs/>
                <w:color w:val="auto"/>
                <w:szCs w:val="24"/>
                <w:highlight w:val="none"/>
              </w:rPr>
              <w:t>二、施工布置情况</w:t>
            </w:r>
          </w:p>
          <w:p w14:paraId="0DD56B75">
            <w:pPr>
              <w:ind w:firstLine="480"/>
              <w:jc w:val="left"/>
              <w:rPr>
                <w:color w:val="auto"/>
                <w:highlight w:val="none"/>
              </w:rPr>
            </w:pPr>
            <w:r>
              <w:rPr>
                <w:rFonts w:hint="eastAsia"/>
                <w:color w:val="auto"/>
                <w:highlight w:val="none"/>
              </w:rPr>
              <w:t>本</w:t>
            </w:r>
            <w:r>
              <w:rPr>
                <w:color w:val="auto"/>
                <w:highlight w:val="none"/>
              </w:rPr>
              <w:t>项目施工期施工内容主要包括</w:t>
            </w:r>
            <w:r>
              <w:rPr>
                <w:rFonts w:hint="eastAsia"/>
                <w:color w:val="auto"/>
                <w:highlight w:val="none"/>
              </w:rPr>
              <w:t>新建</w:t>
            </w:r>
            <w:r>
              <w:rPr>
                <w:rFonts w:hint="eastAsia" w:cs="Times New Roman"/>
                <w:caps w:val="0"/>
                <w:smallCaps w:val="0"/>
                <w:color w:val="auto"/>
                <w:highlight w:val="none"/>
                <w:lang w:val="en-US" w:eastAsia="zh-CN"/>
              </w:rPr>
              <w:t>矿区内部道路491.92m</w:t>
            </w:r>
            <w:r>
              <w:rPr>
                <w:rFonts w:hint="eastAsia"/>
                <w:color w:val="auto"/>
                <w:lang w:eastAsia="zh-CN"/>
              </w:rPr>
              <w:t>，</w:t>
            </w:r>
            <w:r>
              <w:rPr>
                <w:rFonts w:hint="eastAsia"/>
                <w:color w:val="auto"/>
                <w:highlight w:val="none"/>
                <w:lang w:val="en-US" w:eastAsia="zh-CN"/>
              </w:rPr>
              <w:t>路面</w:t>
            </w:r>
            <w:r>
              <w:rPr>
                <w:rFonts w:hint="eastAsia"/>
                <w:color w:val="auto"/>
                <w:highlight w:val="none"/>
              </w:rPr>
              <w:t>宽</w:t>
            </w:r>
            <w:r>
              <w:rPr>
                <w:rFonts w:hint="eastAsia"/>
                <w:color w:val="auto"/>
                <w:highlight w:val="none"/>
                <w:lang w:val="en-US" w:eastAsia="zh-CN"/>
              </w:rPr>
              <w:t>6</w:t>
            </w:r>
            <w:r>
              <w:rPr>
                <w:rFonts w:hint="eastAsia"/>
                <w:color w:val="auto"/>
                <w:highlight w:val="none"/>
              </w:rPr>
              <w:t>m</w:t>
            </w:r>
            <w:r>
              <w:rPr>
                <w:rFonts w:hint="eastAsia"/>
                <w:color w:val="auto"/>
                <w:highlight w:val="none"/>
                <w:lang w:eastAsia="zh-CN"/>
              </w:rPr>
              <w:t>、</w:t>
            </w:r>
            <w:r>
              <w:rPr>
                <w:rFonts w:hint="eastAsia" w:ascii="Times New Roman" w:hAnsi="Times New Roman" w:eastAsia="宋体" w:cs="Times New Roman"/>
                <w:caps w:val="0"/>
                <w:smallCaps w:val="0"/>
                <w:color w:val="auto"/>
                <w:highlight w:val="none"/>
                <w:lang w:val="en-US" w:eastAsia="zh-CN"/>
              </w:rPr>
              <w:t>路肩宽0.5m</w:t>
            </w:r>
            <w:r>
              <w:rPr>
                <w:rFonts w:hint="eastAsia"/>
                <w:color w:val="auto"/>
                <w:highlight w:val="none"/>
                <w:lang w:val="en-US" w:eastAsia="zh-CN"/>
              </w:rPr>
              <w:t>，</w:t>
            </w:r>
            <w:r>
              <w:rPr>
                <w:rFonts w:hint="eastAsia"/>
                <w:color w:val="auto"/>
                <w:highlight w:val="none"/>
              </w:rPr>
              <w:t>新建</w:t>
            </w:r>
            <w:r>
              <w:rPr>
                <w:rFonts w:hint="eastAsia"/>
                <w:color w:val="auto"/>
                <w:highlight w:val="none"/>
                <w:lang w:val="en-US" w:eastAsia="zh-CN"/>
              </w:rPr>
              <w:t>工业场地区（含破碎站、砂料堆放区）、办公生活区</w:t>
            </w:r>
            <w:r>
              <w:rPr>
                <w:rFonts w:hint="eastAsia"/>
                <w:color w:val="auto"/>
                <w:highlight w:val="none"/>
              </w:rPr>
              <w:t>以及配套排水工程（截（排）水沟</w:t>
            </w:r>
            <w:r>
              <w:rPr>
                <w:rFonts w:hint="eastAsia"/>
                <w:color w:val="auto"/>
                <w:highlight w:val="none"/>
                <w:lang w:eastAsia="zh-CN"/>
              </w:rPr>
              <w:t>、</w:t>
            </w:r>
            <w:r>
              <w:rPr>
                <w:rFonts w:hint="eastAsia"/>
                <w:color w:val="auto"/>
                <w:highlight w:val="none"/>
                <w:lang w:val="en-US" w:eastAsia="zh-CN"/>
              </w:rPr>
              <w:t>沉砂池</w:t>
            </w:r>
            <w:r>
              <w:rPr>
                <w:rFonts w:hint="eastAsia"/>
                <w:color w:val="auto"/>
                <w:highlight w:val="none"/>
              </w:rPr>
              <w:t>）</w:t>
            </w:r>
            <w:r>
              <w:rPr>
                <w:color w:val="auto"/>
                <w:highlight w:val="none"/>
              </w:rPr>
              <w:t>。</w:t>
            </w:r>
            <w:r>
              <w:rPr>
                <w:rFonts w:hint="eastAsia"/>
                <w:color w:val="auto"/>
                <w:highlight w:val="none"/>
              </w:rPr>
              <w:t>项目</w:t>
            </w:r>
            <w:r>
              <w:rPr>
                <w:color w:val="auto"/>
                <w:highlight w:val="none"/>
              </w:rPr>
              <w:t>基建期施工人员约为</w:t>
            </w:r>
            <w:r>
              <w:rPr>
                <w:rFonts w:hint="eastAsia"/>
                <w:color w:val="auto"/>
                <w:highlight w:val="none"/>
                <w:lang w:val="en-US" w:eastAsia="zh-CN"/>
              </w:rPr>
              <w:t>20</w:t>
            </w:r>
            <w:r>
              <w:rPr>
                <w:color w:val="auto"/>
                <w:highlight w:val="none"/>
              </w:rPr>
              <w:t>人，不设施工营地，施工人员不在场内食宿。</w:t>
            </w:r>
          </w:p>
          <w:p w14:paraId="035308AA">
            <w:pPr>
              <w:ind w:firstLine="480"/>
              <w:jc w:val="left"/>
              <w:rPr>
                <w:color w:val="auto"/>
                <w:szCs w:val="24"/>
                <w:highlight w:val="none"/>
              </w:rPr>
            </w:pPr>
            <w:r>
              <w:rPr>
                <w:color w:val="auto"/>
                <w:highlight w:val="none"/>
              </w:rPr>
              <w:t>项目基建期所需</w:t>
            </w:r>
            <w:r>
              <w:rPr>
                <w:rFonts w:hint="eastAsia"/>
                <w:color w:val="auto"/>
                <w:highlight w:val="none"/>
                <w:lang w:val="en-US" w:eastAsia="zh-CN"/>
              </w:rPr>
              <w:t>砂石料外购</w:t>
            </w:r>
            <w:r>
              <w:rPr>
                <w:color w:val="auto"/>
                <w:highlight w:val="none"/>
              </w:rPr>
              <w:t>，不设砂石料场</w:t>
            </w:r>
            <w:r>
              <w:rPr>
                <w:rFonts w:hint="eastAsia"/>
                <w:color w:val="auto"/>
                <w:highlight w:val="none"/>
                <w:lang w:eastAsia="zh-CN"/>
              </w:rPr>
              <w:t>；</w:t>
            </w:r>
            <w:r>
              <w:rPr>
                <w:color w:val="auto"/>
                <w:highlight w:val="none"/>
              </w:rPr>
              <w:t>进出</w:t>
            </w:r>
            <w:r>
              <w:rPr>
                <w:rFonts w:hint="eastAsia"/>
                <w:color w:val="auto"/>
                <w:highlight w:val="none"/>
              </w:rPr>
              <w:t>场地</w:t>
            </w:r>
            <w:r>
              <w:rPr>
                <w:color w:val="auto"/>
                <w:highlight w:val="none"/>
              </w:rPr>
              <w:t>利用</w:t>
            </w:r>
            <w:r>
              <w:rPr>
                <w:rFonts w:hint="eastAsia"/>
                <w:color w:val="auto"/>
                <w:highlight w:val="none"/>
              </w:rPr>
              <w:t>现有</w:t>
            </w:r>
            <w:r>
              <w:rPr>
                <w:color w:val="auto"/>
                <w:highlight w:val="none"/>
              </w:rPr>
              <w:t>道路，不再额外修建临时入场道路</w:t>
            </w:r>
            <w:r>
              <w:rPr>
                <w:rFonts w:hint="eastAsia"/>
                <w:color w:val="auto"/>
                <w:highlight w:val="none"/>
                <w:lang w:eastAsia="zh-CN"/>
              </w:rPr>
              <w:t>；</w:t>
            </w:r>
            <w:r>
              <w:rPr>
                <w:color w:val="auto"/>
                <w:highlight w:val="none"/>
              </w:rPr>
              <w:t>不设施工营地，使用商品混凝土，不设混凝土</w:t>
            </w:r>
            <w:r>
              <w:rPr>
                <w:rFonts w:hint="eastAsia"/>
                <w:color w:val="auto"/>
                <w:highlight w:val="none"/>
                <w:lang w:eastAsia="zh-CN"/>
              </w:rPr>
              <w:t>拌和站</w:t>
            </w:r>
            <w:r>
              <w:rPr>
                <w:color w:val="auto"/>
                <w:highlight w:val="none"/>
              </w:rPr>
              <w:t>，不设取土场和</w:t>
            </w:r>
            <w:r>
              <w:rPr>
                <w:rFonts w:hint="eastAsia"/>
                <w:color w:val="auto"/>
                <w:highlight w:val="none"/>
              </w:rPr>
              <w:t>弃渣场</w:t>
            </w:r>
            <w:r>
              <w:rPr>
                <w:color w:val="auto"/>
                <w:highlight w:val="none"/>
              </w:rPr>
              <w:t>。</w:t>
            </w:r>
          </w:p>
        </w:tc>
      </w:tr>
      <w:tr w14:paraId="6B3705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6" w:type="pct"/>
            <w:vAlign w:val="center"/>
          </w:tcPr>
          <w:p w14:paraId="046508D8">
            <w:pPr>
              <w:spacing w:line="240" w:lineRule="auto"/>
              <w:ind w:firstLine="0" w:firstLineChars="0"/>
              <w:jc w:val="center"/>
              <w:rPr>
                <w:b/>
                <w:bCs/>
                <w:color w:val="auto"/>
                <w:highlight w:val="none"/>
              </w:rPr>
            </w:pPr>
            <w:r>
              <w:rPr>
                <w:b/>
                <w:bCs/>
                <w:color w:val="auto"/>
                <w:highlight w:val="none"/>
              </w:rPr>
              <w:t>施工方案</w:t>
            </w:r>
          </w:p>
        </w:tc>
        <w:tc>
          <w:tcPr>
            <w:tcW w:w="4743" w:type="pct"/>
            <w:vAlign w:val="center"/>
          </w:tcPr>
          <w:p w14:paraId="33110389">
            <w:pPr>
              <w:ind w:firstLine="480"/>
              <w:rPr>
                <w:color w:val="auto"/>
                <w:highlight w:val="none"/>
              </w:rPr>
            </w:pPr>
            <w:r>
              <w:rPr>
                <w:rFonts w:hint="eastAsia"/>
                <w:color w:val="auto"/>
                <w:highlight w:val="none"/>
              </w:rPr>
              <w:t>本</w:t>
            </w:r>
            <w:r>
              <w:rPr>
                <w:color w:val="auto"/>
                <w:highlight w:val="none"/>
              </w:rPr>
              <w:t>项目施工期施工内容主要包括</w:t>
            </w:r>
            <w:r>
              <w:rPr>
                <w:rFonts w:hint="eastAsia"/>
                <w:color w:val="auto"/>
                <w:highlight w:val="none"/>
              </w:rPr>
              <w:t>新建</w:t>
            </w:r>
            <w:r>
              <w:rPr>
                <w:rFonts w:hint="eastAsia" w:cs="Times New Roman"/>
                <w:caps w:val="0"/>
                <w:smallCaps w:val="0"/>
                <w:color w:val="auto"/>
                <w:highlight w:val="none"/>
                <w:lang w:val="en-US" w:eastAsia="zh-CN"/>
              </w:rPr>
              <w:t>矿区内部道路491.92m</w:t>
            </w:r>
            <w:r>
              <w:rPr>
                <w:rFonts w:hint="eastAsia"/>
                <w:color w:val="auto"/>
                <w:lang w:eastAsia="zh-CN"/>
              </w:rPr>
              <w:t>，</w:t>
            </w:r>
            <w:r>
              <w:rPr>
                <w:rFonts w:hint="eastAsia"/>
                <w:color w:val="auto"/>
                <w:highlight w:val="none"/>
                <w:lang w:val="en-US" w:eastAsia="zh-CN"/>
              </w:rPr>
              <w:t>路面</w:t>
            </w:r>
            <w:r>
              <w:rPr>
                <w:rFonts w:hint="eastAsia"/>
                <w:color w:val="auto"/>
                <w:highlight w:val="none"/>
              </w:rPr>
              <w:t>宽</w:t>
            </w:r>
            <w:r>
              <w:rPr>
                <w:rFonts w:hint="eastAsia"/>
                <w:color w:val="auto"/>
                <w:highlight w:val="none"/>
                <w:lang w:val="en-US" w:eastAsia="zh-CN"/>
              </w:rPr>
              <w:t>6</w:t>
            </w:r>
            <w:r>
              <w:rPr>
                <w:rFonts w:hint="eastAsia"/>
                <w:color w:val="auto"/>
                <w:highlight w:val="none"/>
              </w:rPr>
              <w:t>m</w:t>
            </w:r>
            <w:r>
              <w:rPr>
                <w:rFonts w:hint="eastAsia"/>
                <w:color w:val="auto"/>
                <w:highlight w:val="none"/>
                <w:lang w:eastAsia="zh-CN"/>
              </w:rPr>
              <w:t>、</w:t>
            </w:r>
            <w:r>
              <w:rPr>
                <w:rFonts w:hint="eastAsia" w:ascii="Times New Roman" w:hAnsi="Times New Roman" w:eastAsia="宋体" w:cs="Times New Roman"/>
                <w:caps w:val="0"/>
                <w:smallCaps w:val="0"/>
                <w:color w:val="auto"/>
                <w:highlight w:val="none"/>
                <w:lang w:val="en-US" w:eastAsia="zh-CN"/>
              </w:rPr>
              <w:t>路肩宽0.5m</w:t>
            </w:r>
            <w:r>
              <w:rPr>
                <w:rFonts w:hint="eastAsia"/>
                <w:color w:val="auto"/>
                <w:highlight w:val="none"/>
                <w:lang w:val="en-US" w:eastAsia="zh-CN"/>
              </w:rPr>
              <w:t>，</w:t>
            </w:r>
            <w:r>
              <w:rPr>
                <w:rFonts w:hint="eastAsia"/>
                <w:color w:val="auto"/>
                <w:highlight w:val="none"/>
              </w:rPr>
              <w:t>新建</w:t>
            </w:r>
            <w:r>
              <w:rPr>
                <w:rFonts w:hint="eastAsia"/>
                <w:color w:val="auto"/>
                <w:highlight w:val="none"/>
                <w:lang w:val="en-US" w:eastAsia="zh-CN"/>
              </w:rPr>
              <w:t>工业场地区（含破碎站、砂料堆放区）、办公生活区</w:t>
            </w:r>
            <w:r>
              <w:rPr>
                <w:rFonts w:hint="eastAsia"/>
                <w:color w:val="auto"/>
                <w:highlight w:val="none"/>
              </w:rPr>
              <w:t>以及配套排水工程（截（排）水沟</w:t>
            </w:r>
            <w:r>
              <w:rPr>
                <w:rFonts w:hint="eastAsia"/>
                <w:color w:val="auto"/>
                <w:highlight w:val="none"/>
                <w:lang w:eastAsia="zh-CN"/>
              </w:rPr>
              <w:t>、</w:t>
            </w:r>
            <w:r>
              <w:rPr>
                <w:rFonts w:hint="eastAsia"/>
                <w:color w:val="auto"/>
                <w:highlight w:val="none"/>
                <w:lang w:val="en-US" w:eastAsia="zh-CN"/>
              </w:rPr>
              <w:t>沉砂池</w:t>
            </w:r>
            <w:r>
              <w:rPr>
                <w:rFonts w:hint="eastAsia"/>
                <w:color w:val="auto"/>
                <w:highlight w:val="none"/>
              </w:rPr>
              <w:t>）</w:t>
            </w:r>
            <w:r>
              <w:rPr>
                <w:color w:val="auto"/>
                <w:highlight w:val="none"/>
              </w:rPr>
              <w:t>。</w:t>
            </w:r>
          </w:p>
          <w:p w14:paraId="2EC17A09">
            <w:pPr>
              <w:adjustRightInd w:val="0"/>
              <w:ind w:firstLine="482"/>
              <w:jc w:val="left"/>
              <w:rPr>
                <w:b/>
                <w:color w:val="auto"/>
                <w:szCs w:val="21"/>
                <w:highlight w:val="none"/>
              </w:rPr>
            </w:pPr>
            <w:r>
              <w:rPr>
                <w:b/>
                <w:color w:val="auto"/>
                <w:szCs w:val="21"/>
                <w:highlight w:val="none"/>
              </w:rPr>
              <w:t>1、基建期施工工艺</w:t>
            </w:r>
            <w:r>
              <w:rPr>
                <w:rFonts w:hint="eastAsia"/>
                <w:b/>
                <w:color w:val="auto"/>
                <w:szCs w:val="21"/>
                <w:highlight w:val="none"/>
              </w:rPr>
              <w:t>流程及产污节点</w:t>
            </w:r>
          </w:p>
          <w:p w14:paraId="6B28B2F9">
            <w:pPr>
              <w:adjustRightInd w:val="0"/>
              <w:ind w:firstLine="0" w:firstLineChars="0"/>
              <w:jc w:val="center"/>
              <w:rPr>
                <w:rFonts w:hint="eastAsia"/>
                <w:color w:val="auto"/>
                <w:highlight w:val="none"/>
              </w:rPr>
            </w:pPr>
            <w:r>
              <w:rPr>
                <w:rFonts w:hint="eastAsia"/>
                <w:color w:val="auto"/>
                <w:highlight w:val="none"/>
              </w:rPr>
              <w:object>
                <v:shape id="_x0000_i1025" o:spt="75" type="#_x0000_t75" style="height:123.45pt;width:370.3pt;" o:ole="t" filled="f" o:preferrelative="t" stroked="f" coordsize="21600,21600">
                  <v:path/>
                  <v:fill on="f" focussize="0,0"/>
                  <v:stroke on="f"/>
                  <v:imagedata r:id="rId18" o:title=""/>
                  <o:lock v:ext="edit" aspectratio="t"/>
                  <w10:wrap type="none"/>
                  <w10:anchorlock/>
                </v:shape>
                <o:OLEObject Type="Embed" ProgID="Visio.Drawing.15" ShapeID="_x0000_i1025" DrawAspect="Content" ObjectID="_1468075725" r:id="rId17">
                  <o:LockedField>false</o:LockedField>
                </o:OLEObject>
              </w:object>
            </w:r>
          </w:p>
          <w:p w14:paraId="4F7367E3">
            <w:pPr>
              <w:adjustRightInd w:val="0"/>
              <w:spacing w:line="240" w:lineRule="auto"/>
              <w:ind w:firstLine="0" w:firstLineChars="0"/>
              <w:jc w:val="center"/>
              <w:rPr>
                <w:color w:val="auto"/>
                <w:sz w:val="21"/>
                <w:szCs w:val="21"/>
                <w:highlight w:val="none"/>
              </w:rPr>
            </w:pPr>
            <w:r>
              <w:rPr>
                <w:b/>
                <w:bCs/>
                <w:color w:val="auto"/>
                <w:sz w:val="21"/>
                <w:szCs w:val="21"/>
                <w:highlight w:val="none"/>
              </w:rPr>
              <w:t xml:space="preserve">图2-1 </w:t>
            </w:r>
            <w:r>
              <w:rPr>
                <w:rFonts w:hint="eastAsia"/>
                <w:b/>
                <w:bCs/>
                <w:color w:val="auto"/>
                <w:sz w:val="21"/>
                <w:szCs w:val="21"/>
                <w:highlight w:val="none"/>
              </w:rPr>
              <w:t xml:space="preserve"> </w:t>
            </w:r>
            <w:r>
              <w:rPr>
                <w:b/>
                <w:bCs/>
                <w:color w:val="auto"/>
                <w:sz w:val="21"/>
                <w:szCs w:val="21"/>
                <w:highlight w:val="none"/>
              </w:rPr>
              <w:t>基建期施工工艺流程及产污节点图</w:t>
            </w:r>
          </w:p>
          <w:p w14:paraId="19654749">
            <w:pPr>
              <w:adjustRightInd w:val="0"/>
              <w:ind w:firstLine="482"/>
              <w:jc w:val="left"/>
              <w:rPr>
                <w:b/>
                <w:color w:val="auto"/>
                <w:szCs w:val="21"/>
                <w:highlight w:val="none"/>
              </w:rPr>
            </w:pPr>
            <w:r>
              <w:rPr>
                <w:b/>
                <w:color w:val="auto"/>
                <w:szCs w:val="21"/>
                <w:highlight w:val="none"/>
              </w:rPr>
              <w:t>施工工艺流程简述：</w:t>
            </w:r>
          </w:p>
          <w:p w14:paraId="5D6C6A80">
            <w:pPr>
              <w:adjustRightInd w:val="0"/>
              <w:ind w:firstLine="482"/>
              <w:rPr>
                <w:bCs/>
                <w:color w:val="auto"/>
                <w:szCs w:val="21"/>
                <w:highlight w:val="none"/>
              </w:rPr>
            </w:pPr>
            <w:r>
              <w:rPr>
                <w:b/>
                <w:color w:val="auto"/>
                <w:szCs w:val="21"/>
                <w:highlight w:val="none"/>
              </w:rPr>
              <w:t>（1）表土清除、场地平整：</w:t>
            </w:r>
            <w:r>
              <w:rPr>
                <w:bCs/>
                <w:color w:val="auto"/>
                <w:szCs w:val="21"/>
                <w:highlight w:val="none"/>
              </w:rPr>
              <w:t>项目表土清除、场地平整主要是</w:t>
            </w:r>
            <w:r>
              <w:rPr>
                <w:rFonts w:hint="eastAsia"/>
                <w:bCs/>
                <w:color w:val="auto"/>
                <w:szCs w:val="21"/>
                <w:highlight w:val="none"/>
              </w:rPr>
              <w:t>新建</w:t>
            </w:r>
            <w:r>
              <w:rPr>
                <w:rFonts w:hint="eastAsia"/>
                <w:bCs/>
                <w:color w:val="auto"/>
                <w:szCs w:val="21"/>
                <w:highlight w:val="none"/>
                <w:lang w:val="en-US" w:eastAsia="zh-CN"/>
              </w:rPr>
              <w:t>内部</w:t>
            </w:r>
            <w:r>
              <w:rPr>
                <w:bCs/>
                <w:color w:val="auto"/>
                <w:szCs w:val="21"/>
                <w:highlight w:val="none"/>
              </w:rPr>
              <w:t>道路</w:t>
            </w:r>
            <w:r>
              <w:rPr>
                <w:rFonts w:hint="eastAsia"/>
                <w:bCs/>
                <w:color w:val="auto"/>
                <w:szCs w:val="21"/>
                <w:highlight w:val="none"/>
              </w:rPr>
              <w:t>、</w:t>
            </w:r>
            <w:r>
              <w:rPr>
                <w:rFonts w:hint="eastAsia"/>
                <w:color w:val="auto"/>
                <w:highlight w:val="none"/>
                <w:lang w:val="en-US" w:eastAsia="zh-CN"/>
              </w:rPr>
              <w:t>工业场地区（含破碎站、砂料堆放区）、办公生活区</w:t>
            </w:r>
            <w:r>
              <w:rPr>
                <w:rFonts w:hint="eastAsia"/>
                <w:color w:val="auto"/>
                <w:highlight w:val="none"/>
              </w:rPr>
              <w:t>以及配套排水工程（截（排）水沟）</w:t>
            </w:r>
            <w:r>
              <w:rPr>
                <w:bCs/>
                <w:color w:val="auto"/>
                <w:szCs w:val="21"/>
                <w:highlight w:val="none"/>
              </w:rPr>
              <w:t>，将原有地表植被进行清理</w:t>
            </w:r>
            <w:r>
              <w:rPr>
                <w:rFonts w:hint="eastAsia"/>
                <w:bCs/>
                <w:color w:val="auto"/>
                <w:szCs w:val="21"/>
                <w:highlight w:val="none"/>
                <w:lang w:eastAsia="zh-CN"/>
              </w:rPr>
              <w:t>（</w:t>
            </w:r>
            <w:r>
              <w:rPr>
                <w:rFonts w:hint="eastAsia"/>
                <w:bCs/>
                <w:color w:val="auto"/>
                <w:szCs w:val="21"/>
                <w:highlight w:val="none"/>
                <w:lang w:val="en-US" w:eastAsia="zh-CN"/>
              </w:rPr>
              <w:t>项目范围内地表植被已经清除</w:t>
            </w:r>
            <w:r>
              <w:rPr>
                <w:rFonts w:hint="eastAsia"/>
                <w:bCs/>
                <w:color w:val="auto"/>
                <w:szCs w:val="21"/>
                <w:highlight w:val="none"/>
                <w:lang w:eastAsia="zh-CN"/>
              </w:rPr>
              <w:t>）</w:t>
            </w:r>
            <w:r>
              <w:rPr>
                <w:bCs/>
                <w:color w:val="auto"/>
                <w:szCs w:val="21"/>
                <w:highlight w:val="none"/>
              </w:rPr>
              <w:t>、对高低不平的地方进行平整处理</w:t>
            </w:r>
            <w:r>
              <w:rPr>
                <w:rFonts w:hint="eastAsia"/>
                <w:bCs/>
                <w:color w:val="auto"/>
                <w:szCs w:val="21"/>
                <w:highlight w:val="none"/>
                <w:lang w:eastAsia="zh-CN"/>
              </w:rPr>
              <w:t>（</w:t>
            </w:r>
            <w:r>
              <w:rPr>
                <w:rFonts w:hint="eastAsia"/>
                <w:bCs/>
                <w:color w:val="auto"/>
                <w:szCs w:val="21"/>
                <w:highlight w:val="none"/>
                <w:lang w:val="en-US" w:eastAsia="zh-CN"/>
              </w:rPr>
              <w:t>采用矿区</w:t>
            </w:r>
            <w:r>
              <w:rPr>
                <w:rFonts w:hint="eastAsia" w:ascii="Times New Roman" w:hAnsi="Times New Roman" w:eastAsia="宋体" w:cs="宋体"/>
                <w:color w:val="auto"/>
                <w:highlight w:val="none"/>
                <w:lang w:val="en-US" w:eastAsia="zh-CN"/>
              </w:rPr>
              <w:t>2200m、2192m开采平台已剥离表土进行平整</w:t>
            </w:r>
            <w:r>
              <w:rPr>
                <w:rFonts w:hint="eastAsia"/>
                <w:bCs/>
                <w:color w:val="auto"/>
                <w:szCs w:val="21"/>
                <w:highlight w:val="none"/>
                <w:lang w:eastAsia="zh-CN"/>
              </w:rPr>
              <w:t>）</w:t>
            </w:r>
            <w:r>
              <w:rPr>
                <w:bCs/>
                <w:color w:val="auto"/>
                <w:szCs w:val="21"/>
                <w:highlight w:val="none"/>
              </w:rPr>
              <w:t>，为后面工程结构施工创造条件。在该过程中主要产生剥离表土、施工扬尘、机械噪声以及机械清洗废水等。</w:t>
            </w:r>
          </w:p>
          <w:p w14:paraId="233E8612">
            <w:pPr>
              <w:adjustRightInd w:val="0"/>
              <w:ind w:firstLine="482"/>
              <w:jc w:val="left"/>
              <w:rPr>
                <w:bCs/>
                <w:color w:val="auto"/>
                <w:szCs w:val="21"/>
                <w:highlight w:val="none"/>
              </w:rPr>
            </w:pPr>
            <w:r>
              <w:rPr>
                <w:b/>
                <w:color w:val="auto"/>
                <w:szCs w:val="21"/>
                <w:highlight w:val="none"/>
              </w:rPr>
              <w:t>（2）工程建设：</w:t>
            </w:r>
            <w:r>
              <w:rPr>
                <w:bCs/>
                <w:color w:val="auto"/>
                <w:szCs w:val="21"/>
                <w:highlight w:val="none"/>
              </w:rPr>
              <w:t>工程建设包括道路工程建设、</w:t>
            </w:r>
            <w:r>
              <w:rPr>
                <w:rFonts w:hint="eastAsia"/>
                <w:color w:val="auto"/>
                <w:highlight w:val="none"/>
                <w:lang w:val="en-US" w:eastAsia="zh-CN"/>
              </w:rPr>
              <w:t>工业场地区（含破碎站、砂料堆放区）、办公生活区</w:t>
            </w:r>
            <w:r>
              <w:rPr>
                <w:rFonts w:hint="eastAsia"/>
                <w:color w:val="auto"/>
                <w:highlight w:val="none"/>
              </w:rPr>
              <w:t>以及配套排水工程（截（排）水沟</w:t>
            </w:r>
            <w:r>
              <w:rPr>
                <w:rFonts w:hint="eastAsia"/>
                <w:color w:val="auto"/>
                <w:highlight w:val="none"/>
                <w:lang w:eastAsia="zh-CN"/>
              </w:rPr>
              <w:t>、</w:t>
            </w:r>
            <w:r>
              <w:rPr>
                <w:rFonts w:hint="eastAsia"/>
                <w:color w:val="auto"/>
                <w:highlight w:val="none"/>
                <w:lang w:val="en-US" w:eastAsia="zh-CN"/>
              </w:rPr>
              <w:t>沉砂池</w:t>
            </w:r>
            <w:r>
              <w:rPr>
                <w:rFonts w:hint="eastAsia"/>
                <w:color w:val="auto"/>
                <w:highlight w:val="none"/>
              </w:rPr>
              <w:t>）</w:t>
            </w:r>
            <w:r>
              <w:rPr>
                <w:bCs/>
                <w:color w:val="auto"/>
                <w:szCs w:val="21"/>
                <w:highlight w:val="none"/>
              </w:rPr>
              <w:t>修建，采用人工及机械结合的方式进行建设，所需石料</w:t>
            </w:r>
            <w:r>
              <w:rPr>
                <w:rFonts w:hint="eastAsia"/>
                <w:bCs/>
                <w:color w:val="auto"/>
                <w:szCs w:val="21"/>
                <w:highlight w:val="none"/>
                <w:lang w:eastAsia="zh-CN"/>
              </w:rPr>
              <w:t>、</w:t>
            </w:r>
            <w:r>
              <w:rPr>
                <w:bCs/>
                <w:color w:val="auto"/>
                <w:szCs w:val="21"/>
                <w:highlight w:val="none"/>
              </w:rPr>
              <w:t>混凝土</w:t>
            </w:r>
            <w:r>
              <w:rPr>
                <w:rFonts w:hint="eastAsia"/>
                <w:bCs/>
                <w:color w:val="auto"/>
                <w:szCs w:val="21"/>
                <w:highlight w:val="none"/>
                <w:lang w:val="en-US" w:eastAsia="zh-CN"/>
              </w:rPr>
              <w:t>外购</w:t>
            </w:r>
            <w:r>
              <w:rPr>
                <w:bCs/>
                <w:color w:val="auto"/>
                <w:szCs w:val="21"/>
                <w:highlight w:val="none"/>
              </w:rPr>
              <w:t>，该过程中主要产生施工扬尘、机械及敲击噪声、土石方、建筑垃圾、施工废水等。</w:t>
            </w:r>
          </w:p>
          <w:p w14:paraId="30AA24A6">
            <w:pPr>
              <w:adjustRightInd w:val="0"/>
              <w:ind w:firstLine="482"/>
              <w:jc w:val="left"/>
              <w:rPr>
                <w:bCs/>
                <w:color w:val="auto"/>
                <w:szCs w:val="21"/>
                <w:highlight w:val="none"/>
              </w:rPr>
            </w:pPr>
            <w:r>
              <w:rPr>
                <w:b/>
                <w:color w:val="auto"/>
                <w:szCs w:val="21"/>
                <w:highlight w:val="none"/>
              </w:rPr>
              <w:t>（</w:t>
            </w:r>
            <w:r>
              <w:rPr>
                <w:rFonts w:hint="eastAsia"/>
                <w:b/>
                <w:color w:val="auto"/>
                <w:szCs w:val="21"/>
                <w:highlight w:val="none"/>
              </w:rPr>
              <w:t>3</w:t>
            </w:r>
            <w:r>
              <w:rPr>
                <w:b/>
                <w:color w:val="auto"/>
                <w:szCs w:val="21"/>
                <w:highlight w:val="none"/>
              </w:rPr>
              <w:t>）场地清理：</w:t>
            </w:r>
            <w:r>
              <w:rPr>
                <w:bCs/>
                <w:color w:val="auto"/>
                <w:szCs w:val="21"/>
                <w:highlight w:val="none"/>
              </w:rPr>
              <w:t>基本工程内容建设完成后，需要对场地进行遗留施工材料清理，在该过程中主要产生固废和扬尘。</w:t>
            </w:r>
          </w:p>
          <w:p w14:paraId="0A4CD26B">
            <w:pPr>
              <w:adjustRightInd w:val="0"/>
              <w:ind w:firstLine="482"/>
              <w:jc w:val="left"/>
              <w:rPr>
                <w:bCs/>
                <w:color w:val="auto"/>
                <w:szCs w:val="21"/>
                <w:highlight w:val="none"/>
              </w:rPr>
            </w:pPr>
            <w:r>
              <w:rPr>
                <w:b/>
                <w:color w:val="auto"/>
                <w:szCs w:val="21"/>
                <w:highlight w:val="none"/>
              </w:rPr>
              <w:t>（</w:t>
            </w:r>
            <w:r>
              <w:rPr>
                <w:rFonts w:hint="eastAsia"/>
                <w:b/>
                <w:color w:val="auto"/>
                <w:szCs w:val="21"/>
                <w:highlight w:val="none"/>
              </w:rPr>
              <w:t>4</w:t>
            </w:r>
            <w:r>
              <w:rPr>
                <w:b/>
                <w:color w:val="auto"/>
                <w:szCs w:val="21"/>
                <w:highlight w:val="none"/>
              </w:rPr>
              <w:t>）</w:t>
            </w:r>
            <w:r>
              <w:rPr>
                <w:rFonts w:hint="eastAsia"/>
                <w:b/>
                <w:color w:val="auto"/>
                <w:szCs w:val="21"/>
                <w:highlight w:val="none"/>
              </w:rPr>
              <w:t>投入运营</w:t>
            </w:r>
            <w:r>
              <w:rPr>
                <w:bCs/>
                <w:color w:val="auto"/>
                <w:szCs w:val="21"/>
                <w:highlight w:val="none"/>
              </w:rPr>
              <w:t>：</w:t>
            </w:r>
            <w:r>
              <w:rPr>
                <w:rFonts w:hint="eastAsia"/>
                <w:bCs/>
                <w:color w:val="auto"/>
                <w:szCs w:val="21"/>
                <w:highlight w:val="none"/>
              </w:rPr>
              <w:t>基建完成后，开始投入运营</w:t>
            </w:r>
            <w:r>
              <w:rPr>
                <w:bCs/>
                <w:color w:val="auto"/>
                <w:szCs w:val="21"/>
                <w:highlight w:val="none"/>
              </w:rPr>
              <w:t>。</w:t>
            </w:r>
          </w:p>
          <w:p w14:paraId="40310BBE">
            <w:pPr>
              <w:adjustRightInd w:val="0"/>
              <w:ind w:firstLine="482"/>
              <w:jc w:val="left"/>
              <w:rPr>
                <w:b/>
                <w:color w:val="auto"/>
                <w:szCs w:val="21"/>
                <w:highlight w:val="none"/>
              </w:rPr>
            </w:pPr>
            <w:r>
              <w:rPr>
                <w:b/>
                <w:color w:val="auto"/>
                <w:szCs w:val="21"/>
                <w:highlight w:val="none"/>
              </w:rPr>
              <w:t>2、建设周期</w:t>
            </w:r>
          </w:p>
          <w:p w14:paraId="349C4CB2">
            <w:pPr>
              <w:adjustRightInd w:val="0"/>
              <w:ind w:firstLine="480"/>
              <w:jc w:val="left"/>
              <w:rPr>
                <w:color w:val="auto"/>
                <w:szCs w:val="21"/>
                <w:highlight w:val="none"/>
              </w:rPr>
            </w:pPr>
            <w:r>
              <w:rPr>
                <w:color w:val="auto"/>
                <w:szCs w:val="21"/>
                <w:highlight w:val="none"/>
              </w:rPr>
              <w:t>项目计划于</w:t>
            </w:r>
            <w:r>
              <w:rPr>
                <w:rFonts w:hint="eastAsia"/>
                <w:color w:val="auto"/>
                <w:szCs w:val="21"/>
                <w:highlight w:val="none"/>
              </w:rPr>
              <w:t>2026</w:t>
            </w:r>
            <w:r>
              <w:rPr>
                <w:color w:val="auto"/>
                <w:szCs w:val="21"/>
                <w:highlight w:val="none"/>
              </w:rPr>
              <w:t>年</w:t>
            </w:r>
            <w:r>
              <w:rPr>
                <w:rFonts w:hint="eastAsia"/>
                <w:color w:val="auto"/>
                <w:szCs w:val="21"/>
                <w:highlight w:val="none"/>
                <w:lang w:val="en-US" w:eastAsia="zh-CN"/>
              </w:rPr>
              <w:t>10</w:t>
            </w:r>
            <w:r>
              <w:rPr>
                <w:color w:val="auto"/>
                <w:szCs w:val="21"/>
                <w:highlight w:val="none"/>
              </w:rPr>
              <w:t>月开始，于20</w:t>
            </w:r>
            <w:r>
              <w:rPr>
                <w:rFonts w:hint="eastAsia"/>
                <w:color w:val="auto"/>
                <w:szCs w:val="21"/>
                <w:highlight w:val="none"/>
              </w:rPr>
              <w:t>2</w:t>
            </w:r>
            <w:r>
              <w:rPr>
                <w:rFonts w:hint="eastAsia"/>
                <w:color w:val="auto"/>
                <w:szCs w:val="21"/>
                <w:highlight w:val="none"/>
                <w:lang w:val="en-US" w:eastAsia="zh-CN"/>
              </w:rPr>
              <w:t>7</w:t>
            </w:r>
            <w:r>
              <w:rPr>
                <w:color w:val="auto"/>
                <w:szCs w:val="21"/>
                <w:highlight w:val="none"/>
              </w:rPr>
              <w:t>年</w:t>
            </w:r>
            <w:r>
              <w:rPr>
                <w:rFonts w:hint="eastAsia"/>
                <w:color w:val="auto"/>
                <w:szCs w:val="21"/>
                <w:highlight w:val="none"/>
                <w:lang w:val="en-US" w:eastAsia="zh-CN"/>
              </w:rPr>
              <w:t>3</w:t>
            </w:r>
            <w:r>
              <w:rPr>
                <w:color w:val="auto"/>
                <w:szCs w:val="21"/>
                <w:highlight w:val="none"/>
              </w:rPr>
              <w:t>月完工，工期</w:t>
            </w:r>
            <w:r>
              <w:rPr>
                <w:rFonts w:hint="eastAsia"/>
                <w:color w:val="auto"/>
                <w:szCs w:val="21"/>
                <w:highlight w:val="none"/>
                <w:lang w:val="en-US" w:eastAsia="zh-CN"/>
              </w:rPr>
              <w:t>6</w:t>
            </w:r>
            <w:r>
              <w:rPr>
                <w:color w:val="auto"/>
                <w:szCs w:val="21"/>
                <w:highlight w:val="none"/>
              </w:rPr>
              <w:t>个月。</w:t>
            </w:r>
          </w:p>
        </w:tc>
      </w:tr>
      <w:tr w14:paraId="11A902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56" w:type="pct"/>
            <w:vAlign w:val="center"/>
          </w:tcPr>
          <w:p w14:paraId="38E971F0">
            <w:pPr>
              <w:spacing w:line="240" w:lineRule="auto"/>
              <w:ind w:firstLine="0" w:firstLineChars="0"/>
              <w:jc w:val="center"/>
              <w:rPr>
                <w:b/>
                <w:bCs/>
                <w:color w:val="auto"/>
                <w:highlight w:val="none"/>
              </w:rPr>
            </w:pPr>
            <w:r>
              <w:rPr>
                <w:b/>
                <w:bCs/>
                <w:color w:val="auto"/>
                <w:highlight w:val="none"/>
              </w:rPr>
              <w:t>其他</w:t>
            </w:r>
          </w:p>
        </w:tc>
        <w:tc>
          <w:tcPr>
            <w:tcW w:w="4743" w:type="pct"/>
            <w:vAlign w:val="center"/>
          </w:tcPr>
          <w:p w14:paraId="6EC4DEEC">
            <w:pPr>
              <w:ind w:firstLine="480"/>
              <w:rPr>
                <w:color w:val="auto"/>
                <w:highlight w:val="none"/>
              </w:rPr>
            </w:pPr>
            <w:r>
              <w:rPr>
                <w:color w:val="auto"/>
                <w:highlight w:val="none"/>
              </w:rPr>
              <w:t>无</w:t>
            </w:r>
          </w:p>
        </w:tc>
      </w:tr>
    </w:tbl>
    <w:p w14:paraId="1BD80236">
      <w:pPr>
        <w:pStyle w:val="4"/>
        <w:tabs>
          <w:tab w:val="left" w:pos="426"/>
        </w:tabs>
        <w:jc w:val="center"/>
        <w:rPr>
          <w:color w:val="auto"/>
          <w:highlight w:val="none"/>
        </w:rPr>
      </w:pPr>
      <w:r>
        <w:rPr>
          <w:color w:val="auto"/>
          <w:highlight w:val="none"/>
        </w:rPr>
        <w:br w:type="page"/>
      </w:r>
      <w:bookmarkStart w:id="13" w:name="_Toc22903"/>
      <w:r>
        <w:rPr>
          <w:rFonts w:hint="eastAsia"/>
          <w:color w:val="auto"/>
          <w:highlight w:val="none"/>
          <w:lang w:val="en-US" w:eastAsia="zh-CN"/>
        </w:rPr>
        <w:t xml:space="preserve"> </w:t>
      </w:r>
      <w:r>
        <w:rPr>
          <w:color w:val="auto"/>
          <w:highlight w:val="none"/>
        </w:rPr>
        <w:t>三、生态环境现状、保护目标及评价标准</w:t>
      </w:r>
      <w:bookmarkEnd w:id="13"/>
    </w:p>
    <w:tbl>
      <w:tblPr>
        <w:tblStyle w:val="30"/>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47"/>
        <w:gridCol w:w="8075"/>
      </w:tblGrid>
      <w:tr w14:paraId="1CA8C1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99" w:hRule="atLeast"/>
        </w:trPr>
        <w:tc>
          <w:tcPr>
            <w:tcW w:w="447" w:type="dxa"/>
            <w:vAlign w:val="center"/>
          </w:tcPr>
          <w:p w14:paraId="48D98BE9">
            <w:pPr>
              <w:spacing w:line="240" w:lineRule="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生态环境现状</w:t>
            </w:r>
          </w:p>
        </w:tc>
        <w:tc>
          <w:tcPr>
            <w:tcW w:w="8075" w:type="dxa"/>
            <w:vAlign w:val="center"/>
          </w:tcPr>
          <w:p w14:paraId="5CD94F9F">
            <w:pPr>
              <w:spacing w:before="156" w:beforeLines="50"/>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一、主体功能区划及生态功能区划</w:t>
            </w:r>
          </w:p>
          <w:p w14:paraId="17D068C5">
            <w:pPr>
              <w:ind w:firstLine="482"/>
              <w:jc w:val="left"/>
              <w:rPr>
                <w:rFonts w:hint="default" w:ascii="Times New Roman" w:hAnsi="Times New Roman" w:cs="Times New Roman"/>
                <w:b/>
                <w:color w:val="auto"/>
                <w:highlight w:val="none"/>
              </w:rPr>
            </w:pPr>
            <w:r>
              <w:rPr>
                <w:rFonts w:hint="default" w:ascii="Times New Roman" w:hAnsi="Times New Roman" w:cs="Times New Roman"/>
                <w:b/>
                <w:color w:val="auto"/>
                <w:highlight w:val="none"/>
              </w:rPr>
              <w:t>1、《云南省</w:t>
            </w:r>
            <w:r>
              <w:rPr>
                <w:rFonts w:hint="default" w:ascii="Times New Roman" w:hAnsi="Times New Roman" w:cs="Times New Roman"/>
                <w:b/>
                <w:bCs/>
                <w:color w:val="auto"/>
                <w:highlight w:val="none"/>
              </w:rPr>
              <w:t>主体功能区划》</w:t>
            </w:r>
          </w:p>
          <w:p w14:paraId="3150178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主体功能区规划》，云南省国土空间按照开发方式分为重点开发区域、限制开发区域、禁止开发区域3类主体功能区。其中重点开发区域主要分为国家重点开发区域和省级重点开发区域；限制开发区域主要分为农产品主产区、国家重点生态功能区和省级重点生态功能区；禁止开发区域主要包括国家禁止开发区域和省级禁止开发区域。</w:t>
            </w:r>
          </w:p>
          <w:p w14:paraId="68A32DD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位于寻甸县柯渡镇乐郎村委会稗子田村境内，对照《云南省主体功能区规划》，项目区属于《云南省主体功能区规划》中规定的国家重点开发区域，不属于禁止开发区或限制开发区。项目与云南省主体功能区划关系图见</w:t>
            </w:r>
            <w:r>
              <w:rPr>
                <w:rFonts w:hint="eastAsia" w:cs="Times New Roman"/>
                <w:color w:val="auto"/>
                <w:highlight w:val="none"/>
                <w:lang w:val="en-US" w:eastAsia="zh-CN"/>
              </w:rPr>
              <w:t>下图</w:t>
            </w:r>
            <w:r>
              <w:rPr>
                <w:rFonts w:hint="default" w:ascii="Times New Roman" w:hAnsi="Times New Roman" w:cs="Times New Roman"/>
                <w:color w:val="auto"/>
                <w:highlight w:val="none"/>
              </w:rPr>
              <w:t>。</w:t>
            </w:r>
          </w:p>
          <w:p w14:paraId="53E9A79B">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4824730" cy="3342005"/>
                  <wp:effectExtent l="0" t="0" r="13970" b="10795"/>
                  <wp:docPr id="5" name="图片 5" descr="云南生态功能区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云南生态功能区划图"/>
                          <pic:cNvPicPr>
                            <a:picLocks noChangeAspect="1"/>
                          </pic:cNvPicPr>
                        </pic:nvPicPr>
                        <pic:blipFill>
                          <a:blip r:embed="rId19"/>
                          <a:stretch>
                            <a:fillRect/>
                          </a:stretch>
                        </pic:blipFill>
                        <pic:spPr>
                          <a:xfrm>
                            <a:off x="0" y="0"/>
                            <a:ext cx="4824730" cy="3342005"/>
                          </a:xfrm>
                          <a:prstGeom prst="rect">
                            <a:avLst/>
                          </a:prstGeom>
                        </pic:spPr>
                      </pic:pic>
                    </a:graphicData>
                  </a:graphic>
                </wp:inline>
              </w:drawing>
            </w:r>
          </w:p>
          <w:p w14:paraId="05F2F706">
            <w:pPr>
              <w:pStyle w:val="2"/>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图3-1 项目与云南省主体功能区划位置关系</w:t>
            </w:r>
          </w:p>
          <w:p w14:paraId="572394B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国家重点开发区域的功能定位为我国面向西南开放重要桥头堡建设的核心区</w:t>
            </w:r>
            <w:r>
              <w:rPr>
                <w:rFonts w:hint="eastAsia" w:cs="Times New Roman"/>
                <w:color w:val="auto"/>
                <w:highlight w:val="none"/>
                <w:lang w:eastAsia="zh-CN"/>
              </w:rPr>
              <w:t>，是</w:t>
            </w:r>
            <w:r>
              <w:rPr>
                <w:rFonts w:hint="default" w:ascii="Times New Roman" w:hAnsi="Times New Roman" w:cs="Times New Roman"/>
                <w:color w:val="auto"/>
                <w:highlight w:val="none"/>
              </w:rPr>
              <w:t>连接东南亚、南亚国家的陆路交通枢纽</w:t>
            </w:r>
            <w:r>
              <w:rPr>
                <w:rFonts w:hint="default" w:ascii="Times New Roman" w:hAnsi="Times New Roman" w:cs="Times New Roman"/>
                <w:color w:val="auto"/>
                <w:highlight w:val="none"/>
                <w:lang w:eastAsia="zh-CN"/>
              </w:rPr>
              <w:t>，是</w:t>
            </w:r>
            <w:r>
              <w:rPr>
                <w:rFonts w:hint="default" w:ascii="Times New Roman" w:hAnsi="Times New Roman" w:cs="Times New Roman"/>
                <w:color w:val="auto"/>
                <w:highlight w:val="none"/>
              </w:rPr>
              <w:t>面向东南亚、南亚对外开放的重要门户</w:t>
            </w:r>
            <w:r>
              <w:rPr>
                <w:rFonts w:hint="default" w:ascii="Times New Roman" w:hAnsi="Times New Roman" w:cs="Times New Roman"/>
                <w:color w:val="auto"/>
                <w:highlight w:val="none"/>
                <w:lang w:eastAsia="zh-CN"/>
              </w:rPr>
              <w:t>；是</w:t>
            </w:r>
            <w:r>
              <w:rPr>
                <w:rFonts w:hint="default" w:ascii="Times New Roman" w:hAnsi="Times New Roman" w:cs="Times New Roman"/>
                <w:color w:val="auto"/>
                <w:highlight w:val="none"/>
              </w:rPr>
              <w:t>全国重要的烟草、旅游、文化、能源和商贸物流基地，以化工、有色冶炼加工、生物为重点的区域性资源深加工基地﹐承接产业转移基地和外向型特色优势产业基地；是我国城市化发展格局中特色鲜明的高原生态宜居城市群；是全省跨越发展的引擎，是我国西南地区重要的经济增长极。</w:t>
            </w:r>
          </w:p>
          <w:p w14:paraId="0B0CD5A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w:t>
            </w:r>
            <w:r>
              <w:rPr>
                <w:rFonts w:hint="default" w:ascii="Times New Roman" w:hAnsi="Times New Roman" w:cs="Times New Roman"/>
                <w:color w:val="auto"/>
                <w:szCs w:val="24"/>
                <w:highlight w:val="none"/>
              </w:rPr>
              <w:t>项目为</w:t>
            </w:r>
            <w:r>
              <w:rPr>
                <w:rFonts w:hint="default" w:ascii="Times New Roman" w:hAnsi="Times New Roman" w:cs="Times New Roman"/>
                <w:color w:val="auto"/>
                <w:highlight w:val="none"/>
                <w:lang w:eastAsia="zh-CN"/>
              </w:rPr>
              <w:t>建筑材料用砂岩矿</w:t>
            </w:r>
            <w:r>
              <w:rPr>
                <w:rFonts w:hint="default" w:ascii="Times New Roman" w:hAnsi="Times New Roman" w:cs="Times New Roman"/>
                <w:color w:val="auto"/>
                <w:szCs w:val="24"/>
                <w:highlight w:val="none"/>
              </w:rPr>
              <w:t>开采</w:t>
            </w:r>
            <w:r>
              <w:rPr>
                <w:rFonts w:hint="default" w:ascii="Times New Roman" w:hAnsi="Times New Roman" w:cs="Times New Roman"/>
                <w:color w:val="auto"/>
                <w:highlight w:val="none"/>
              </w:rPr>
              <w:t>，充分利用矿产资源，实施规模化开采，有效解决了个体矿山开采、设计不合理、不规范的问题，解</w:t>
            </w:r>
            <w:r>
              <w:rPr>
                <w:rFonts w:hint="default" w:ascii="Times New Roman" w:hAnsi="Times New Roman" w:cs="Times New Roman"/>
                <w:color w:val="auto"/>
                <w:highlight w:val="none"/>
                <w:lang w:eastAsia="zh-CN"/>
              </w:rPr>
              <w:t>决了</w:t>
            </w:r>
            <w:r>
              <w:rPr>
                <w:rFonts w:hint="default" w:ascii="Times New Roman" w:hAnsi="Times New Roman" w:cs="Times New Roman"/>
                <w:color w:val="auto"/>
                <w:highlight w:val="none"/>
              </w:rPr>
              <w:t>破坏资源和破坏环境的问题，项目建设与《云南省主体功能区规划》不冲突</w:t>
            </w:r>
            <w:r>
              <w:rPr>
                <w:rFonts w:hint="default" w:ascii="Times New Roman" w:hAnsi="Times New Roman" w:cs="Times New Roman"/>
                <w:b/>
                <w:bCs/>
                <w:color w:val="auto"/>
                <w:highlight w:val="none"/>
              </w:rPr>
              <w:t>。</w:t>
            </w:r>
          </w:p>
          <w:p w14:paraId="066CF861">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2、《云南省生态功能区划》</w:t>
            </w:r>
          </w:p>
          <w:p w14:paraId="1D81681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根据《云南省生态功能区划》，云南省生态功能区共</w:t>
            </w:r>
            <w:r>
              <w:rPr>
                <w:rFonts w:hint="default" w:ascii="Times New Roman" w:hAnsi="Times New Roman" w:cs="Times New Roman"/>
                <w:color w:val="auto"/>
                <w:highlight w:val="none"/>
                <w:lang w:eastAsia="zh-CN"/>
              </w:rPr>
              <w:t>分为</w:t>
            </w:r>
            <w:r>
              <w:rPr>
                <w:rFonts w:hint="default" w:ascii="Times New Roman" w:hAnsi="Times New Roman" w:cs="Times New Roman"/>
                <w:color w:val="auto"/>
                <w:highlight w:val="none"/>
              </w:rPr>
              <w:t>一级区（生态区）5个，二级区（生态亚区）19个，三级区（生态功能区）65个。</w:t>
            </w:r>
            <w:r>
              <w:rPr>
                <w:rFonts w:hint="eastAsia" w:cs="Times New Roman"/>
                <w:color w:val="auto"/>
                <w:highlight w:val="none"/>
                <w:lang w:val="en-US" w:eastAsia="zh-CN"/>
              </w:rPr>
              <w:t>项目位于寻甸县柯渡镇乐朗村稗子田范围内</w:t>
            </w:r>
            <w:r>
              <w:rPr>
                <w:rFonts w:hint="default" w:ascii="Times New Roman" w:hAnsi="Times New Roman" w:cs="Times New Roman"/>
                <w:color w:val="auto"/>
                <w:highlight w:val="none"/>
              </w:rPr>
              <w:t>，属于</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 3 \* ROMAN \* MERGEFORMAT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Ⅲ</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1-10嵩明、马龙牛栏江上游丘原盆地水源涵养生态功能区，该区主要生态特征为：以石灰岩丘原盆地地貌为主</w:t>
            </w:r>
            <w:r>
              <w:rPr>
                <w:rFonts w:hint="eastAsia" w:cs="Times New Roman"/>
                <w:color w:val="auto"/>
                <w:highlight w:val="none"/>
                <w:lang w:eastAsia="zh-CN"/>
              </w:rPr>
              <w:t>，</w:t>
            </w:r>
            <w:r>
              <w:rPr>
                <w:rFonts w:hint="default" w:ascii="Times New Roman" w:hAnsi="Times New Roman" w:cs="Times New Roman"/>
                <w:color w:val="auto"/>
                <w:highlight w:val="none"/>
              </w:rPr>
              <w:t>降雨量1000-1200毫米，植被主要为云南松林和半湿润常绿阔叶林，土壤类型主要是红壤；主要生态环境问题为：土地利用过度引起的土地退化；生态环境敏感性为：石漠化高度及中度敏感；主要生态系统服务功能：牛栏江上游的水源涵养和生态农业建设；保护措施与发展方向：山地封山育林，提高森林覆盖率，谷盆地区调整农业结构，推行清洁生产，保护农田生态环境，防止区域石漠化。项目与云南省生态功能区划关系见</w:t>
            </w:r>
            <w:r>
              <w:rPr>
                <w:rFonts w:hint="eastAsia" w:cs="Times New Roman"/>
                <w:color w:val="auto"/>
                <w:highlight w:val="none"/>
                <w:lang w:val="en-US" w:eastAsia="zh-CN"/>
              </w:rPr>
              <w:t>下图</w:t>
            </w:r>
            <w:r>
              <w:rPr>
                <w:rFonts w:hint="default" w:ascii="Times New Roman" w:hAnsi="Times New Roman" w:cs="Times New Roman"/>
                <w:color w:val="auto"/>
                <w:highlight w:val="none"/>
              </w:rPr>
              <w:t>。</w:t>
            </w:r>
          </w:p>
          <w:p w14:paraId="4BBD1669">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4876800" cy="3276600"/>
                  <wp:effectExtent l="0" t="0" r="0" b="0"/>
                  <wp:docPr id="7" name="图片 7" descr="云南生态功能类型区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云南生态功能类型区划图"/>
                          <pic:cNvPicPr>
                            <a:picLocks noChangeAspect="1"/>
                          </pic:cNvPicPr>
                        </pic:nvPicPr>
                        <pic:blipFill>
                          <a:blip r:embed="rId20"/>
                          <a:stretch>
                            <a:fillRect/>
                          </a:stretch>
                        </pic:blipFill>
                        <pic:spPr>
                          <a:xfrm>
                            <a:off x="0" y="0"/>
                            <a:ext cx="4876800" cy="3276600"/>
                          </a:xfrm>
                          <a:prstGeom prst="rect">
                            <a:avLst/>
                          </a:prstGeom>
                        </pic:spPr>
                      </pic:pic>
                    </a:graphicData>
                  </a:graphic>
                </wp:inline>
              </w:drawing>
            </w:r>
          </w:p>
          <w:p w14:paraId="21D08105">
            <w:pPr>
              <w:pStyle w:val="2"/>
              <w:keepNext w:val="0"/>
              <w:keepLines w:val="0"/>
              <w:pageBreakBefore w:val="0"/>
              <w:widowControl w:val="0"/>
              <w:kinsoku/>
              <w:wordWrap/>
              <w:overflowPunct/>
              <w:topLinePunct w:val="0"/>
              <w:autoSpaceDE/>
              <w:autoSpaceDN/>
              <w:bidi w:val="0"/>
              <w:adjustRightInd/>
              <w:snapToGrid/>
              <w:spacing w:after="0"/>
              <w:jc w:val="center"/>
              <w:textAlignment w:val="auto"/>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图3-2 项目与</w:t>
            </w:r>
            <w:r>
              <w:rPr>
                <w:rFonts w:hint="default" w:ascii="Times New Roman" w:hAnsi="Times New Roman" w:cs="Times New Roman"/>
                <w:b/>
                <w:bCs/>
                <w:color w:val="auto"/>
                <w:sz w:val="21"/>
                <w:szCs w:val="21"/>
                <w:highlight w:val="none"/>
              </w:rPr>
              <w:t>云南省生态功能区划</w:t>
            </w:r>
            <w:r>
              <w:rPr>
                <w:rFonts w:hint="eastAsia" w:cs="Times New Roman"/>
                <w:b/>
                <w:bCs/>
                <w:color w:val="auto"/>
                <w:sz w:val="21"/>
                <w:szCs w:val="21"/>
                <w:highlight w:val="none"/>
                <w:lang w:val="en-US" w:eastAsia="zh-CN"/>
              </w:rPr>
              <w:t>位置关系图</w:t>
            </w:r>
          </w:p>
          <w:p w14:paraId="088440A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w:t>
            </w:r>
            <w:r>
              <w:rPr>
                <w:rFonts w:hint="default" w:ascii="Times New Roman" w:hAnsi="Times New Roman" w:cs="Times New Roman"/>
                <w:color w:val="auto"/>
                <w:szCs w:val="24"/>
                <w:highlight w:val="none"/>
              </w:rPr>
              <w:t>项目为</w:t>
            </w:r>
            <w:r>
              <w:rPr>
                <w:rFonts w:hint="default" w:ascii="Times New Roman" w:hAnsi="Times New Roman" w:cs="Times New Roman"/>
                <w:color w:val="auto"/>
                <w:highlight w:val="none"/>
                <w:lang w:eastAsia="zh-CN"/>
              </w:rPr>
              <w:t>建筑材料用砂岩矿</w:t>
            </w:r>
            <w:r>
              <w:rPr>
                <w:rFonts w:hint="default" w:ascii="Times New Roman" w:hAnsi="Times New Roman" w:cs="Times New Roman"/>
                <w:color w:val="auto"/>
                <w:szCs w:val="24"/>
                <w:highlight w:val="none"/>
              </w:rPr>
              <w:t>开采</w:t>
            </w:r>
            <w:r>
              <w:rPr>
                <w:rFonts w:hint="default" w:ascii="Times New Roman" w:hAnsi="Times New Roman" w:cs="Times New Roman"/>
                <w:color w:val="auto"/>
                <w:highlight w:val="none"/>
              </w:rPr>
              <w:t>，在开采过程中采取“边开采、边恢复”的复垦原则，项目采区在复垦结束后，将会形成新的林地，从长期来看，不会导致区域林地面积的减少，是符合《云南省生态功能区划》相关规划要求的。</w:t>
            </w:r>
          </w:p>
          <w:p w14:paraId="54B14D3D">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二、生态环境质量现状</w:t>
            </w:r>
          </w:p>
          <w:p w14:paraId="540840E8">
            <w:pPr>
              <w:ind w:firstLine="482"/>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1、评价范围</w:t>
            </w:r>
          </w:p>
          <w:p w14:paraId="2619272A">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本次陆生生态评价根据工程推荐方案确定调查范围和调查线路，重点调查项目</w:t>
            </w:r>
            <w:r>
              <w:rPr>
                <w:rFonts w:hint="default" w:ascii="Times New Roman" w:hAnsi="Times New Roman" w:eastAsia="宋体" w:cs="Times New Roman"/>
                <w:color w:val="auto"/>
                <w:highlight w:val="none"/>
                <w:lang w:val="en-US" w:eastAsia="zh-CN"/>
              </w:rPr>
              <w:t>矿权范围、工业场地、</w:t>
            </w:r>
            <w:r>
              <w:rPr>
                <w:rFonts w:hint="eastAsia" w:cs="Times New Roman"/>
                <w:color w:val="auto"/>
                <w:highlight w:val="none"/>
                <w:lang w:val="en-US" w:eastAsia="zh-CN"/>
              </w:rPr>
              <w:t>办公生活区</w:t>
            </w:r>
            <w:r>
              <w:rPr>
                <w:rFonts w:hint="default" w:ascii="Times New Roman" w:hAnsi="Times New Roman" w:eastAsia="宋体" w:cs="Times New Roman"/>
                <w:color w:val="auto"/>
                <w:highlight w:val="none"/>
                <w:lang w:eastAsia="zh-CN"/>
              </w:rPr>
              <w:t>及外延300m的区域。本项目评价区海拔</w:t>
            </w:r>
            <w:r>
              <w:rPr>
                <w:rFonts w:hint="default" w:ascii="Times New Roman" w:hAnsi="Times New Roman" w:eastAsia="宋体" w:cs="Times New Roman"/>
                <w:color w:val="auto"/>
                <w:highlight w:val="none"/>
                <w:lang w:val="en-US" w:eastAsia="zh-CN"/>
              </w:rPr>
              <w:t>范围为2106m～2204m</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生态</w:t>
            </w:r>
            <w:r>
              <w:rPr>
                <w:rFonts w:hint="default" w:ascii="Times New Roman" w:hAnsi="Times New Roman" w:eastAsia="宋体" w:cs="Times New Roman"/>
                <w:color w:val="auto"/>
                <w:highlight w:val="none"/>
                <w:lang w:eastAsia="zh-CN"/>
              </w:rPr>
              <w:t>评价区面积约</w:t>
            </w:r>
            <w:r>
              <w:rPr>
                <w:rFonts w:hint="eastAsia" w:cs="Times New Roman"/>
                <w:color w:val="auto"/>
                <w:highlight w:val="none"/>
                <w:lang w:eastAsia="zh-CN"/>
              </w:rPr>
              <w:t>80.013</w:t>
            </w:r>
            <w:r>
              <w:rPr>
                <w:rFonts w:hint="default" w:ascii="Times New Roman" w:hAnsi="Times New Roman" w:eastAsia="宋体" w:cs="Times New Roman"/>
                <w:color w:val="auto"/>
                <w:highlight w:val="none"/>
                <w:lang w:eastAsia="zh-CN"/>
              </w:rPr>
              <w:t>hm</w:t>
            </w:r>
            <w:r>
              <w:rPr>
                <w:rFonts w:hint="default" w:ascii="Times New Roman" w:hAnsi="Times New Roman" w:eastAsia="宋体" w:cs="Times New Roman"/>
                <w:color w:val="auto"/>
                <w:highlight w:val="none"/>
                <w:vertAlign w:val="superscript"/>
                <w:lang w:eastAsia="zh-CN"/>
              </w:rPr>
              <w:t>2</w:t>
            </w:r>
            <w:r>
              <w:rPr>
                <w:rFonts w:hint="default" w:ascii="Times New Roman" w:hAnsi="Times New Roman" w:eastAsia="宋体" w:cs="Times New Roman"/>
                <w:color w:val="auto"/>
                <w:highlight w:val="none"/>
                <w:lang w:eastAsia="zh-CN"/>
              </w:rPr>
              <w:t>。</w:t>
            </w:r>
          </w:p>
          <w:p w14:paraId="1713690D">
            <w:pPr>
              <w:ind w:firstLine="482"/>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eastAsia="zh-CN"/>
              </w:rPr>
              <w:t>2、调查</w:t>
            </w:r>
            <w:r>
              <w:rPr>
                <w:rFonts w:hint="default" w:ascii="Times New Roman" w:hAnsi="Times New Roman" w:eastAsia="宋体" w:cs="Times New Roman"/>
                <w:b/>
                <w:bCs/>
                <w:color w:val="auto"/>
                <w:highlight w:val="none"/>
                <w:lang w:val="en-US" w:eastAsia="zh-CN"/>
              </w:rPr>
              <w:t>时间及</w:t>
            </w:r>
            <w:r>
              <w:rPr>
                <w:rFonts w:hint="default" w:ascii="Times New Roman" w:hAnsi="Times New Roman" w:eastAsia="宋体" w:cs="Times New Roman"/>
                <w:b/>
                <w:bCs/>
                <w:color w:val="auto"/>
                <w:highlight w:val="none"/>
                <w:lang w:eastAsia="zh-CN"/>
              </w:rPr>
              <w:t>方法</w:t>
            </w:r>
          </w:p>
          <w:p w14:paraId="7DBB81A7">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调查人员及时间</w:t>
            </w:r>
          </w:p>
          <w:p w14:paraId="6E63AE20">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由环评单位项目组</w:t>
            </w:r>
            <w:r>
              <w:rPr>
                <w:rFonts w:hint="default" w:ascii="Times New Roman" w:hAnsi="Times New Roman" w:eastAsia="宋体" w:cs="Times New Roman"/>
                <w:color w:val="auto"/>
                <w:highlight w:val="none"/>
                <w:lang w:val="en-US" w:eastAsia="zh-CN"/>
              </w:rPr>
              <w:t>完成本次调查工作</w:t>
            </w:r>
            <w:r>
              <w:rPr>
                <w:rFonts w:hint="default" w:ascii="Times New Roman" w:hAnsi="Times New Roman" w:eastAsia="宋体" w:cs="Times New Roman"/>
                <w:color w:val="auto"/>
                <w:highlight w:val="none"/>
                <w:lang w:eastAsia="zh-CN"/>
              </w:rPr>
              <w:t>，于202</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lang w:eastAsia="zh-CN"/>
              </w:rPr>
              <w:t>年</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eastAsia="zh-CN"/>
              </w:rPr>
              <w:t>月</w:t>
            </w:r>
            <w:r>
              <w:rPr>
                <w:rFonts w:hint="default" w:ascii="Times New Roman" w:hAnsi="Times New Roman" w:eastAsia="宋体" w:cs="Times New Roman"/>
                <w:color w:val="auto"/>
                <w:highlight w:val="none"/>
                <w:lang w:val="en-US" w:eastAsia="zh-CN"/>
              </w:rPr>
              <w:t>07</w:t>
            </w:r>
            <w:r>
              <w:rPr>
                <w:rFonts w:hint="default" w:ascii="Times New Roman" w:hAnsi="Times New Roman" w:eastAsia="宋体" w:cs="Times New Roman"/>
                <w:color w:val="auto"/>
                <w:highlight w:val="none"/>
                <w:lang w:eastAsia="zh-CN"/>
              </w:rPr>
              <w:t>日~202</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lang w:eastAsia="zh-CN"/>
              </w:rPr>
              <w:t xml:space="preserve">年 </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eastAsia="zh-CN"/>
              </w:rPr>
              <w:t>月</w:t>
            </w:r>
            <w:r>
              <w:rPr>
                <w:rFonts w:hint="default" w:ascii="Times New Roman" w:hAnsi="Times New Roman" w:eastAsia="宋体" w:cs="Times New Roman"/>
                <w:color w:val="auto"/>
                <w:highlight w:val="none"/>
                <w:lang w:val="en-US" w:eastAsia="zh-CN"/>
              </w:rPr>
              <w:t>08</w:t>
            </w:r>
            <w:r>
              <w:rPr>
                <w:rFonts w:hint="default" w:ascii="Times New Roman" w:hAnsi="Times New Roman" w:eastAsia="宋体" w:cs="Times New Roman"/>
                <w:color w:val="auto"/>
                <w:highlight w:val="none"/>
                <w:lang w:eastAsia="zh-CN"/>
              </w:rPr>
              <w:t>日</w:t>
            </w:r>
            <w:r>
              <w:rPr>
                <w:rFonts w:hint="eastAsia" w:cs="Times New Roman"/>
                <w:color w:val="auto"/>
                <w:highlight w:val="none"/>
                <w:lang w:eastAsia="zh-CN"/>
              </w:rPr>
              <w:t>、</w:t>
            </w:r>
            <w:r>
              <w:rPr>
                <w:rFonts w:hint="eastAsia" w:cs="Times New Roman"/>
                <w:color w:val="auto"/>
                <w:highlight w:val="none"/>
                <w:lang w:val="en-US" w:eastAsia="zh-CN"/>
              </w:rPr>
              <w:t>2026年8月12日</w:t>
            </w:r>
            <w:r>
              <w:rPr>
                <w:rFonts w:hint="default" w:ascii="Times New Roman" w:hAnsi="Times New Roman" w:eastAsia="宋体" w:cs="Times New Roman"/>
                <w:color w:val="auto"/>
                <w:highlight w:val="none"/>
                <w:lang w:eastAsia="zh-CN"/>
              </w:rPr>
              <w:t>，对项目区域及周边的植物植被和陆栖脊椎动物现状进行了必要的野外调查。</w:t>
            </w:r>
          </w:p>
          <w:p w14:paraId="30A7E86F">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）植物植被</w:t>
            </w:r>
            <w:r>
              <w:rPr>
                <w:rFonts w:hint="default" w:ascii="Times New Roman" w:hAnsi="Times New Roman" w:eastAsia="宋体" w:cs="Times New Roman"/>
                <w:color w:val="auto"/>
                <w:highlight w:val="none"/>
                <w:lang w:val="en-US" w:eastAsia="zh-CN"/>
              </w:rPr>
              <w:t>调查方法</w:t>
            </w:r>
          </w:p>
          <w:p w14:paraId="73327C8A">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植物植被调查以现场调查、资料收集法和专家和公众咨询法相结合的方式进行。现场调查主要采用资料收集和现场记录法，同时注意收集相关植物和植被调查的资料并咨询了解当地的林业资源情况、野生植物的种类组成和资源变动情况；走访群众，了解野生植物的种类和变动情况，收集相关的资料如《云南植被》《云南植物志》《中国植被》等，对评价区的植被和植物资源进行记录、统计和分析。</w:t>
            </w:r>
          </w:p>
          <w:p w14:paraId="79D40C07">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）陆栖脊椎动物调查方法</w:t>
            </w:r>
          </w:p>
          <w:p w14:paraId="258F69C6">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陆栖脊椎动物调查以野外现场调查、访问调查和查阅文献资料相结合的方式进行。现场调查主要采用资料收集和现场记录法。访问调查则对评价区内放牧的村民进行了访问记录，通过指认《中国鸟类野外手册》等常用工具书中的动物图片，记录了体形较大、特征较明显的群众易分辨种类。文献资料以《中国哺乳动物分布》《中国哺乳动物物种和亚种分类名录与分布大全》《云南鸟类志》《云南鸟类名录》《云南两栖爬行动物》《云南两栖类志》等记载的该区的各类群动物。同时，根据国家重点保护野生动物名录、云南省重点保护</w:t>
            </w:r>
            <w:r>
              <w:rPr>
                <w:rFonts w:hint="default" w:ascii="Times New Roman" w:hAnsi="Times New Roman" w:eastAsia="宋体" w:cs="Times New Roman"/>
                <w:color w:val="auto"/>
                <w:highlight w:val="none"/>
                <w:lang w:val="en-US" w:eastAsia="zh-CN"/>
              </w:rPr>
              <w:t>陆生</w:t>
            </w:r>
            <w:r>
              <w:rPr>
                <w:rFonts w:hint="default" w:ascii="Times New Roman" w:hAnsi="Times New Roman" w:eastAsia="宋体" w:cs="Times New Roman"/>
                <w:color w:val="auto"/>
                <w:highlight w:val="none"/>
                <w:lang w:eastAsia="zh-CN"/>
              </w:rPr>
              <w:t>野生动物名录，以及《中国生物多样性红色名录•脊椎动物卷》（2020），确定动物的</w:t>
            </w:r>
            <w:r>
              <w:rPr>
                <w:rFonts w:hint="default" w:ascii="Times New Roman" w:hAnsi="Times New Roman" w:eastAsia="宋体" w:cs="Times New Roman"/>
                <w:color w:val="auto"/>
                <w:highlight w:val="none"/>
                <w:lang w:val="en-US" w:eastAsia="zh-CN"/>
              </w:rPr>
              <w:t>保护等级及珍稀程度</w:t>
            </w:r>
            <w:r>
              <w:rPr>
                <w:rFonts w:hint="default" w:ascii="Times New Roman" w:hAnsi="Times New Roman" w:eastAsia="宋体" w:cs="Times New Roman"/>
                <w:color w:val="auto"/>
                <w:highlight w:val="none"/>
                <w:lang w:eastAsia="zh-CN"/>
              </w:rPr>
              <w:t>。</w:t>
            </w:r>
          </w:p>
          <w:p w14:paraId="3E38A695">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）影响面积计算和制图方法</w:t>
            </w:r>
          </w:p>
          <w:p w14:paraId="0617A910">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利用评价区域卫星影像图片，根据野外植被调查、植物资源调查和动物资源调查的资料，对卫星影像图片进行植被解译。采用GIS方法，计算评价区和直接影响区内的各种植被类型的面积。同时完成评价区的植被图、土地利用现状图等图件。</w:t>
            </w:r>
          </w:p>
          <w:p w14:paraId="73257730">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rPr>
              <w:t>、土地利用现状</w:t>
            </w:r>
          </w:p>
          <w:p w14:paraId="4775A164">
            <w:pPr>
              <w:ind w:firstLine="480"/>
              <w:rPr>
                <w:rFonts w:hint="default" w:ascii="Times New Roman" w:hAnsi="Times New Roman" w:eastAsia="宋体" w:cs="Times New Roman"/>
                <w:snapToGrid/>
                <w:color w:val="auto"/>
                <w:kern w:val="2"/>
                <w:highlight w:val="none"/>
                <w:lang w:eastAsia="zh-CN"/>
              </w:rPr>
            </w:pPr>
            <w:r>
              <w:rPr>
                <w:rFonts w:hint="default" w:ascii="Times New Roman" w:hAnsi="Times New Roman" w:eastAsia="宋体" w:cs="Times New Roman"/>
                <w:color w:val="auto"/>
                <w:highlight w:val="none"/>
                <w:lang w:eastAsia="zh-CN"/>
              </w:rPr>
              <w:t>项目生态环境影响评价区面积共计</w:t>
            </w:r>
            <w:r>
              <w:rPr>
                <w:rFonts w:hint="eastAsia" w:cs="Times New Roman"/>
                <w:color w:val="auto"/>
                <w:highlight w:val="none"/>
                <w:lang w:eastAsia="zh-CN"/>
              </w:rPr>
              <w:t>80.013</w:t>
            </w:r>
            <w:r>
              <w:rPr>
                <w:rFonts w:hint="default" w:ascii="Times New Roman" w:hAnsi="Times New Roman" w:eastAsia="宋体" w:cs="Times New Roman"/>
                <w:snapToGrid/>
                <w:color w:val="auto"/>
                <w:kern w:val="2"/>
                <w:highlight w:val="none"/>
                <w:lang w:eastAsia="zh-CN"/>
              </w:rPr>
              <w:t>hm</w:t>
            </w:r>
            <w:r>
              <w:rPr>
                <w:rFonts w:hint="default" w:ascii="Times New Roman" w:hAnsi="Times New Roman" w:eastAsia="宋体" w:cs="Times New Roman"/>
                <w:snapToGrid/>
                <w:color w:val="auto"/>
                <w:kern w:val="2"/>
                <w:highlight w:val="none"/>
                <w:vertAlign w:val="superscript"/>
                <w:lang w:eastAsia="zh-CN"/>
              </w:rPr>
              <w:t>2</w:t>
            </w:r>
            <w:r>
              <w:rPr>
                <w:rFonts w:hint="default" w:ascii="Times New Roman" w:hAnsi="Times New Roman" w:eastAsia="宋体" w:cs="Times New Roman"/>
                <w:snapToGrid/>
                <w:color w:val="auto"/>
                <w:kern w:val="2"/>
                <w:highlight w:val="none"/>
                <w:lang w:eastAsia="zh-CN"/>
              </w:rPr>
              <w:t>，其土地利用类型见表3-</w:t>
            </w:r>
            <w:r>
              <w:rPr>
                <w:rFonts w:hint="default" w:ascii="Times New Roman" w:hAnsi="Times New Roman" w:eastAsia="宋体" w:cs="Times New Roman"/>
                <w:snapToGrid/>
                <w:color w:val="auto"/>
                <w:kern w:val="2"/>
                <w:highlight w:val="none"/>
                <w:lang w:val="en-US" w:eastAsia="zh-CN"/>
              </w:rPr>
              <w:t>1</w:t>
            </w:r>
            <w:r>
              <w:rPr>
                <w:rFonts w:hint="default" w:ascii="Times New Roman" w:hAnsi="Times New Roman" w:eastAsia="宋体" w:cs="Times New Roman"/>
                <w:snapToGrid/>
                <w:color w:val="auto"/>
                <w:kern w:val="2"/>
                <w:highlight w:val="none"/>
                <w:lang w:eastAsia="zh-CN"/>
              </w:rPr>
              <w:t>，土地利用现状分布情况详见附图</w:t>
            </w:r>
            <w:r>
              <w:rPr>
                <w:rFonts w:hint="default" w:ascii="Times New Roman" w:hAnsi="Times New Roman" w:eastAsia="宋体" w:cs="Times New Roman"/>
                <w:snapToGrid/>
                <w:color w:val="auto"/>
                <w:kern w:val="2"/>
                <w:highlight w:val="none"/>
                <w:lang w:val="en-US" w:eastAsia="zh-CN"/>
              </w:rPr>
              <w:t>7</w:t>
            </w:r>
            <w:r>
              <w:rPr>
                <w:rFonts w:hint="default" w:ascii="Times New Roman" w:hAnsi="Times New Roman" w:eastAsia="宋体" w:cs="Times New Roman"/>
                <w:snapToGrid/>
                <w:color w:val="auto"/>
                <w:kern w:val="2"/>
                <w:highlight w:val="none"/>
                <w:lang w:eastAsia="zh-CN"/>
              </w:rPr>
              <w:t>。</w:t>
            </w:r>
          </w:p>
          <w:p w14:paraId="3F9FF04D">
            <w:pPr>
              <w:widowControl w:val="0"/>
              <w:kinsoku/>
              <w:autoSpaceDE/>
              <w:autoSpaceDN/>
              <w:snapToGrid/>
              <w:spacing w:line="240" w:lineRule="auto"/>
              <w:ind w:firstLine="0" w:firstLineChars="0"/>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 xml:space="preserve">表3-1  </w:t>
            </w:r>
            <w:r>
              <w:rPr>
                <w:rFonts w:hint="default" w:ascii="Times New Roman" w:hAnsi="Times New Roman" w:eastAsia="宋体" w:cs="Times New Roman"/>
                <w:b/>
                <w:bCs/>
                <w:snapToGrid/>
                <w:color w:val="auto"/>
                <w:kern w:val="2"/>
                <w:sz w:val="21"/>
                <w:szCs w:val="21"/>
                <w:highlight w:val="none"/>
                <w:lang w:val="en-US" w:eastAsia="zh-CN"/>
              </w:rPr>
              <w:t>生态</w:t>
            </w:r>
            <w:r>
              <w:rPr>
                <w:rFonts w:hint="default" w:ascii="Times New Roman" w:hAnsi="Times New Roman" w:eastAsia="宋体" w:cs="Times New Roman"/>
                <w:b/>
                <w:bCs/>
                <w:snapToGrid/>
                <w:color w:val="auto"/>
                <w:kern w:val="2"/>
                <w:sz w:val="21"/>
                <w:szCs w:val="21"/>
                <w:highlight w:val="none"/>
                <w:lang w:eastAsia="zh-CN"/>
              </w:rPr>
              <w:t>评价区土地利用类型面积统计表</w:t>
            </w:r>
          </w:p>
          <w:tbl>
            <w:tblPr>
              <w:tblStyle w:val="30"/>
              <w:tblW w:w="7856" w:type="dxa"/>
              <w:jc w:val="center"/>
              <w:tblLayout w:type="fixed"/>
              <w:tblCellMar>
                <w:top w:w="0" w:type="dxa"/>
                <w:left w:w="108" w:type="dxa"/>
                <w:bottom w:w="0" w:type="dxa"/>
                <w:right w:w="108" w:type="dxa"/>
              </w:tblCellMar>
            </w:tblPr>
            <w:tblGrid>
              <w:gridCol w:w="1607"/>
              <w:gridCol w:w="1446"/>
              <w:gridCol w:w="1537"/>
              <w:gridCol w:w="1163"/>
              <w:gridCol w:w="2103"/>
            </w:tblGrid>
            <w:tr w14:paraId="60A6E1A8">
              <w:tblPrEx>
                <w:tblCellMar>
                  <w:top w:w="0" w:type="dxa"/>
                  <w:left w:w="108" w:type="dxa"/>
                  <w:bottom w:w="0" w:type="dxa"/>
                  <w:right w:w="108" w:type="dxa"/>
                </w:tblCellMar>
              </w:tblPrEx>
              <w:trPr>
                <w:trHeight w:val="308" w:hRule="atLeast"/>
                <w:jc w:val="center"/>
              </w:trPr>
              <w:tc>
                <w:tcPr>
                  <w:tcW w:w="1943" w:type="pct"/>
                  <w:gridSpan w:val="2"/>
                  <w:tcBorders>
                    <w:top w:val="single" w:color="000000" w:sz="4" w:space="0"/>
                    <w:left w:val="single" w:color="000000" w:sz="4" w:space="0"/>
                    <w:bottom w:val="single" w:color="000000" w:sz="4" w:space="0"/>
                    <w:right w:val="single" w:color="000000" w:sz="4" w:space="0"/>
                  </w:tcBorders>
                  <w:noWrap/>
                  <w:vAlign w:val="center"/>
                </w:tcPr>
                <w:p w14:paraId="0B3F6110">
                  <w:pPr>
                    <w:spacing w:before="29" w:line="224" w:lineRule="auto"/>
                    <w:ind w:right="66" w:firstLine="0" w:firstLineChars="0"/>
                    <w:jc w:val="center"/>
                    <w:rPr>
                      <w:rFonts w:hint="default" w:ascii="Times New Roman" w:hAnsi="Times New Roman" w:eastAsia="宋体" w:cs="Times New Roman"/>
                      <w:b/>
                      <w:bCs/>
                      <w:color w:val="auto"/>
                      <w:spacing w:val="-3"/>
                      <w:sz w:val="21"/>
                      <w:szCs w:val="21"/>
                      <w:highlight w:val="none"/>
                      <w:lang w:eastAsia="zh-CN"/>
                    </w:rPr>
                  </w:pPr>
                  <w:r>
                    <w:rPr>
                      <w:rFonts w:hint="default" w:ascii="Times New Roman" w:hAnsi="Times New Roman" w:eastAsia="宋体" w:cs="Times New Roman"/>
                      <w:b/>
                      <w:bCs/>
                      <w:color w:val="auto"/>
                      <w:spacing w:val="-3"/>
                      <w:sz w:val="21"/>
                      <w:szCs w:val="21"/>
                      <w:highlight w:val="none"/>
                      <w:lang w:val="en-US" w:eastAsia="zh-CN"/>
                    </w:rPr>
                    <w:t>生态</w:t>
                  </w:r>
                  <w:r>
                    <w:rPr>
                      <w:rFonts w:hint="default" w:ascii="Times New Roman" w:hAnsi="Times New Roman" w:eastAsia="宋体" w:cs="Times New Roman"/>
                      <w:b/>
                      <w:bCs/>
                      <w:color w:val="auto"/>
                      <w:spacing w:val="-3"/>
                      <w:sz w:val="21"/>
                      <w:szCs w:val="21"/>
                      <w:highlight w:val="none"/>
                      <w:lang w:eastAsia="zh-CN"/>
                    </w:rPr>
                    <w:t>评价区土地利用现状类型</w:t>
                  </w:r>
                </w:p>
              </w:tc>
              <w:tc>
                <w:tcPr>
                  <w:tcW w:w="978" w:type="pct"/>
                  <w:tcBorders>
                    <w:top w:val="single" w:color="000000" w:sz="4" w:space="0"/>
                    <w:left w:val="single" w:color="000000" w:sz="4" w:space="0"/>
                    <w:bottom w:val="single" w:color="000000" w:sz="4" w:space="0"/>
                    <w:right w:val="single" w:color="000000" w:sz="4" w:space="0"/>
                  </w:tcBorders>
                  <w:noWrap/>
                  <w:vAlign w:val="center"/>
                </w:tcPr>
                <w:p w14:paraId="58AEA1A1">
                  <w:pPr>
                    <w:spacing w:before="29" w:line="224" w:lineRule="auto"/>
                    <w:ind w:right="66" w:firstLine="0" w:firstLineChars="0"/>
                    <w:jc w:val="center"/>
                    <w:rPr>
                      <w:rFonts w:hint="default" w:ascii="Times New Roman" w:hAnsi="Times New Roman" w:eastAsia="宋体" w:cs="Times New Roman"/>
                      <w:b/>
                      <w:bCs/>
                      <w:color w:val="auto"/>
                      <w:spacing w:val="-3"/>
                      <w:sz w:val="21"/>
                      <w:szCs w:val="21"/>
                      <w:highlight w:val="none"/>
                      <w:lang w:eastAsia="zh-CN"/>
                    </w:rPr>
                  </w:pPr>
                  <w:r>
                    <w:rPr>
                      <w:rFonts w:hint="default" w:ascii="Times New Roman" w:hAnsi="Times New Roman" w:eastAsia="宋体" w:cs="Times New Roman"/>
                      <w:b/>
                      <w:bCs/>
                      <w:color w:val="auto"/>
                      <w:spacing w:val="-3"/>
                      <w:sz w:val="21"/>
                      <w:szCs w:val="21"/>
                      <w:highlight w:val="none"/>
                      <w:lang w:eastAsia="zh-CN"/>
                    </w:rPr>
                    <w:t>评价范围内面积（hm</w:t>
                  </w:r>
                  <w:r>
                    <w:rPr>
                      <w:rFonts w:hint="default" w:ascii="Times New Roman" w:hAnsi="Times New Roman" w:eastAsia="宋体" w:cs="Times New Roman"/>
                      <w:b/>
                      <w:bCs/>
                      <w:color w:val="auto"/>
                      <w:spacing w:val="-3"/>
                      <w:sz w:val="21"/>
                      <w:szCs w:val="21"/>
                      <w:highlight w:val="none"/>
                      <w:vertAlign w:val="superscript"/>
                      <w:lang w:eastAsia="zh-CN"/>
                    </w:rPr>
                    <w:t>2</w:t>
                  </w:r>
                  <w:r>
                    <w:rPr>
                      <w:rFonts w:hint="default" w:ascii="Times New Roman" w:hAnsi="Times New Roman" w:eastAsia="宋体" w:cs="Times New Roman"/>
                      <w:b/>
                      <w:bCs/>
                      <w:color w:val="auto"/>
                      <w:spacing w:val="-3"/>
                      <w:sz w:val="21"/>
                      <w:szCs w:val="21"/>
                      <w:highlight w:val="none"/>
                      <w:lang w:eastAsia="zh-CN"/>
                    </w:rPr>
                    <w:t>）</w:t>
                  </w:r>
                </w:p>
              </w:tc>
              <w:tc>
                <w:tcPr>
                  <w:tcW w:w="740" w:type="pct"/>
                  <w:tcBorders>
                    <w:top w:val="single" w:color="000000" w:sz="4" w:space="0"/>
                    <w:left w:val="single" w:color="000000" w:sz="4" w:space="0"/>
                    <w:bottom w:val="single" w:color="000000" w:sz="4" w:space="0"/>
                    <w:right w:val="single" w:color="000000" w:sz="4" w:space="0"/>
                  </w:tcBorders>
                  <w:noWrap/>
                  <w:vAlign w:val="center"/>
                </w:tcPr>
                <w:p w14:paraId="19A554E0">
                  <w:pPr>
                    <w:spacing w:before="29" w:line="224" w:lineRule="auto"/>
                    <w:ind w:right="66" w:firstLine="0" w:firstLineChars="0"/>
                    <w:jc w:val="center"/>
                    <w:rPr>
                      <w:rFonts w:hint="default" w:ascii="Times New Roman" w:hAnsi="Times New Roman" w:eastAsia="宋体" w:cs="Times New Roman"/>
                      <w:b/>
                      <w:bCs/>
                      <w:color w:val="auto"/>
                      <w:spacing w:val="-3"/>
                      <w:sz w:val="21"/>
                      <w:szCs w:val="21"/>
                      <w:highlight w:val="none"/>
                      <w:lang w:eastAsia="zh-CN"/>
                    </w:rPr>
                  </w:pPr>
                  <w:r>
                    <w:rPr>
                      <w:rFonts w:hint="default" w:ascii="Times New Roman" w:hAnsi="Times New Roman" w:eastAsia="宋体" w:cs="Times New Roman"/>
                      <w:b/>
                      <w:bCs/>
                      <w:color w:val="auto"/>
                      <w:spacing w:val="-3"/>
                      <w:sz w:val="21"/>
                      <w:szCs w:val="21"/>
                      <w:highlight w:val="none"/>
                      <w:lang w:eastAsia="zh-CN"/>
                    </w:rPr>
                    <w:t>比例（%）</w:t>
                  </w:r>
                </w:p>
              </w:tc>
              <w:tc>
                <w:tcPr>
                  <w:tcW w:w="1338" w:type="pct"/>
                  <w:tcBorders>
                    <w:top w:val="single" w:color="000000" w:sz="4" w:space="0"/>
                    <w:left w:val="single" w:color="000000" w:sz="4" w:space="0"/>
                    <w:bottom w:val="single" w:color="000000" w:sz="4" w:space="0"/>
                    <w:right w:val="single" w:color="000000" w:sz="4" w:space="0"/>
                  </w:tcBorders>
                  <w:noWrap/>
                  <w:vAlign w:val="center"/>
                </w:tcPr>
                <w:p w14:paraId="7594DAF2">
                  <w:pPr>
                    <w:spacing w:before="29" w:line="224" w:lineRule="auto"/>
                    <w:ind w:right="66" w:firstLine="0" w:firstLineChars="0"/>
                    <w:jc w:val="center"/>
                    <w:rPr>
                      <w:rFonts w:hint="default" w:ascii="Times New Roman" w:hAnsi="Times New Roman" w:eastAsia="宋体" w:cs="Times New Roman"/>
                      <w:b/>
                      <w:bCs/>
                      <w:color w:val="auto"/>
                      <w:spacing w:val="-3"/>
                      <w:sz w:val="21"/>
                      <w:szCs w:val="21"/>
                      <w:highlight w:val="none"/>
                      <w:lang w:val="en-US" w:eastAsia="zh-CN"/>
                    </w:rPr>
                  </w:pPr>
                  <w:r>
                    <w:rPr>
                      <w:rFonts w:hint="default" w:ascii="Times New Roman" w:hAnsi="Times New Roman" w:eastAsia="宋体" w:cs="Times New Roman"/>
                      <w:b/>
                      <w:bCs/>
                      <w:color w:val="auto"/>
                      <w:spacing w:val="-3"/>
                      <w:sz w:val="21"/>
                      <w:szCs w:val="21"/>
                      <w:highlight w:val="none"/>
                      <w:lang w:val="en-US" w:eastAsia="zh-CN"/>
                    </w:rPr>
                    <w:t>项目占地</w:t>
                  </w:r>
                  <w:r>
                    <w:rPr>
                      <w:rFonts w:hint="eastAsia" w:cs="Times New Roman"/>
                      <w:b/>
                      <w:bCs/>
                      <w:color w:val="auto"/>
                      <w:spacing w:val="-3"/>
                      <w:sz w:val="21"/>
                      <w:szCs w:val="21"/>
                      <w:highlight w:val="none"/>
                      <w:lang w:val="en-US" w:eastAsia="zh-CN"/>
                    </w:rPr>
                    <w:t>面积</w:t>
                  </w:r>
                  <w:r>
                    <w:rPr>
                      <w:rFonts w:hint="default" w:ascii="Times New Roman" w:hAnsi="Times New Roman" w:eastAsia="宋体" w:cs="Times New Roman"/>
                      <w:b/>
                      <w:bCs/>
                      <w:color w:val="auto"/>
                      <w:spacing w:val="-3"/>
                      <w:sz w:val="21"/>
                      <w:szCs w:val="21"/>
                      <w:highlight w:val="none"/>
                      <w:lang w:eastAsia="zh-CN"/>
                    </w:rPr>
                    <w:t>（hm</w:t>
                  </w:r>
                  <w:r>
                    <w:rPr>
                      <w:rFonts w:hint="default" w:ascii="Times New Roman" w:hAnsi="Times New Roman" w:eastAsia="宋体" w:cs="Times New Roman"/>
                      <w:b/>
                      <w:bCs/>
                      <w:color w:val="auto"/>
                      <w:spacing w:val="-3"/>
                      <w:sz w:val="21"/>
                      <w:szCs w:val="21"/>
                      <w:highlight w:val="none"/>
                      <w:vertAlign w:val="superscript"/>
                      <w:lang w:eastAsia="zh-CN"/>
                    </w:rPr>
                    <w:t>2</w:t>
                  </w:r>
                  <w:r>
                    <w:rPr>
                      <w:rFonts w:hint="default" w:ascii="Times New Roman" w:hAnsi="Times New Roman" w:eastAsia="宋体" w:cs="Times New Roman"/>
                      <w:b/>
                      <w:bCs/>
                      <w:color w:val="auto"/>
                      <w:spacing w:val="-3"/>
                      <w:sz w:val="21"/>
                      <w:szCs w:val="21"/>
                      <w:highlight w:val="none"/>
                      <w:lang w:eastAsia="zh-CN"/>
                    </w:rPr>
                    <w:t>）</w:t>
                  </w:r>
                </w:p>
              </w:tc>
            </w:tr>
            <w:tr w14:paraId="17C8749B">
              <w:tblPrEx>
                <w:tblCellMar>
                  <w:top w:w="0" w:type="dxa"/>
                  <w:left w:w="108" w:type="dxa"/>
                  <w:bottom w:w="0" w:type="dxa"/>
                  <w:right w:w="108" w:type="dxa"/>
                </w:tblCellMar>
              </w:tblPrEx>
              <w:trPr>
                <w:trHeight w:val="308" w:hRule="atLeast"/>
                <w:jc w:val="center"/>
              </w:trPr>
              <w:tc>
                <w:tcPr>
                  <w:tcW w:w="1022" w:type="pct"/>
                  <w:tcBorders>
                    <w:top w:val="single" w:color="000000" w:sz="4" w:space="0"/>
                    <w:left w:val="single" w:color="000000" w:sz="4" w:space="0"/>
                    <w:right w:val="single" w:color="000000" w:sz="4" w:space="0"/>
                  </w:tcBorders>
                  <w:noWrap/>
                  <w:vAlign w:val="center"/>
                </w:tcPr>
                <w:p w14:paraId="757C4E54">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草地</w:t>
                  </w:r>
                </w:p>
              </w:tc>
              <w:tc>
                <w:tcPr>
                  <w:tcW w:w="920" w:type="pct"/>
                  <w:tcBorders>
                    <w:top w:val="single" w:color="000000" w:sz="4" w:space="0"/>
                    <w:left w:val="single" w:color="000000" w:sz="4" w:space="0"/>
                    <w:bottom w:val="single" w:color="000000" w:sz="4" w:space="0"/>
                    <w:right w:val="single" w:color="000000" w:sz="4" w:space="0"/>
                  </w:tcBorders>
                  <w:noWrap/>
                  <w:vAlign w:val="center"/>
                </w:tcPr>
                <w:p w14:paraId="43A64B24">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其他草地</w:t>
                  </w:r>
                </w:p>
              </w:tc>
              <w:tc>
                <w:tcPr>
                  <w:tcW w:w="978" w:type="pct"/>
                  <w:tcBorders>
                    <w:top w:val="single" w:color="000000" w:sz="4" w:space="0"/>
                    <w:left w:val="single" w:color="000000" w:sz="4" w:space="0"/>
                    <w:bottom w:val="single" w:color="000000" w:sz="4" w:space="0"/>
                    <w:right w:val="single" w:color="000000" w:sz="4" w:space="0"/>
                  </w:tcBorders>
                  <w:noWrap/>
                  <w:vAlign w:val="center"/>
                </w:tcPr>
                <w:p w14:paraId="4D14578C">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6.</w:t>
                  </w:r>
                  <w:r>
                    <w:rPr>
                      <w:rFonts w:hint="eastAsia" w:cs="Times New Roman"/>
                      <w:color w:val="auto"/>
                      <w:spacing w:val="-3"/>
                      <w:sz w:val="21"/>
                      <w:szCs w:val="21"/>
                      <w:highlight w:val="none"/>
                      <w:lang w:val="en-US" w:eastAsia="zh-CN"/>
                    </w:rPr>
                    <w:t>433</w:t>
                  </w:r>
                </w:p>
              </w:tc>
              <w:tc>
                <w:tcPr>
                  <w:tcW w:w="740" w:type="pct"/>
                  <w:tcBorders>
                    <w:top w:val="single" w:color="000000" w:sz="4" w:space="0"/>
                    <w:left w:val="single" w:color="000000" w:sz="4" w:space="0"/>
                    <w:bottom w:val="single" w:color="000000" w:sz="4" w:space="0"/>
                    <w:right w:val="single" w:color="000000" w:sz="4" w:space="0"/>
                  </w:tcBorders>
                  <w:noWrap/>
                  <w:vAlign w:val="center"/>
                </w:tcPr>
                <w:p w14:paraId="65DB16C1">
                  <w:pPr>
                    <w:spacing w:before="29" w:line="224" w:lineRule="auto"/>
                    <w:ind w:right="66" w:firstLine="0" w:firstLineChars="0"/>
                    <w:jc w:val="center"/>
                    <w:rPr>
                      <w:rFonts w:hint="default" w:cs="Times New Roman"/>
                      <w:color w:val="auto"/>
                      <w:spacing w:val="-3"/>
                      <w:sz w:val="21"/>
                      <w:szCs w:val="21"/>
                      <w:highlight w:val="none"/>
                      <w:lang w:val="en-US" w:eastAsia="zh-CN"/>
                    </w:rPr>
                  </w:pPr>
                  <w:r>
                    <w:rPr>
                      <w:rFonts w:hint="default" w:cs="Times New Roman"/>
                      <w:color w:val="auto"/>
                      <w:spacing w:val="-3"/>
                      <w:sz w:val="21"/>
                      <w:szCs w:val="21"/>
                      <w:highlight w:val="none"/>
                      <w:lang w:val="en-US" w:eastAsia="zh-CN"/>
                    </w:rPr>
                    <w:t xml:space="preserve">8.04 </w:t>
                  </w:r>
                </w:p>
              </w:tc>
              <w:tc>
                <w:tcPr>
                  <w:tcW w:w="1338" w:type="pct"/>
                  <w:tcBorders>
                    <w:top w:val="single" w:color="000000" w:sz="4" w:space="0"/>
                    <w:left w:val="single" w:color="000000" w:sz="4" w:space="0"/>
                    <w:bottom w:val="single" w:color="000000" w:sz="4" w:space="0"/>
                    <w:right w:val="single" w:color="000000" w:sz="4" w:space="0"/>
                  </w:tcBorders>
                  <w:noWrap/>
                  <w:vAlign w:val="center"/>
                </w:tcPr>
                <w:p w14:paraId="5B94EF26">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eastAsia" w:cs="Times New Roman"/>
                      <w:color w:val="auto"/>
                      <w:spacing w:val="-3"/>
                      <w:sz w:val="21"/>
                      <w:szCs w:val="21"/>
                      <w:highlight w:val="none"/>
                      <w:lang w:val="en-US" w:eastAsia="zh-CN"/>
                    </w:rPr>
                    <w:t>0.9611</w:t>
                  </w:r>
                </w:p>
              </w:tc>
            </w:tr>
            <w:tr w14:paraId="63C59B45">
              <w:tblPrEx>
                <w:tblCellMar>
                  <w:top w:w="0" w:type="dxa"/>
                  <w:left w:w="108" w:type="dxa"/>
                  <w:bottom w:w="0" w:type="dxa"/>
                  <w:right w:w="108" w:type="dxa"/>
                </w:tblCellMar>
              </w:tblPrEx>
              <w:trPr>
                <w:trHeight w:val="308" w:hRule="atLeast"/>
                <w:jc w:val="center"/>
              </w:trPr>
              <w:tc>
                <w:tcPr>
                  <w:tcW w:w="1022" w:type="pct"/>
                  <w:tcBorders>
                    <w:top w:val="single" w:color="000000" w:sz="4" w:space="0"/>
                    <w:left w:val="single" w:color="000000" w:sz="4" w:space="0"/>
                    <w:bottom w:val="single" w:color="000000" w:sz="4" w:space="0"/>
                    <w:right w:val="single" w:color="000000" w:sz="4" w:space="0"/>
                  </w:tcBorders>
                  <w:noWrap/>
                  <w:vAlign w:val="center"/>
                </w:tcPr>
                <w:p w14:paraId="0E9D10F2">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林地</w:t>
                  </w:r>
                </w:p>
              </w:tc>
              <w:tc>
                <w:tcPr>
                  <w:tcW w:w="920" w:type="pct"/>
                  <w:tcBorders>
                    <w:top w:val="single" w:color="000000" w:sz="4" w:space="0"/>
                    <w:left w:val="single" w:color="000000" w:sz="4" w:space="0"/>
                    <w:bottom w:val="single" w:color="000000" w:sz="4" w:space="0"/>
                    <w:right w:val="single" w:color="000000" w:sz="4" w:space="0"/>
                  </w:tcBorders>
                  <w:noWrap/>
                  <w:vAlign w:val="center"/>
                </w:tcPr>
                <w:p w14:paraId="1220BDEB">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乔木林地</w:t>
                  </w:r>
                </w:p>
              </w:tc>
              <w:tc>
                <w:tcPr>
                  <w:tcW w:w="978" w:type="pct"/>
                  <w:tcBorders>
                    <w:top w:val="single" w:color="000000" w:sz="4" w:space="0"/>
                    <w:left w:val="single" w:color="000000" w:sz="4" w:space="0"/>
                    <w:bottom w:val="single" w:color="000000" w:sz="4" w:space="0"/>
                    <w:right w:val="single" w:color="000000" w:sz="4" w:space="0"/>
                  </w:tcBorders>
                  <w:noWrap/>
                  <w:vAlign w:val="center"/>
                </w:tcPr>
                <w:p w14:paraId="76E06493">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eastAsia" w:cs="Times New Roman"/>
                      <w:color w:val="auto"/>
                      <w:spacing w:val="-3"/>
                      <w:sz w:val="21"/>
                      <w:szCs w:val="21"/>
                      <w:highlight w:val="none"/>
                      <w:lang w:val="en-US" w:eastAsia="zh-CN"/>
                    </w:rPr>
                    <w:t>66.531</w:t>
                  </w:r>
                </w:p>
              </w:tc>
              <w:tc>
                <w:tcPr>
                  <w:tcW w:w="740" w:type="pct"/>
                  <w:tcBorders>
                    <w:top w:val="single" w:color="000000" w:sz="4" w:space="0"/>
                    <w:left w:val="single" w:color="000000" w:sz="4" w:space="0"/>
                    <w:bottom w:val="single" w:color="000000" w:sz="4" w:space="0"/>
                    <w:right w:val="single" w:color="000000" w:sz="4" w:space="0"/>
                  </w:tcBorders>
                  <w:noWrap/>
                  <w:vAlign w:val="center"/>
                </w:tcPr>
                <w:p w14:paraId="39953793">
                  <w:pPr>
                    <w:spacing w:before="29" w:line="224" w:lineRule="auto"/>
                    <w:ind w:right="66" w:firstLine="0" w:firstLineChars="0"/>
                    <w:jc w:val="center"/>
                    <w:rPr>
                      <w:rFonts w:hint="default" w:cs="Times New Roman"/>
                      <w:color w:val="auto"/>
                      <w:spacing w:val="-3"/>
                      <w:sz w:val="21"/>
                      <w:szCs w:val="21"/>
                      <w:highlight w:val="none"/>
                      <w:lang w:val="en-US" w:eastAsia="zh-CN"/>
                    </w:rPr>
                  </w:pPr>
                  <w:r>
                    <w:rPr>
                      <w:rFonts w:hint="default" w:cs="Times New Roman"/>
                      <w:color w:val="auto"/>
                      <w:spacing w:val="-3"/>
                      <w:sz w:val="21"/>
                      <w:szCs w:val="21"/>
                      <w:highlight w:val="none"/>
                      <w:lang w:val="en-US" w:eastAsia="zh-CN"/>
                    </w:rPr>
                    <w:t xml:space="preserve">83.15 </w:t>
                  </w:r>
                </w:p>
              </w:tc>
              <w:tc>
                <w:tcPr>
                  <w:tcW w:w="1338" w:type="pct"/>
                  <w:tcBorders>
                    <w:top w:val="single" w:color="000000" w:sz="4" w:space="0"/>
                    <w:left w:val="single" w:color="000000" w:sz="4" w:space="0"/>
                    <w:bottom w:val="single" w:color="000000" w:sz="4" w:space="0"/>
                    <w:right w:val="single" w:color="000000" w:sz="4" w:space="0"/>
                  </w:tcBorders>
                  <w:noWrap/>
                  <w:vAlign w:val="center"/>
                </w:tcPr>
                <w:p w14:paraId="474842E4">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eastAsia" w:cs="Times New Roman"/>
                      <w:color w:val="auto"/>
                      <w:spacing w:val="-3"/>
                      <w:sz w:val="21"/>
                      <w:szCs w:val="21"/>
                      <w:highlight w:val="none"/>
                      <w:lang w:val="en-US" w:eastAsia="zh-CN"/>
                    </w:rPr>
                    <w:t>6.0304</w:t>
                  </w:r>
                </w:p>
              </w:tc>
            </w:tr>
            <w:tr w14:paraId="1563CF7A">
              <w:tblPrEx>
                <w:tblCellMar>
                  <w:top w:w="0" w:type="dxa"/>
                  <w:left w:w="108" w:type="dxa"/>
                  <w:bottom w:w="0" w:type="dxa"/>
                  <w:right w:w="108" w:type="dxa"/>
                </w:tblCellMar>
              </w:tblPrEx>
              <w:trPr>
                <w:trHeight w:val="308" w:hRule="atLeast"/>
                <w:jc w:val="center"/>
              </w:trPr>
              <w:tc>
                <w:tcPr>
                  <w:tcW w:w="1022" w:type="pct"/>
                  <w:tcBorders>
                    <w:top w:val="single" w:color="000000" w:sz="4" w:space="0"/>
                    <w:left w:val="single" w:color="000000" w:sz="4" w:space="0"/>
                    <w:bottom w:val="single" w:color="000000" w:sz="4" w:space="0"/>
                    <w:right w:val="single" w:color="000000" w:sz="4" w:space="0"/>
                  </w:tcBorders>
                  <w:vAlign w:val="center"/>
                </w:tcPr>
                <w:p w14:paraId="391310AC">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耕地</w:t>
                  </w:r>
                </w:p>
              </w:tc>
              <w:tc>
                <w:tcPr>
                  <w:tcW w:w="920" w:type="pct"/>
                  <w:tcBorders>
                    <w:top w:val="single" w:color="000000" w:sz="4" w:space="0"/>
                    <w:left w:val="single" w:color="000000" w:sz="4" w:space="0"/>
                    <w:bottom w:val="single" w:color="000000" w:sz="4" w:space="0"/>
                    <w:right w:val="single" w:color="000000" w:sz="4" w:space="0"/>
                  </w:tcBorders>
                  <w:vAlign w:val="center"/>
                </w:tcPr>
                <w:p w14:paraId="04267991">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旱地</w:t>
                  </w:r>
                </w:p>
              </w:tc>
              <w:tc>
                <w:tcPr>
                  <w:tcW w:w="978" w:type="pct"/>
                  <w:tcBorders>
                    <w:top w:val="single" w:color="000000" w:sz="4" w:space="0"/>
                    <w:left w:val="single" w:color="000000" w:sz="4" w:space="0"/>
                    <w:bottom w:val="single" w:color="000000" w:sz="4" w:space="0"/>
                    <w:right w:val="single" w:color="000000" w:sz="4" w:space="0"/>
                  </w:tcBorders>
                  <w:noWrap/>
                  <w:vAlign w:val="center"/>
                </w:tcPr>
                <w:p w14:paraId="61849519">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eastAsia" w:cs="Times New Roman"/>
                      <w:color w:val="auto"/>
                      <w:spacing w:val="-3"/>
                      <w:sz w:val="21"/>
                      <w:szCs w:val="21"/>
                      <w:highlight w:val="none"/>
                      <w:lang w:val="en-US" w:eastAsia="zh-CN"/>
                    </w:rPr>
                    <w:t>6.345</w:t>
                  </w:r>
                </w:p>
              </w:tc>
              <w:tc>
                <w:tcPr>
                  <w:tcW w:w="740" w:type="pct"/>
                  <w:tcBorders>
                    <w:top w:val="single" w:color="000000" w:sz="4" w:space="0"/>
                    <w:left w:val="single" w:color="000000" w:sz="4" w:space="0"/>
                    <w:bottom w:val="single" w:color="000000" w:sz="4" w:space="0"/>
                    <w:right w:val="single" w:color="000000" w:sz="4" w:space="0"/>
                  </w:tcBorders>
                  <w:noWrap/>
                  <w:vAlign w:val="center"/>
                </w:tcPr>
                <w:p w14:paraId="698B205B">
                  <w:pPr>
                    <w:spacing w:before="29" w:line="224" w:lineRule="auto"/>
                    <w:ind w:right="66" w:firstLine="0" w:firstLineChars="0"/>
                    <w:jc w:val="center"/>
                    <w:rPr>
                      <w:rFonts w:hint="default" w:cs="Times New Roman"/>
                      <w:color w:val="auto"/>
                      <w:spacing w:val="-3"/>
                      <w:sz w:val="21"/>
                      <w:szCs w:val="21"/>
                      <w:highlight w:val="none"/>
                      <w:lang w:val="en-US" w:eastAsia="zh-CN"/>
                    </w:rPr>
                  </w:pPr>
                  <w:r>
                    <w:rPr>
                      <w:rFonts w:hint="default" w:cs="Times New Roman"/>
                      <w:color w:val="auto"/>
                      <w:spacing w:val="-3"/>
                      <w:sz w:val="21"/>
                      <w:szCs w:val="21"/>
                      <w:highlight w:val="none"/>
                      <w:lang w:val="en-US" w:eastAsia="zh-CN"/>
                    </w:rPr>
                    <w:t xml:space="preserve">7.93 </w:t>
                  </w:r>
                </w:p>
              </w:tc>
              <w:tc>
                <w:tcPr>
                  <w:tcW w:w="1338" w:type="pct"/>
                  <w:tcBorders>
                    <w:top w:val="single" w:color="000000" w:sz="4" w:space="0"/>
                    <w:left w:val="single" w:color="000000" w:sz="4" w:space="0"/>
                    <w:bottom w:val="single" w:color="000000" w:sz="4" w:space="0"/>
                    <w:right w:val="single" w:color="000000" w:sz="4" w:space="0"/>
                  </w:tcBorders>
                  <w:noWrap/>
                  <w:vAlign w:val="center"/>
                </w:tcPr>
                <w:p w14:paraId="4240A63B">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p>
              </w:tc>
            </w:tr>
            <w:tr w14:paraId="2909AAC1">
              <w:tblPrEx>
                <w:tblCellMar>
                  <w:top w:w="0" w:type="dxa"/>
                  <w:left w:w="108" w:type="dxa"/>
                  <w:bottom w:w="0" w:type="dxa"/>
                  <w:right w:w="108" w:type="dxa"/>
                </w:tblCellMar>
              </w:tblPrEx>
              <w:trPr>
                <w:trHeight w:val="308" w:hRule="atLeast"/>
                <w:jc w:val="center"/>
              </w:trPr>
              <w:tc>
                <w:tcPr>
                  <w:tcW w:w="1022" w:type="pct"/>
                  <w:tcBorders>
                    <w:top w:val="single" w:color="000000" w:sz="4" w:space="0"/>
                    <w:left w:val="single" w:color="000000" w:sz="4" w:space="0"/>
                    <w:right w:val="single" w:color="000000" w:sz="4" w:space="0"/>
                  </w:tcBorders>
                  <w:vAlign w:val="center"/>
                </w:tcPr>
                <w:p w14:paraId="0EFE1CCE">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交通运输用地</w:t>
                  </w:r>
                </w:p>
              </w:tc>
              <w:tc>
                <w:tcPr>
                  <w:tcW w:w="920" w:type="pct"/>
                  <w:tcBorders>
                    <w:top w:val="single" w:color="000000" w:sz="4" w:space="0"/>
                    <w:left w:val="single" w:color="000000" w:sz="4" w:space="0"/>
                    <w:bottom w:val="single" w:color="000000" w:sz="4" w:space="0"/>
                    <w:right w:val="single" w:color="000000" w:sz="4" w:space="0"/>
                  </w:tcBorders>
                  <w:vAlign w:val="center"/>
                </w:tcPr>
                <w:p w14:paraId="1FD05E49">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农村道路</w:t>
                  </w:r>
                </w:p>
              </w:tc>
              <w:tc>
                <w:tcPr>
                  <w:tcW w:w="978" w:type="pct"/>
                  <w:tcBorders>
                    <w:top w:val="single" w:color="000000" w:sz="4" w:space="0"/>
                    <w:left w:val="single" w:color="000000" w:sz="4" w:space="0"/>
                    <w:bottom w:val="single" w:color="000000" w:sz="4" w:space="0"/>
                    <w:right w:val="single" w:color="000000" w:sz="4" w:space="0"/>
                  </w:tcBorders>
                  <w:noWrap/>
                  <w:vAlign w:val="center"/>
                </w:tcPr>
                <w:p w14:paraId="55E9CD65">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eastAsia" w:cs="Times New Roman"/>
                      <w:color w:val="auto"/>
                      <w:spacing w:val="-3"/>
                      <w:sz w:val="21"/>
                      <w:szCs w:val="21"/>
                      <w:highlight w:val="none"/>
                      <w:lang w:val="en-US" w:eastAsia="zh-CN"/>
                    </w:rPr>
                    <w:t>0.704</w:t>
                  </w:r>
                </w:p>
              </w:tc>
              <w:tc>
                <w:tcPr>
                  <w:tcW w:w="740" w:type="pct"/>
                  <w:tcBorders>
                    <w:top w:val="single" w:color="000000" w:sz="4" w:space="0"/>
                    <w:left w:val="single" w:color="000000" w:sz="4" w:space="0"/>
                    <w:bottom w:val="single" w:color="000000" w:sz="4" w:space="0"/>
                    <w:right w:val="single" w:color="000000" w:sz="4" w:space="0"/>
                  </w:tcBorders>
                  <w:noWrap/>
                  <w:vAlign w:val="center"/>
                </w:tcPr>
                <w:p w14:paraId="2BD4ED2F">
                  <w:pPr>
                    <w:spacing w:before="29" w:line="224" w:lineRule="auto"/>
                    <w:ind w:right="66" w:firstLine="0" w:firstLineChars="0"/>
                    <w:jc w:val="center"/>
                    <w:rPr>
                      <w:rFonts w:hint="default" w:cs="Times New Roman"/>
                      <w:color w:val="auto"/>
                      <w:spacing w:val="-3"/>
                      <w:sz w:val="21"/>
                      <w:szCs w:val="21"/>
                      <w:highlight w:val="none"/>
                      <w:lang w:val="en-US" w:eastAsia="zh-CN"/>
                    </w:rPr>
                  </w:pPr>
                  <w:r>
                    <w:rPr>
                      <w:rFonts w:hint="default" w:cs="Times New Roman"/>
                      <w:color w:val="auto"/>
                      <w:spacing w:val="-3"/>
                      <w:sz w:val="21"/>
                      <w:szCs w:val="21"/>
                      <w:highlight w:val="none"/>
                      <w:lang w:val="en-US" w:eastAsia="zh-CN"/>
                    </w:rPr>
                    <w:t xml:space="preserve">0.88 </w:t>
                  </w:r>
                </w:p>
              </w:tc>
              <w:tc>
                <w:tcPr>
                  <w:tcW w:w="1338" w:type="pct"/>
                  <w:tcBorders>
                    <w:top w:val="single" w:color="000000" w:sz="4" w:space="0"/>
                    <w:left w:val="single" w:color="000000" w:sz="4" w:space="0"/>
                    <w:bottom w:val="single" w:color="000000" w:sz="4" w:space="0"/>
                    <w:right w:val="single" w:color="000000" w:sz="4" w:space="0"/>
                  </w:tcBorders>
                  <w:noWrap/>
                  <w:vAlign w:val="center"/>
                </w:tcPr>
                <w:p w14:paraId="5DF0247F">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p>
              </w:tc>
            </w:tr>
            <w:tr w14:paraId="28F511C9">
              <w:tblPrEx>
                <w:tblCellMar>
                  <w:top w:w="0" w:type="dxa"/>
                  <w:left w:w="108" w:type="dxa"/>
                  <w:bottom w:w="0" w:type="dxa"/>
                  <w:right w:w="108" w:type="dxa"/>
                </w:tblCellMar>
              </w:tblPrEx>
              <w:trPr>
                <w:trHeight w:val="337" w:hRule="atLeast"/>
                <w:jc w:val="center"/>
              </w:trPr>
              <w:tc>
                <w:tcPr>
                  <w:tcW w:w="1943" w:type="pct"/>
                  <w:gridSpan w:val="2"/>
                  <w:tcBorders>
                    <w:top w:val="single" w:color="000000" w:sz="4" w:space="0"/>
                    <w:left w:val="single" w:color="000000" w:sz="4" w:space="0"/>
                    <w:bottom w:val="single" w:color="000000" w:sz="4" w:space="0"/>
                    <w:right w:val="single" w:color="000000" w:sz="4" w:space="0"/>
                  </w:tcBorders>
                  <w:noWrap/>
                  <w:vAlign w:val="center"/>
                </w:tcPr>
                <w:p w14:paraId="6CAB6B2F">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总计</w:t>
                  </w:r>
                </w:p>
              </w:tc>
              <w:tc>
                <w:tcPr>
                  <w:tcW w:w="978" w:type="pct"/>
                  <w:tcBorders>
                    <w:top w:val="single" w:color="000000" w:sz="4" w:space="0"/>
                    <w:left w:val="single" w:color="000000" w:sz="4" w:space="0"/>
                    <w:bottom w:val="single" w:color="000000" w:sz="4" w:space="0"/>
                    <w:right w:val="single" w:color="000000" w:sz="4" w:space="0"/>
                  </w:tcBorders>
                  <w:noWrap/>
                  <w:vAlign w:val="center"/>
                </w:tcPr>
                <w:p w14:paraId="41C04503">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eastAsia" w:cs="Times New Roman"/>
                      <w:color w:val="auto"/>
                      <w:spacing w:val="-3"/>
                      <w:sz w:val="21"/>
                      <w:szCs w:val="21"/>
                      <w:highlight w:val="none"/>
                      <w:lang w:val="en-US" w:eastAsia="zh-CN"/>
                    </w:rPr>
                    <w:t>80.013</w:t>
                  </w:r>
                </w:p>
              </w:tc>
              <w:tc>
                <w:tcPr>
                  <w:tcW w:w="740" w:type="pct"/>
                  <w:tcBorders>
                    <w:top w:val="single" w:color="000000" w:sz="4" w:space="0"/>
                    <w:left w:val="single" w:color="000000" w:sz="4" w:space="0"/>
                    <w:bottom w:val="single" w:color="000000" w:sz="4" w:space="0"/>
                    <w:right w:val="single" w:color="000000" w:sz="4" w:space="0"/>
                  </w:tcBorders>
                  <w:noWrap/>
                  <w:vAlign w:val="center"/>
                </w:tcPr>
                <w:p w14:paraId="0532F981">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 xml:space="preserve">100.00 </w:t>
                  </w:r>
                </w:p>
              </w:tc>
              <w:tc>
                <w:tcPr>
                  <w:tcW w:w="1338" w:type="pct"/>
                  <w:tcBorders>
                    <w:top w:val="single" w:color="000000" w:sz="4" w:space="0"/>
                    <w:left w:val="single" w:color="000000" w:sz="4" w:space="0"/>
                    <w:bottom w:val="single" w:color="000000" w:sz="4" w:space="0"/>
                    <w:right w:val="single" w:color="000000" w:sz="4" w:space="0"/>
                  </w:tcBorders>
                  <w:noWrap/>
                  <w:vAlign w:val="center"/>
                </w:tcPr>
                <w:p w14:paraId="6F246B0C">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eastAsia" w:cs="Times New Roman"/>
                      <w:color w:val="auto"/>
                      <w:spacing w:val="-3"/>
                      <w:sz w:val="21"/>
                      <w:szCs w:val="21"/>
                      <w:highlight w:val="none"/>
                      <w:lang w:val="en-US" w:eastAsia="zh-CN"/>
                    </w:rPr>
                    <w:t>6.9915</w:t>
                  </w:r>
                </w:p>
              </w:tc>
            </w:tr>
          </w:tbl>
          <w:p w14:paraId="66DF14E2">
            <w:pPr>
              <w:ind w:firstLine="480"/>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color w:val="auto"/>
                <w:highlight w:val="none"/>
                <w:lang w:eastAsia="zh-CN"/>
              </w:rPr>
              <w:t>由上表可知，项目评价区土地利用类型主要为</w:t>
            </w:r>
            <w:r>
              <w:rPr>
                <w:rFonts w:hint="default" w:ascii="Times New Roman" w:hAnsi="Times New Roman" w:eastAsia="宋体" w:cs="Times New Roman"/>
                <w:color w:val="auto"/>
                <w:highlight w:val="none"/>
                <w:lang w:val="en-US" w:eastAsia="zh-CN"/>
              </w:rPr>
              <w:t>乔木林地</w:t>
            </w:r>
            <w:r>
              <w:rPr>
                <w:rFonts w:hint="default" w:ascii="Times New Roman" w:hAnsi="Times New Roman" w:eastAsia="宋体" w:cs="Times New Roman"/>
                <w:color w:val="auto"/>
                <w:highlight w:val="none"/>
                <w:lang w:eastAsia="zh-CN"/>
              </w:rPr>
              <w:t>占评价区面积</w:t>
            </w:r>
            <w:r>
              <w:rPr>
                <w:rFonts w:hint="eastAsia" w:cs="Times New Roman"/>
                <w:color w:val="auto"/>
                <w:highlight w:val="none"/>
                <w:lang w:val="en-US" w:eastAsia="zh-CN"/>
              </w:rPr>
              <w:t>83.15</w:t>
            </w:r>
            <w:r>
              <w:rPr>
                <w:rFonts w:hint="default" w:ascii="Times New Roman" w:hAnsi="Times New Roman" w:eastAsia="宋体" w:cs="Times New Roman"/>
                <w:color w:val="auto"/>
                <w:highlight w:val="none"/>
                <w:lang w:eastAsia="zh-CN"/>
              </w:rPr>
              <w:t>%，其次为</w:t>
            </w:r>
            <w:r>
              <w:rPr>
                <w:rFonts w:hint="eastAsia" w:cs="Times New Roman"/>
                <w:color w:val="auto"/>
                <w:highlight w:val="none"/>
                <w:lang w:val="en-US" w:eastAsia="zh-CN"/>
              </w:rPr>
              <w:t>其他草地</w:t>
            </w:r>
            <w:r>
              <w:rPr>
                <w:rFonts w:hint="default" w:ascii="Times New Roman" w:hAnsi="Times New Roman" w:eastAsia="宋体" w:cs="Times New Roman"/>
                <w:color w:val="auto"/>
                <w:highlight w:val="none"/>
                <w:lang w:eastAsia="zh-CN"/>
              </w:rPr>
              <w:t>占评价区面积</w:t>
            </w:r>
            <w:r>
              <w:rPr>
                <w:rFonts w:hint="eastAsia" w:cs="Times New Roman"/>
                <w:color w:val="auto"/>
                <w:highlight w:val="none"/>
                <w:lang w:val="en-US" w:eastAsia="zh-CN"/>
              </w:rPr>
              <w:t>8.04</w:t>
            </w:r>
            <w:r>
              <w:rPr>
                <w:rFonts w:hint="default" w:ascii="Times New Roman" w:hAnsi="Times New Roman" w:eastAsia="宋体" w:cs="Times New Roman"/>
                <w:color w:val="auto"/>
                <w:highlight w:val="none"/>
                <w:lang w:eastAsia="zh-CN"/>
              </w:rPr>
              <w:t>%，项目占地</w:t>
            </w:r>
            <w:r>
              <w:rPr>
                <w:rFonts w:hint="default" w:ascii="Times New Roman" w:hAnsi="Times New Roman" w:eastAsia="宋体" w:cs="Times New Roman"/>
                <w:color w:val="auto"/>
                <w:highlight w:val="none"/>
                <w:lang w:val="en-US" w:eastAsia="zh-CN"/>
              </w:rPr>
              <w:t>为乔木林地、</w:t>
            </w:r>
            <w:r>
              <w:rPr>
                <w:rFonts w:hint="default" w:ascii="Times New Roman" w:hAnsi="Times New Roman" w:eastAsia="宋体" w:cs="Times New Roman"/>
                <w:color w:val="auto"/>
                <w:highlight w:val="none"/>
                <w:lang w:eastAsia="zh-CN"/>
              </w:rPr>
              <w:t>其他草地。</w:t>
            </w:r>
          </w:p>
          <w:p w14:paraId="4A0C8C80">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、植物资源现状</w:t>
            </w:r>
          </w:p>
          <w:p w14:paraId="14111909">
            <w:pPr>
              <w:ind w:firstLine="482"/>
              <w:rPr>
                <w:rFonts w:hint="default" w:ascii="Times New Roman" w:hAnsi="Times New Roman" w:eastAsia="宋体" w:cs="Times New Roman"/>
                <w:b/>
                <w:bCs/>
                <w:color w:val="auto"/>
                <w:szCs w:val="24"/>
                <w:highlight w:val="none"/>
                <w:lang w:val="en-US" w:eastAsia="zh-CN"/>
              </w:rPr>
            </w:pPr>
            <w:r>
              <w:rPr>
                <w:rFonts w:hint="default" w:ascii="Times New Roman" w:hAnsi="Times New Roman" w:cs="Times New Roman"/>
                <w:b/>
                <w:bCs/>
                <w:color w:val="auto"/>
                <w:szCs w:val="24"/>
                <w:highlight w:val="none"/>
              </w:rPr>
              <w:t>（1）评价区植被类型划分</w:t>
            </w:r>
          </w:p>
          <w:p w14:paraId="5C8FF9E7">
            <w:pPr>
              <w:pStyle w:val="98"/>
              <w:jc w:val="both"/>
              <w:rPr>
                <w:rFonts w:hint="default" w:ascii="Times New Roman" w:hAnsi="Times New Roman" w:cs="Times New Roman"/>
                <w:color w:val="auto"/>
                <w:highlight w:val="none"/>
              </w:rPr>
            </w:pPr>
            <w:r>
              <w:rPr>
                <w:rFonts w:hint="default" w:ascii="Times New Roman" w:hAnsi="Times New Roman" w:eastAsia="宋体" w:cs="Times New Roman"/>
                <w:color w:val="auto"/>
                <w:kern w:val="44"/>
                <w:highlight w:val="none"/>
              </w:rPr>
              <w:t>根据《云南植被》的植被区划系统，项目评价区隶属于II亚热带常绿阔叶林区域，IIA西部（半湿润）常绿阔叶林亚区域，ⅡAii高原亚热带北部常绿阔叶林地带，ⅡAii-1滇中、滇东高原半湿润常绿阔叶林、云南松林区，ⅡAii-1a滇中高原盆谷滇青冈林，元江栲、云南松林亚区。</w:t>
            </w:r>
          </w:p>
          <w:p w14:paraId="7F878FF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从实地调查的情况看，由于受到人为活动的长期影响，主要是农业生产及生活的影响，评价区目前的植被类型已经发生了许多变化，原生植被大量消失或改变，次生植被及人工植被大量增加。实地调查表明，目前评价区的自然植被类型包括</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个植被型，</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个植被亚型，</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个群系。群系</w:t>
            </w:r>
            <w:r>
              <w:rPr>
                <w:rFonts w:hint="default" w:ascii="Times New Roman" w:hAnsi="Times New Roman" w:cs="Times New Roman"/>
                <w:color w:val="auto"/>
                <w:highlight w:val="none"/>
                <w:lang w:val="en-US" w:eastAsia="zh-CN"/>
              </w:rPr>
              <w:t>包括</w:t>
            </w:r>
            <w:r>
              <w:rPr>
                <w:rFonts w:hint="default" w:ascii="Times New Roman" w:hAnsi="Times New Roman" w:cs="Times New Roman"/>
                <w:color w:val="auto"/>
                <w:highlight w:val="none"/>
              </w:rPr>
              <w:t>尼泊尔桤木林、云南松林、含云南松、毛轴蕨的中草草丛等；评价区的人工植被</w:t>
            </w:r>
            <w:r>
              <w:rPr>
                <w:rFonts w:hint="default" w:ascii="Times New Roman" w:hAnsi="Times New Roman" w:cs="Times New Roman"/>
                <w:color w:val="auto"/>
                <w:highlight w:val="none"/>
                <w:lang w:val="en-US" w:eastAsia="zh-CN"/>
              </w:rPr>
              <w:t>为</w:t>
            </w:r>
            <w:r>
              <w:rPr>
                <w:rFonts w:hint="default" w:ascii="Times New Roman" w:hAnsi="Times New Roman" w:cs="Times New Roman"/>
                <w:color w:val="auto"/>
                <w:highlight w:val="none"/>
              </w:rPr>
              <w:t>耕地，耕地</w:t>
            </w:r>
            <w:r>
              <w:rPr>
                <w:rFonts w:hint="default" w:ascii="Times New Roman" w:hAnsi="Times New Roman" w:cs="Times New Roman"/>
                <w:color w:val="auto"/>
                <w:highlight w:val="none"/>
                <w:lang w:val="en-US" w:eastAsia="zh-CN"/>
              </w:rPr>
              <w:t>植被主要为玉米、板栗、辣椒、蔬菜等</w:t>
            </w:r>
            <w:r>
              <w:rPr>
                <w:rFonts w:hint="default" w:ascii="Times New Roman" w:hAnsi="Times New Roman" w:cs="Times New Roman"/>
                <w:color w:val="auto"/>
                <w:highlight w:val="none"/>
              </w:rPr>
              <w:t>。</w:t>
            </w:r>
          </w:p>
          <w:p w14:paraId="616DDAA3">
            <w:pPr>
              <w:pStyle w:val="98"/>
              <w:spacing w:line="240" w:lineRule="auto"/>
              <w:ind w:firstLine="438"/>
              <w:jc w:val="center"/>
              <w:rPr>
                <w:rFonts w:hint="default" w:ascii="Times New Roman" w:hAnsi="Times New Roman" w:eastAsia="宋体" w:cs="Times New Roman"/>
                <w:b/>
                <w:bCs/>
                <w:color w:val="auto"/>
                <w:kern w:val="44"/>
                <w:sz w:val="21"/>
                <w:szCs w:val="21"/>
                <w:highlight w:val="none"/>
              </w:rPr>
            </w:pPr>
            <w:r>
              <w:rPr>
                <w:rFonts w:hint="default" w:ascii="Times New Roman" w:hAnsi="Times New Roman" w:eastAsia="宋体" w:cs="Times New Roman"/>
                <w:b/>
                <w:bCs/>
                <w:color w:val="auto"/>
                <w:kern w:val="44"/>
                <w:sz w:val="21"/>
                <w:szCs w:val="21"/>
                <w:highlight w:val="none"/>
              </w:rPr>
              <w:t>表3-</w:t>
            </w:r>
            <w:r>
              <w:rPr>
                <w:rFonts w:hint="default" w:ascii="Times New Roman" w:hAnsi="Times New Roman" w:eastAsia="宋体" w:cs="Times New Roman"/>
                <w:b/>
                <w:bCs/>
                <w:color w:val="auto"/>
                <w:kern w:val="44"/>
                <w:sz w:val="21"/>
                <w:szCs w:val="21"/>
                <w:highlight w:val="none"/>
                <w:lang w:val="en-US" w:eastAsia="zh-CN"/>
              </w:rPr>
              <w:t>2</w:t>
            </w:r>
            <w:r>
              <w:rPr>
                <w:rFonts w:hint="default" w:ascii="Times New Roman" w:hAnsi="Times New Roman" w:eastAsia="宋体" w:cs="Times New Roman"/>
                <w:b/>
                <w:bCs/>
                <w:color w:val="auto"/>
                <w:kern w:val="44"/>
                <w:sz w:val="21"/>
                <w:szCs w:val="21"/>
                <w:highlight w:val="none"/>
              </w:rPr>
              <w:t xml:space="preserve">  项目评价区植被分类系统</w:t>
            </w:r>
          </w:p>
          <w:tbl>
            <w:tblPr>
              <w:tblStyle w:val="30"/>
              <w:tblW w:w="7911" w:type="dxa"/>
              <w:jc w:val="center"/>
              <w:tblLayout w:type="fixed"/>
              <w:tblCellMar>
                <w:top w:w="0" w:type="dxa"/>
                <w:left w:w="108" w:type="dxa"/>
                <w:bottom w:w="0" w:type="dxa"/>
                <w:right w:w="108" w:type="dxa"/>
              </w:tblCellMar>
            </w:tblPr>
            <w:tblGrid>
              <w:gridCol w:w="973"/>
              <w:gridCol w:w="1335"/>
              <w:gridCol w:w="1860"/>
              <w:gridCol w:w="1913"/>
              <w:gridCol w:w="957"/>
              <w:gridCol w:w="873"/>
            </w:tblGrid>
            <w:tr w14:paraId="0825DDD8">
              <w:tblPrEx>
                <w:tblCellMar>
                  <w:top w:w="0" w:type="dxa"/>
                  <w:left w:w="108" w:type="dxa"/>
                  <w:bottom w:w="0" w:type="dxa"/>
                  <w:right w:w="108" w:type="dxa"/>
                </w:tblCellMar>
              </w:tblPrEx>
              <w:trPr>
                <w:trHeight w:val="682" w:hRule="atLeast"/>
                <w:jc w:val="center"/>
              </w:trPr>
              <w:tc>
                <w:tcPr>
                  <w:tcW w:w="614" w:type="pct"/>
                  <w:tcBorders>
                    <w:top w:val="single" w:color="000000" w:sz="4" w:space="0"/>
                    <w:left w:val="single" w:color="000000" w:sz="4" w:space="0"/>
                    <w:right w:val="single" w:color="000000" w:sz="4" w:space="0"/>
                  </w:tcBorders>
                  <w:noWrap w:val="0"/>
                  <w:vAlign w:val="center"/>
                </w:tcPr>
                <w:p w14:paraId="17171E17">
                  <w:pPr>
                    <w:spacing w:before="29" w:line="224" w:lineRule="auto"/>
                    <w:ind w:right="66" w:firstLine="0" w:firstLineChars="0"/>
                    <w:jc w:val="center"/>
                    <w:rPr>
                      <w:rFonts w:hint="default" w:ascii="Times New Roman" w:hAnsi="Times New Roman" w:eastAsia="宋体" w:cs="Times New Roman"/>
                      <w:b/>
                      <w:bCs/>
                      <w:color w:val="auto"/>
                      <w:spacing w:val="-3"/>
                      <w:sz w:val="21"/>
                      <w:szCs w:val="21"/>
                      <w:highlight w:val="none"/>
                      <w:lang w:val="en-US" w:eastAsia="zh-CN"/>
                    </w:rPr>
                  </w:pPr>
                  <w:r>
                    <w:rPr>
                      <w:rFonts w:hint="default" w:ascii="Times New Roman" w:hAnsi="Times New Roman" w:eastAsia="宋体" w:cs="Times New Roman"/>
                      <w:b/>
                      <w:bCs/>
                      <w:color w:val="auto"/>
                      <w:spacing w:val="-3"/>
                      <w:sz w:val="21"/>
                      <w:szCs w:val="21"/>
                      <w:highlight w:val="none"/>
                      <w:lang w:val="en-US" w:eastAsia="zh-CN"/>
                    </w:rPr>
                    <w:t>类型</w:t>
                  </w:r>
                </w:p>
              </w:tc>
              <w:tc>
                <w:tcPr>
                  <w:tcW w:w="843" w:type="pct"/>
                  <w:tcBorders>
                    <w:top w:val="single" w:color="000000" w:sz="4" w:space="0"/>
                    <w:left w:val="single" w:color="000000" w:sz="4" w:space="0"/>
                    <w:bottom w:val="single" w:color="000000" w:sz="4" w:space="0"/>
                    <w:right w:val="single" w:color="000000" w:sz="4" w:space="0"/>
                  </w:tcBorders>
                  <w:noWrap w:val="0"/>
                  <w:vAlign w:val="center"/>
                </w:tcPr>
                <w:p w14:paraId="2EE14BF6">
                  <w:pPr>
                    <w:spacing w:before="29" w:line="224" w:lineRule="auto"/>
                    <w:ind w:right="66" w:firstLine="0" w:firstLineChars="0"/>
                    <w:jc w:val="center"/>
                    <w:rPr>
                      <w:rFonts w:hint="default" w:ascii="Times New Roman" w:hAnsi="Times New Roman" w:eastAsia="宋体" w:cs="Times New Roman"/>
                      <w:b/>
                      <w:bCs/>
                      <w:color w:val="auto"/>
                      <w:spacing w:val="-3"/>
                      <w:sz w:val="21"/>
                      <w:szCs w:val="21"/>
                      <w:highlight w:val="none"/>
                      <w:lang w:eastAsia="zh-CN"/>
                    </w:rPr>
                  </w:pPr>
                  <w:r>
                    <w:rPr>
                      <w:rFonts w:hint="default" w:ascii="Times New Roman" w:hAnsi="Times New Roman" w:eastAsia="宋体" w:cs="Times New Roman"/>
                      <w:b/>
                      <w:bCs/>
                      <w:color w:val="auto"/>
                      <w:spacing w:val="-3"/>
                      <w:sz w:val="21"/>
                      <w:szCs w:val="21"/>
                      <w:highlight w:val="none"/>
                      <w:lang w:eastAsia="zh-CN"/>
                    </w:rPr>
                    <w:t>植被型</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AC6C3F8">
                  <w:pPr>
                    <w:spacing w:before="29" w:line="224" w:lineRule="auto"/>
                    <w:ind w:right="66" w:firstLine="0" w:firstLineChars="0"/>
                    <w:jc w:val="center"/>
                    <w:rPr>
                      <w:rFonts w:hint="default" w:ascii="Times New Roman" w:hAnsi="Times New Roman" w:eastAsia="宋体" w:cs="Times New Roman"/>
                      <w:b/>
                      <w:bCs/>
                      <w:color w:val="auto"/>
                      <w:spacing w:val="-3"/>
                      <w:sz w:val="21"/>
                      <w:szCs w:val="21"/>
                      <w:highlight w:val="none"/>
                      <w:lang w:eastAsia="zh-CN"/>
                    </w:rPr>
                  </w:pPr>
                  <w:r>
                    <w:rPr>
                      <w:rFonts w:hint="default" w:ascii="Times New Roman" w:hAnsi="Times New Roman" w:eastAsia="宋体" w:cs="Times New Roman"/>
                      <w:b/>
                      <w:bCs/>
                      <w:color w:val="auto"/>
                      <w:spacing w:val="-3"/>
                      <w:sz w:val="21"/>
                      <w:szCs w:val="21"/>
                      <w:highlight w:val="none"/>
                      <w:lang w:eastAsia="zh-CN"/>
                    </w:rPr>
                    <w:t>植被亚型</w:t>
                  </w:r>
                </w:p>
              </w:tc>
              <w:tc>
                <w:tcPr>
                  <w:tcW w:w="1209" w:type="pct"/>
                  <w:tcBorders>
                    <w:top w:val="single" w:color="000000" w:sz="4" w:space="0"/>
                    <w:left w:val="single" w:color="000000" w:sz="4" w:space="0"/>
                    <w:bottom w:val="single" w:color="000000" w:sz="4" w:space="0"/>
                    <w:right w:val="single" w:color="000000" w:sz="4" w:space="0"/>
                  </w:tcBorders>
                  <w:noWrap w:val="0"/>
                  <w:vAlign w:val="center"/>
                </w:tcPr>
                <w:p w14:paraId="10B356B3">
                  <w:pPr>
                    <w:spacing w:before="29" w:line="224" w:lineRule="auto"/>
                    <w:ind w:right="66" w:firstLine="0" w:firstLineChars="0"/>
                    <w:jc w:val="center"/>
                    <w:rPr>
                      <w:rFonts w:hint="default" w:ascii="Times New Roman" w:hAnsi="Times New Roman" w:eastAsia="宋体" w:cs="Times New Roman"/>
                      <w:b/>
                      <w:bCs/>
                      <w:color w:val="auto"/>
                      <w:spacing w:val="-3"/>
                      <w:sz w:val="21"/>
                      <w:szCs w:val="21"/>
                      <w:highlight w:val="none"/>
                      <w:lang w:eastAsia="zh-CN"/>
                    </w:rPr>
                  </w:pPr>
                  <w:r>
                    <w:rPr>
                      <w:rFonts w:hint="default" w:ascii="Times New Roman" w:hAnsi="Times New Roman" w:eastAsia="宋体" w:cs="Times New Roman"/>
                      <w:b/>
                      <w:bCs/>
                      <w:color w:val="auto"/>
                      <w:spacing w:val="-3"/>
                      <w:sz w:val="21"/>
                      <w:szCs w:val="21"/>
                      <w:highlight w:val="none"/>
                      <w:lang w:eastAsia="zh-CN"/>
                    </w:rPr>
                    <w:t>群系</w:t>
                  </w:r>
                </w:p>
              </w:tc>
              <w:tc>
                <w:tcPr>
                  <w:tcW w:w="604" w:type="pct"/>
                  <w:tcBorders>
                    <w:top w:val="single" w:color="000000" w:sz="4" w:space="0"/>
                    <w:left w:val="single" w:color="000000" w:sz="4" w:space="0"/>
                    <w:right w:val="single" w:color="000000" w:sz="4" w:space="0"/>
                  </w:tcBorders>
                  <w:noWrap/>
                  <w:vAlign w:val="center"/>
                </w:tcPr>
                <w:p w14:paraId="57F53F4E">
                  <w:pPr>
                    <w:spacing w:before="29" w:line="224" w:lineRule="auto"/>
                    <w:ind w:right="66" w:firstLine="0" w:firstLineChars="0"/>
                    <w:jc w:val="center"/>
                    <w:rPr>
                      <w:rFonts w:hint="default" w:ascii="Times New Roman" w:hAnsi="Times New Roman" w:eastAsia="宋体" w:cs="Times New Roman"/>
                      <w:b/>
                      <w:bCs/>
                      <w:color w:val="auto"/>
                      <w:spacing w:val="-3"/>
                      <w:sz w:val="21"/>
                      <w:szCs w:val="21"/>
                      <w:highlight w:val="none"/>
                      <w:lang w:eastAsia="zh-CN"/>
                    </w:rPr>
                  </w:pPr>
                  <w:r>
                    <w:rPr>
                      <w:rFonts w:hint="default" w:ascii="Times New Roman" w:hAnsi="Times New Roman" w:eastAsia="宋体" w:cs="Times New Roman"/>
                      <w:b/>
                      <w:bCs/>
                      <w:color w:val="auto"/>
                      <w:spacing w:val="-3"/>
                      <w:sz w:val="21"/>
                      <w:szCs w:val="21"/>
                      <w:highlight w:val="none"/>
                      <w:lang w:eastAsia="zh-CN"/>
                    </w:rPr>
                    <w:t>面积（hm</w:t>
                  </w:r>
                  <w:r>
                    <w:rPr>
                      <w:rFonts w:hint="default" w:ascii="Times New Roman" w:hAnsi="Times New Roman" w:eastAsia="宋体" w:cs="Times New Roman"/>
                      <w:b/>
                      <w:bCs/>
                      <w:color w:val="auto"/>
                      <w:spacing w:val="-3"/>
                      <w:sz w:val="21"/>
                      <w:szCs w:val="21"/>
                      <w:highlight w:val="none"/>
                      <w:vertAlign w:val="superscript"/>
                      <w:lang w:eastAsia="zh-CN"/>
                    </w:rPr>
                    <w:t>2</w:t>
                  </w:r>
                  <w:r>
                    <w:rPr>
                      <w:rFonts w:hint="default" w:ascii="Times New Roman" w:hAnsi="Times New Roman" w:eastAsia="宋体" w:cs="Times New Roman"/>
                      <w:b/>
                      <w:bCs/>
                      <w:color w:val="auto"/>
                      <w:spacing w:val="-3"/>
                      <w:sz w:val="21"/>
                      <w:szCs w:val="21"/>
                      <w:highlight w:val="none"/>
                      <w:lang w:eastAsia="zh-CN"/>
                    </w:rPr>
                    <w:t>）</w:t>
                  </w:r>
                </w:p>
              </w:tc>
              <w:tc>
                <w:tcPr>
                  <w:tcW w:w="551" w:type="pct"/>
                  <w:tcBorders>
                    <w:top w:val="single" w:color="000000" w:sz="4" w:space="0"/>
                    <w:left w:val="single" w:color="000000" w:sz="4" w:space="0"/>
                    <w:bottom w:val="single" w:color="000000" w:sz="4" w:space="0"/>
                    <w:right w:val="single" w:color="000000" w:sz="4" w:space="0"/>
                  </w:tcBorders>
                  <w:noWrap/>
                  <w:vAlign w:val="center"/>
                </w:tcPr>
                <w:p w14:paraId="14CAD901">
                  <w:pPr>
                    <w:spacing w:before="29" w:line="224" w:lineRule="auto"/>
                    <w:ind w:right="66" w:firstLine="0" w:firstLineChars="0"/>
                    <w:jc w:val="center"/>
                    <w:rPr>
                      <w:rFonts w:hint="default" w:ascii="Times New Roman" w:hAnsi="Times New Roman" w:eastAsia="宋体" w:cs="Times New Roman"/>
                      <w:b/>
                      <w:bCs/>
                      <w:color w:val="auto"/>
                      <w:spacing w:val="-3"/>
                      <w:sz w:val="21"/>
                      <w:szCs w:val="21"/>
                      <w:highlight w:val="none"/>
                      <w:lang w:eastAsia="zh-CN"/>
                    </w:rPr>
                  </w:pPr>
                  <w:r>
                    <w:rPr>
                      <w:rFonts w:hint="default" w:ascii="Times New Roman" w:hAnsi="Times New Roman" w:eastAsia="宋体" w:cs="Times New Roman"/>
                      <w:b/>
                      <w:bCs/>
                      <w:color w:val="auto"/>
                      <w:spacing w:val="-3"/>
                      <w:sz w:val="21"/>
                      <w:szCs w:val="21"/>
                      <w:highlight w:val="none"/>
                      <w:lang w:eastAsia="zh-CN"/>
                    </w:rPr>
                    <w:t>比例（%）</w:t>
                  </w:r>
                </w:p>
              </w:tc>
            </w:tr>
            <w:tr w14:paraId="16F35C14">
              <w:tblPrEx>
                <w:tblCellMar>
                  <w:top w:w="0" w:type="dxa"/>
                  <w:left w:w="108" w:type="dxa"/>
                  <w:bottom w:w="0" w:type="dxa"/>
                  <w:right w:w="108" w:type="dxa"/>
                </w:tblCellMar>
              </w:tblPrEx>
              <w:trPr>
                <w:trHeight w:val="374" w:hRule="atLeast"/>
                <w:jc w:val="center"/>
              </w:trPr>
              <w:tc>
                <w:tcPr>
                  <w:tcW w:w="614" w:type="pct"/>
                  <w:vMerge w:val="restart"/>
                  <w:tcBorders>
                    <w:top w:val="single" w:color="auto" w:sz="4" w:space="0"/>
                    <w:left w:val="single" w:color="auto" w:sz="4" w:space="0"/>
                    <w:right w:val="single" w:color="auto" w:sz="4" w:space="0"/>
                  </w:tcBorders>
                  <w:noWrap w:val="0"/>
                  <w:vAlign w:val="center"/>
                </w:tcPr>
                <w:p w14:paraId="2D7F922D">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自然植被</w:t>
                  </w:r>
                </w:p>
              </w:tc>
              <w:tc>
                <w:tcPr>
                  <w:tcW w:w="843" w:type="pct"/>
                  <w:tcBorders>
                    <w:top w:val="single" w:color="000000" w:sz="4" w:space="0"/>
                    <w:left w:val="single" w:color="auto" w:sz="4" w:space="0"/>
                    <w:bottom w:val="single" w:color="000000" w:sz="4" w:space="0"/>
                    <w:right w:val="single" w:color="000000" w:sz="4" w:space="0"/>
                  </w:tcBorders>
                  <w:noWrap w:val="0"/>
                  <w:vAlign w:val="center"/>
                </w:tcPr>
                <w:p w14:paraId="187994D7">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落叶阔叶林</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A3DC5FA">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暖性落叶阔叶林</w:t>
                  </w:r>
                </w:p>
              </w:tc>
              <w:tc>
                <w:tcPr>
                  <w:tcW w:w="1209" w:type="pct"/>
                  <w:tcBorders>
                    <w:top w:val="single" w:color="000000" w:sz="4" w:space="0"/>
                    <w:left w:val="single" w:color="000000" w:sz="4" w:space="0"/>
                    <w:bottom w:val="single" w:color="000000" w:sz="4" w:space="0"/>
                    <w:right w:val="single" w:color="000000" w:sz="4" w:space="0"/>
                  </w:tcBorders>
                  <w:noWrap w:val="0"/>
                  <w:vAlign w:val="center"/>
                </w:tcPr>
                <w:p w14:paraId="6E0DBE98">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尼泊尔桤木林</w:t>
                  </w:r>
                </w:p>
              </w:tc>
              <w:tc>
                <w:tcPr>
                  <w:tcW w:w="604" w:type="pct"/>
                  <w:tcBorders>
                    <w:top w:val="single" w:color="000000" w:sz="4" w:space="0"/>
                    <w:left w:val="single" w:color="000000" w:sz="4" w:space="0"/>
                    <w:bottom w:val="single" w:color="000000" w:sz="4" w:space="0"/>
                    <w:right w:val="single" w:color="000000" w:sz="4" w:space="0"/>
                  </w:tcBorders>
                  <w:noWrap w:val="0"/>
                  <w:vAlign w:val="center"/>
                </w:tcPr>
                <w:p w14:paraId="265425BB">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2.721</w:t>
                  </w:r>
                </w:p>
              </w:tc>
              <w:tc>
                <w:tcPr>
                  <w:tcW w:w="551" w:type="pct"/>
                  <w:tcBorders>
                    <w:top w:val="single" w:color="000000" w:sz="4" w:space="0"/>
                    <w:left w:val="single" w:color="000000" w:sz="4" w:space="0"/>
                    <w:bottom w:val="single" w:color="000000" w:sz="4" w:space="0"/>
                    <w:right w:val="single" w:color="000000" w:sz="4" w:space="0"/>
                  </w:tcBorders>
                  <w:noWrap w:val="0"/>
                  <w:vAlign w:val="center"/>
                </w:tcPr>
                <w:p w14:paraId="509FE1FF">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3.40</w:t>
                  </w:r>
                </w:p>
              </w:tc>
            </w:tr>
            <w:tr w14:paraId="0F2D0010">
              <w:tblPrEx>
                <w:tblCellMar>
                  <w:top w:w="0" w:type="dxa"/>
                  <w:left w:w="108" w:type="dxa"/>
                  <w:bottom w:w="0" w:type="dxa"/>
                  <w:right w:w="108" w:type="dxa"/>
                </w:tblCellMar>
              </w:tblPrEx>
              <w:trPr>
                <w:trHeight w:val="426" w:hRule="atLeast"/>
                <w:jc w:val="center"/>
              </w:trPr>
              <w:tc>
                <w:tcPr>
                  <w:tcW w:w="614" w:type="pct"/>
                  <w:vMerge w:val="continue"/>
                  <w:tcBorders>
                    <w:top w:val="single" w:color="auto" w:sz="4" w:space="0"/>
                    <w:left w:val="single" w:color="auto" w:sz="4" w:space="0"/>
                    <w:bottom w:val="single" w:color="auto" w:sz="4" w:space="0"/>
                    <w:right w:val="single" w:color="auto" w:sz="4" w:space="0"/>
                  </w:tcBorders>
                  <w:noWrap w:val="0"/>
                  <w:vAlign w:val="center"/>
                </w:tcPr>
                <w:p w14:paraId="742B058D">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p>
              </w:tc>
              <w:tc>
                <w:tcPr>
                  <w:tcW w:w="843" w:type="pct"/>
                  <w:tcBorders>
                    <w:top w:val="single" w:color="000000" w:sz="4" w:space="0"/>
                    <w:left w:val="single" w:color="auto" w:sz="4" w:space="0"/>
                    <w:bottom w:val="single" w:color="000000" w:sz="4" w:space="0"/>
                    <w:right w:val="single" w:color="000000" w:sz="4" w:space="0"/>
                  </w:tcBorders>
                  <w:noWrap w:val="0"/>
                  <w:vAlign w:val="center"/>
                </w:tcPr>
                <w:p w14:paraId="7280E380">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暖性针叶林</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353714DA">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暖温性针叶林</w:t>
                  </w:r>
                </w:p>
              </w:tc>
              <w:tc>
                <w:tcPr>
                  <w:tcW w:w="1209" w:type="pct"/>
                  <w:tcBorders>
                    <w:top w:val="single" w:color="000000" w:sz="4" w:space="0"/>
                    <w:left w:val="single" w:color="000000" w:sz="4" w:space="0"/>
                    <w:bottom w:val="single" w:color="000000" w:sz="4" w:space="0"/>
                    <w:right w:val="single" w:color="000000" w:sz="4" w:space="0"/>
                  </w:tcBorders>
                  <w:noWrap w:val="0"/>
                  <w:vAlign w:val="center"/>
                </w:tcPr>
                <w:p w14:paraId="4FCE5C90">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云南松林</w:t>
                  </w:r>
                </w:p>
              </w:tc>
              <w:tc>
                <w:tcPr>
                  <w:tcW w:w="604" w:type="pct"/>
                  <w:tcBorders>
                    <w:top w:val="single" w:color="000000" w:sz="4" w:space="0"/>
                    <w:left w:val="single" w:color="000000" w:sz="4" w:space="0"/>
                    <w:bottom w:val="single" w:color="000000" w:sz="4" w:space="0"/>
                    <w:right w:val="single" w:color="000000" w:sz="4" w:space="0"/>
                  </w:tcBorders>
                  <w:noWrap w:val="0"/>
                  <w:vAlign w:val="center"/>
                </w:tcPr>
                <w:p w14:paraId="24B468A2">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63.81</w:t>
                  </w:r>
                </w:p>
              </w:tc>
              <w:tc>
                <w:tcPr>
                  <w:tcW w:w="551" w:type="pct"/>
                  <w:tcBorders>
                    <w:top w:val="single" w:color="000000" w:sz="4" w:space="0"/>
                    <w:left w:val="single" w:color="000000" w:sz="4" w:space="0"/>
                    <w:bottom w:val="single" w:color="000000" w:sz="4" w:space="0"/>
                    <w:right w:val="single" w:color="000000" w:sz="4" w:space="0"/>
                  </w:tcBorders>
                  <w:noWrap w:val="0"/>
                  <w:vAlign w:val="center"/>
                </w:tcPr>
                <w:p w14:paraId="7553552B">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79.75</w:t>
                  </w:r>
                </w:p>
              </w:tc>
            </w:tr>
            <w:tr w14:paraId="2ED28000">
              <w:tblPrEx>
                <w:tblCellMar>
                  <w:top w:w="0" w:type="dxa"/>
                  <w:left w:w="108" w:type="dxa"/>
                  <w:bottom w:w="0" w:type="dxa"/>
                  <w:right w:w="108" w:type="dxa"/>
                </w:tblCellMar>
              </w:tblPrEx>
              <w:trPr>
                <w:trHeight w:val="539" w:hRule="atLeast"/>
                <w:jc w:val="center"/>
              </w:trPr>
              <w:tc>
                <w:tcPr>
                  <w:tcW w:w="614" w:type="pct"/>
                  <w:vMerge w:val="continue"/>
                  <w:tcBorders>
                    <w:top w:val="single" w:color="auto" w:sz="4" w:space="0"/>
                    <w:left w:val="single" w:color="auto" w:sz="4" w:space="0"/>
                    <w:bottom w:val="single" w:color="auto" w:sz="4" w:space="0"/>
                    <w:right w:val="single" w:color="auto" w:sz="4" w:space="0"/>
                  </w:tcBorders>
                  <w:noWrap w:val="0"/>
                  <w:vAlign w:val="center"/>
                </w:tcPr>
                <w:p w14:paraId="176C2E40">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p>
              </w:tc>
              <w:tc>
                <w:tcPr>
                  <w:tcW w:w="843" w:type="pct"/>
                  <w:tcBorders>
                    <w:top w:val="single" w:color="000000" w:sz="4" w:space="0"/>
                    <w:left w:val="single" w:color="auto" w:sz="4" w:space="0"/>
                    <w:bottom w:val="single" w:color="000000" w:sz="4" w:space="0"/>
                    <w:right w:val="single" w:color="000000" w:sz="4" w:space="0"/>
                  </w:tcBorders>
                  <w:noWrap w:val="0"/>
                  <w:vAlign w:val="center"/>
                </w:tcPr>
                <w:p w14:paraId="5536C6E8">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稀树灌木草丛</w:t>
                  </w:r>
                </w:p>
              </w:tc>
              <w:tc>
                <w:tcPr>
                  <w:tcW w:w="1175" w:type="pct"/>
                  <w:tcBorders>
                    <w:top w:val="single" w:color="000000" w:sz="4" w:space="0"/>
                    <w:left w:val="single" w:color="000000" w:sz="4" w:space="0"/>
                    <w:bottom w:val="single" w:color="000000" w:sz="4" w:space="0"/>
                    <w:right w:val="single" w:color="000000" w:sz="4" w:space="0"/>
                  </w:tcBorders>
                  <w:noWrap w:val="0"/>
                  <w:vAlign w:val="center"/>
                </w:tcPr>
                <w:p w14:paraId="20D04368">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暖温性稀树灌木草丛</w:t>
                  </w:r>
                </w:p>
              </w:tc>
              <w:tc>
                <w:tcPr>
                  <w:tcW w:w="1209" w:type="pct"/>
                  <w:tcBorders>
                    <w:top w:val="single" w:color="000000" w:sz="4" w:space="0"/>
                    <w:left w:val="single" w:color="000000" w:sz="4" w:space="0"/>
                    <w:bottom w:val="single" w:color="000000" w:sz="4" w:space="0"/>
                    <w:right w:val="single" w:color="000000" w:sz="4" w:space="0"/>
                  </w:tcBorders>
                  <w:noWrap w:val="0"/>
                  <w:vAlign w:val="center"/>
                </w:tcPr>
                <w:p w14:paraId="2D9FB8C8">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含云南松、毛轴蕨的中草草丛</w:t>
                  </w:r>
                </w:p>
              </w:tc>
              <w:tc>
                <w:tcPr>
                  <w:tcW w:w="604" w:type="pct"/>
                  <w:tcBorders>
                    <w:top w:val="single" w:color="000000" w:sz="4" w:space="0"/>
                    <w:left w:val="single" w:color="000000" w:sz="4" w:space="0"/>
                    <w:bottom w:val="single" w:color="000000" w:sz="4" w:space="0"/>
                    <w:right w:val="single" w:color="000000" w:sz="4" w:space="0"/>
                  </w:tcBorders>
                  <w:noWrap w:val="0"/>
                  <w:vAlign w:val="center"/>
                </w:tcPr>
                <w:p w14:paraId="53F9FE41">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6.433</w:t>
                  </w:r>
                </w:p>
              </w:tc>
              <w:tc>
                <w:tcPr>
                  <w:tcW w:w="551" w:type="pct"/>
                  <w:tcBorders>
                    <w:top w:val="single" w:color="000000" w:sz="4" w:space="0"/>
                    <w:left w:val="single" w:color="000000" w:sz="4" w:space="0"/>
                    <w:bottom w:val="single" w:color="000000" w:sz="4" w:space="0"/>
                    <w:right w:val="single" w:color="000000" w:sz="4" w:space="0"/>
                  </w:tcBorders>
                  <w:noWrap w:val="0"/>
                  <w:vAlign w:val="center"/>
                </w:tcPr>
                <w:p w14:paraId="7B22719E">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8.04</w:t>
                  </w:r>
                </w:p>
              </w:tc>
            </w:tr>
            <w:tr w14:paraId="4B922D36">
              <w:tblPrEx>
                <w:tblCellMar>
                  <w:top w:w="0" w:type="dxa"/>
                  <w:left w:w="108" w:type="dxa"/>
                  <w:bottom w:w="0" w:type="dxa"/>
                  <w:right w:w="108" w:type="dxa"/>
                </w:tblCellMar>
              </w:tblPrEx>
              <w:trPr>
                <w:trHeight w:val="321" w:hRule="atLeast"/>
                <w:jc w:val="center"/>
              </w:trPr>
              <w:tc>
                <w:tcPr>
                  <w:tcW w:w="614" w:type="pct"/>
                  <w:vMerge w:val="continue"/>
                  <w:tcBorders>
                    <w:top w:val="single" w:color="auto" w:sz="4" w:space="0"/>
                    <w:left w:val="single" w:color="auto" w:sz="4" w:space="0"/>
                    <w:bottom w:val="single" w:color="auto" w:sz="4" w:space="0"/>
                    <w:right w:val="single" w:color="auto" w:sz="4" w:space="0"/>
                  </w:tcBorders>
                  <w:noWrap w:val="0"/>
                  <w:vAlign w:val="center"/>
                </w:tcPr>
                <w:p w14:paraId="77AA7E1B">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p>
              </w:tc>
              <w:tc>
                <w:tcPr>
                  <w:tcW w:w="3228" w:type="pct"/>
                  <w:gridSpan w:val="3"/>
                  <w:tcBorders>
                    <w:top w:val="single" w:color="000000" w:sz="4" w:space="0"/>
                    <w:left w:val="single" w:color="auto" w:sz="4" w:space="0"/>
                    <w:bottom w:val="single" w:color="000000" w:sz="4" w:space="0"/>
                    <w:right w:val="single" w:color="000000" w:sz="4" w:space="0"/>
                  </w:tcBorders>
                  <w:noWrap w:val="0"/>
                  <w:vAlign w:val="center"/>
                </w:tcPr>
                <w:p w14:paraId="112007D5">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小计</w:t>
                  </w:r>
                </w:p>
              </w:tc>
              <w:tc>
                <w:tcPr>
                  <w:tcW w:w="604" w:type="pct"/>
                  <w:tcBorders>
                    <w:top w:val="single" w:color="000000" w:sz="4" w:space="0"/>
                    <w:left w:val="single" w:color="000000" w:sz="4" w:space="0"/>
                    <w:bottom w:val="single" w:color="000000" w:sz="4" w:space="0"/>
                    <w:right w:val="single" w:color="000000" w:sz="4" w:space="0"/>
                  </w:tcBorders>
                  <w:noWrap w:val="0"/>
                  <w:vAlign w:val="center"/>
                </w:tcPr>
                <w:p w14:paraId="53F44AB7">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72.964</w:t>
                  </w:r>
                </w:p>
              </w:tc>
              <w:tc>
                <w:tcPr>
                  <w:tcW w:w="551" w:type="pct"/>
                  <w:tcBorders>
                    <w:top w:val="single" w:color="000000" w:sz="4" w:space="0"/>
                    <w:left w:val="single" w:color="000000" w:sz="4" w:space="0"/>
                    <w:bottom w:val="single" w:color="000000" w:sz="4" w:space="0"/>
                    <w:right w:val="single" w:color="000000" w:sz="4" w:space="0"/>
                  </w:tcBorders>
                  <w:noWrap w:val="0"/>
                  <w:vAlign w:val="center"/>
                </w:tcPr>
                <w:p w14:paraId="040CD8FF">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91.19</w:t>
                  </w:r>
                </w:p>
              </w:tc>
            </w:tr>
            <w:tr w14:paraId="43EBCDA3">
              <w:tblPrEx>
                <w:tblCellMar>
                  <w:top w:w="0" w:type="dxa"/>
                  <w:left w:w="108" w:type="dxa"/>
                  <w:bottom w:w="0" w:type="dxa"/>
                  <w:right w:w="108" w:type="dxa"/>
                </w:tblCellMar>
              </w:tblPrEx>
              <w:trPr>
                <w:trHeight w:val="354" w:hRule="atLeast"/>
                <w:jc w:val="center"/>
              </w:trPr>
              <w:tc>
                <w:tcPr>
                  <w:tcW w:w="614" w:type="pct"/>
                  <w:tcBorders>
                    <w:top w:val="single" w:color="auto" w:sz="4" w:space="0"/>
                    <w:left w:val="single" w:color="000000" w:sz="4" w:space="0"/>
                    <w:right w:val="single" w:color="000000" w:sz="4" w:space="0"/>
                  </w:tcBorders>
                  <w:noWrap w:val="0"/>
                  <w:vAlign w:val="center"/>
                </w:tcPr>
                <w:p w14:paraId="7481116A">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人工植被</w:t>
                  </w:r>
                </w:p>
              </w:tc>
              <w:tc>
                <w:tcPr>
                  <w:tcW w:w="2019" w:type="pct"/>
                  <w:gridSpan w:val="2"/>
                  <w:tcBorders>
                    <w:top w:val="single" w:color="000000" w:sz="4" w:space="0"/>
                    <w:left w:val="single" w:color="000000" w:sz="4" w:space="0"/>
                    <w:bottom w:val="single" w:color="000000" w:sz="4" w:space="0"/>
                    <w:right w:val="single" w:color="000000" w:sz="4" w:space="0"/>
                  </w:tcBorders>
                  <w:noWrap w:val="0"/>
                  <w:vAlign w:val="center"/>
                </w:tcPr>
                <w:p w14:paraId="3BF025E7">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耕地</w:t>
                  </w:r>
                </w:p>
              </w:tc>
              <w:tc>
                <w:tcPr>
                  <w:tcW w:w="1209" w:type="pct"/>
                  <w:tcBorders>
                    <w:top w:val="single" w:color="000000" w:sz="4" w:space="0"/>
                    <w:left w:val="single" w:color="000000" w:sz="4" w:space="0"/>
                    <w:bottom w:val="single" w:color="000000" w:sz="4" w:space="0"/>
                    <w:right w:val="single" w:color="000000" w:sz="4" w:space="0"/>
                  </w:tcBorders>
                  <w:noWrap w:val="0"/>
                  <w:vAlign w:val="center"/>
                </w:tcPr>
                <w:p w14:paraId="3072EB1A">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val="en-US" w:eastAsia="zh-CN"/>
                    </w:rPr>
                    <w:t>板栗、</w:t>
                  </w:r>
                  <w:r>
                    <w:rPr>
                      <w:rFonts w:hint="default" w:ascii="Times New Roman" w:hAnsi="Times New Roman" w:eastAsia="宋体" w:cs="Times New Roman"/>
                      <w:color w:val="auto"/>
                      <w:spacing w:val="-3"/>
                      <w:sz w:val="21"/>
                      <w:szCs w:val="21"/>
                      <w:highlight w:val="none"/>
                      <w:lang w:eastAsia="zh-CN"/>
                    </w:rPr>
                    <w:t>玉米、</w:t>
                  </w:r>
                  <w:r>
                    <w:rPr>
                      <w:rFonts w:hint="default" w:ascii="Times New Roman" w:hAnsi="Times New Roman" w:eastAsia="宋体" w:cs="Times New Roman"/>
                      <w:color w:val="auto"/>
                      <w:spacing w:val="-3"/>
                      <w:sz w:val="21"/>
                      <w:szCs w:val="21"/>
                      <w:highlight w:val="none"/>
                      <w:lang w:val="en-US" w:eastAsia="zh-CN"/>
                    </w:rPr>
                    <w:t>辣椒、蔬菜</w:t>
                  </w:r>
                  <w:r>
                    <w:rPr>
                      <w:rFonts w:hint="default" w:ascii="Times New Roman" w:hAnsi="Times New Roman" w:eastAsia="宋体" w:cs="Times New Roman"/>
                      <w:color w:val="auto"/>
                      <w:spacing w:val="-3"/>
                      <w:sz w:val="21"/>
                      <w:szCs w:val="21"/>
                      <w:highlight w:val="none"/>
                      <w:lang w:eastAsia="zh-CN"/>
                    </w:rPr>
                    <w:t>等</w:t>
                  </w:r>
                </w:p>
              </w:tc>
              <w:tc>
                <w:tcPr>
                  <w:tcW w:w="604" w:type="pct"/>
                  <w:tcBorders>
                    <w:top w:val="single" w:color="000000" w:sz="4" w:space="0"/>
                    <w:left w:val="single" w:color="000000" w:sz="4" w:space="0"/>
                    <w:bottom w:val="single" w:color="000000" w:sz="4" w:space="0"/>
                    <w:right w:val="single" w:color="000000" w:sz="4" w:space="0"/>
                  </w:tcBorders>
                  <w:noWrap w:val="0"/>
                  <w:vAlign w:val="center"/>
                </w:tcPr>
                <w:p w14:paraId="77E267EC">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6.345</w:t>
                  </w:r>
                </w:p>
              </w:tc>
              <w:tc>
                <w:tcPr>
                  <w:tcW w:w="551" w:type="pct"/>
                  <w:tcBorders>
                    <w:top w:val="single" w:color="000000" w:sz="4" w:space="0"/>
                    <w:left w:val="single" w:color="000000" w:sz="4" w:space="0"/>
                    <w:bottom w:val="single" w:color="000000" w:sz="4" w:space="0"/>
                    <w:right w:val="single" w:color="000000" w:sz="4" w:space="0"/>
                  </w:tcBorders>
                  <w:noWrap w:val="0"/>
                  <w:vAlign w:val="center"/>
                </w:tcPr>
                <w:p w14:paraId="39132785">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7.93</w:t>
                  </w:r>
                </w:p>
              </w:tc>
            </w:tr>
            <w:tr w14:paraId="44A8D7FD">
              <w:tblPrEx>
                <w:tblCellMar>
                  <w:top w:w="0" w:type="dxa"/>
                  <w:left w:w="108" w:type="dxa"/>
                  <w:bottom w:w="0" w:type="dxa"/>
                  <w:right w:w="108" w:type="dxa"/>
                </w:tblCellMar>
              </w:tblPrEx>
              <w:trPr>
                <w:trHeight w:val="321" w:hRule="atLeast"/>
                <w:jc w:val="center"/>
              </w:trPr>
              <w:tc>
                <w:tcPr>
                  <w:tcW w:w="614" w:type="pct"/>
                  <w:tcBorders>
                    <w:top w:val="single" w:color="000000" w:sz="4" w:space="0"/>
                    <w:left w:val="single" w:color="000000" w:sz="4" w:space="0"/>
                    <w:bottom w:val="single" w:color="000000" w:sz="4" w:space="0"/>
                    <w:right w:val="single" w:color="000000" w:sz="4" w:space="0"/>
                  </w:tcBorders>
                  <w:noWrap w:val="0"/>
                  <w:vAlign w:val="center"/>
                </w:tcPr>
                <w:p w14:paraId="717116F9">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eastAsia="zh-CN"/>
                    </w:rPr>
                  </w:pPr>
                  <w:r>
                    <w:rPr>
                      <w:rFonts w:hint="default" w:ascii="Times New Roman" w:hAnsi="Times New Roman" w:eastAsia="宋体" w:cs="Times New Roman"/>
                      <w:color w:val="auto"/>
                      <w:spacing w:val="-3"/>
                      <w:sz w:val="21"/>
                      <w:szCs w:val="21"/>
                      <w:highlight w:val="none"/>
                      <w:lang w:eastAsia="zh-CN"/>
                    </w:rPr>
                    <w:t>非植被</w:t>
                  </w:r>
                </w:p>
              </w:tc>
              <w:tc>
                <w:tcPr>
                  <w:tcW w:w="3228"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4DF67">
                  <w:pPr>
                    <w:spacing w:before="29" w:line="224" w:lineRule="auto"/>
                    <w:ind w:right="66" w:rightChars="0" w:firstLine="0" w:firstLineChars="0"/>
                    <w:jc w:val="center"/>
                    <w:rPr>
                      <w:rFonts w:hint="default" w:ascii="Times New Roman" w:hAnsi="Times New Roman" w:eastAsia="宋体" w:cs="Times New Roman"/>
                      <w:color w:val="auto"/>
                      <w:spacing w:val="-3"/>
                      <w:kern w:val="2"/>
                      <w:sz w:val="21"/>
                      <w:szCs w:val="21"/>
                      <w:highlight w:val="none"/>
                      <w:lang w:val="en-US" w:eastAsia="zh-CN" w:bidi="ar-SA"/>
                    </w:rPr>
                  </w:pPr>
                  <w:r>
                    <w:rPr>
                      <w:rFonts w:hint="default" w:ascii="Times New Roman" w:hAnsi="Times New Roman" w:eastAsia="宋体" w:cs="Times New Roman"/>
                      <w:color w:val="auto"/>
                      <w:spacing w:val="-3"/>
                      <w:sz w:val="21"/>
                      <w:szCs w:val="21"/>
                      <w:highlight w:val="none"/>
                      <w:lang w:val="en-US" w:eastAsia="zh-CN"/>
                    </w:rPr>
                    <w:t>交通运输用地</w:t>
                  </w:r>
                </w:p>
              </w:tc>
              <w:tc>
                <w:tcPr>
                  <w:tcW w:w="60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06D5D">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0.704</w:t>
                  </w:r>
                </w:p>
              </w:tc>
              <w:tc>
                <w:tcPr>
                  <w:tcW w:w="55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11A7A">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0.88</w:t>
                  </w:r>
                </w:p>
              </w:tc>
            </w:tr>
            <w:tr w14:paraId="3FDB82DE">
              <w:tblPrEx>
                <w:tblCellMar>
                  <w:top w:w="0" w:type="dxa"/>
                  <w:left w:w="108" w:type="dxa"/>
                  <w:bottom w:w="0" w:type="dxa"/>
                  <w:right w:w="108" w:type="dxa"/>
                </w:tblCellMar>
              </w:tblPrEx>
              <w:trPr>
                <w:trHeight w:val="330" w:hRule="atLeast"/>
                <w:jc w:val="center"/>
              </w:trPr>
              <w:tc>
                <w:tcPr>
                  <w:tcW w:w="3843" w:type="pct"/>
                  <w:gridSpan w:val="4"/>
                  <w:tcBorders>
                    <w:top w:val="single" w:color="000000" w:sz="4" w:space="0"/>
                    <w:left w:val="single" w:color="000000" w:sz="4" w:space="0"/>
                    <w:bottom w:val="single" w:color="000000" w:sz="4" w:space="0"/>
                    <w:right w:val="single" w:color="000000" w:sz="4" w:space="0"/>
                  </w:tcBorders>
                  <w:noWrap w:val="0"/>
                  <w:vAlign w:val="center"/>
                </w:tcPr>
                <w:p w14:paraId="4830C797">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合计</w:t>
                  </w:r>
                </w:p>
              </w:tc>
              <w:tc>
                <w:tcPr>
                  <w:tcW w:w="604" w:type="pct"/>
                  <w:tcBorders>
                    <w:top w:val="single" w:color="000000" w:sz="4" w:space="0"/>
                    <w:left w:val="single" w:color="000000" w:sz="4" w:space="0"/>
                    <w:bottom w:val="single" w:color="000000" w:sz="4" w:space="0"/>
                    <w:right w:val="single" w:color="000000" w:sz="4" w:space="0"/>
                  </w:tcBorders>
                  <w:noWrap w:val="0"/>
                  <w:vAlign w:val="center"/>
                </w:tcPr>
                <w:p w14:paraId="357338DE">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80.013</w:t>
                  </w:r>
                </w:p>
              </w:tc>
              <w:tc>
                <w:tcPr>
                  <w:tcW w:w="551" w:type="pct"/>
                  <w:tcBorders>
                    <w:top w:val="single" w:color="000000" w:sz="4" w:space="0"/>
                    <w:left w:val="single" w:color="000000" w:sz="4" w:space="0"/>
                    <w:bottom w:val="single" w:color="000000" w:sz="4" w:space="0"/>
                    <w:right w:val="single" w:color="000000" w:sz="4" w:space="0"/>
                  </w:tcBorders>
                  <w:noWrap w:val="0"/>
                  <w:vAlign w:val="center"/>
                </w:tcPr>
                <w:p w14:paraId="1538D191">
                  <w:pPr>
                    <w:spacing w:before="29" w:line="224" w:lineRule="auto"/>
                    <w:ind w:right="66" w:firstLine="0" w:firstLineChars="0"/>
                    <w:jc w:val="center"/>
                    <w:rPr>
                      <w:rFonts w:hint="default" w:ascii="Times New Roman" w:hAnsi="Times New Roman" w:eastAsia="宋体" w:cs="Times New Roman"/>
                      <w:color w:val="auto"/>
                      <w:spacing w:val="-3"/>
                      <w:sz w:val="21"/>
                      <w:szCs w:val="21"/>
                      <w:highlight w:val="none"/>
                      <w:lang w:val="en-US" w:eastAsia="zh-CN"/>
                    </w:rPr>
                  </w:pPr>
                  <w:r>
                    <w:rPr>
                      <w:rFonts w:hint="default" w:ascii="Times New Roman" w:hAnsi="Times New Roman" w:eastAsia="宋体" w:cs="Times New Roman"/>
                      <w:color w:val="auto"/>
                      <w:spacing w:val="-3"/>
                      <w:sz w:val="21"/>
                      <w:szCs w:val="21"/>
                      <w:highlight w:val="none"/>
                      <w:lang w:val="en-US" w:eastAsia="zh-CN"/>
                    </w:rPr>
                    <w:t>100.00</w:t>
                  </w:r>
                </w:p>
              </w:tc>
            </w:tr>
          </w:tbl>
          <w:p w14:paraId="4C443EA1">
            <w:pPr>
              <w:numPr>
                <w:ilvl w:val="0"/>
                <w:numId w:val="0"/>
              </w:numPr>
              <w:ind w:firstLine="480" w:firstLineChars="200"/>
              <w:rPr>
                <w:rFonts w:hint="default" w:ascii="Times New Roman" w:hAnsi="Times New Roman" w:eastAsia="宋体" w:cs="Times New Roman"/>
                <w:b w:val="0"/>
                <w:bCs w:val="0"/>
                <w:color w:val="auto"/>
                <w:kern w:val="2"/>
                <w:sz w:val="24"/>
                <w:szCs w:val="24"/>
                <w:highlight w:val="none"/>
                <w:lang w:val="en-US" w:eastAsia="zh-CN" w:bidi="ar-SA"/>
              </w:rPr>
            </w:pPr>
            <w:r>
              <w:rPr>
                <w:rFonts w:hint="eastAsia" w:cs="Times New Roman"/>
                <w:b w:val="0"/>
                <w:bCs w:val="0"/>
                <w:color w:val="auto"/>
                <w:kern w:val="2"/>
                <w:sz w:val="24"/>
                <w:szCs w:val="24"/>
                <w:highlight w:val="none"/>
                <w:lang w:val="en-US" w:eastAsia="zh-CN" w:bidi="ar-SA"/>
              </w:rPr>
              <w:t>从上表可以看出，项目评价区暖温性针叶林分布最广，面积为63.81</w:t>
            </w:r>
            <w:r>
              <w:rPr>
                <w:rFonts w:hint="default" w:ascii="Times New Roman" w:hAnsi="Times New Roman" w:eastAsia="宋体" w:cs="Times New Roman"/>
                <w:b w:val="0"/>
                <w:bCs w:val="0"/>
                <w:color w:val="auto"/>
                <w:spacing w:val="-3"/>
                <w:sz w:val="24"/>
                <w:szCs w:val="24"/>
                <w:highlight w:val="none"/>
                <w:lang w:eastAsia="zh-CN"/>
              </w:rPr>
              <w:t>hm</w:t>
            </w:r>
            <w:r>
              <w:rPr>
                <w:rFonts w:hint="default" w:ascii="Times New Roman" w:hAnsi="Times New Roman" w:eastAsia="宋体" w:cs="Times New Roman"/>
                <w:b w:val="0"/>
                <w:bCs w:val="0"/>
                <w:color w:val="auto"/>
                <w:spacing w:val="-3"/>
                <w:sz w:val="24"/>
                <w:szCs w:val="24"/>
                <w:highlight w:val="none"/>
                <w:vertAlign w:val="superscript"/>
                <w:lang w:eastAsia="zh-CN"/>
              </w:rPr>
              <w:t>2</w:t>
            </w:r>
            <w:r>
              <w:rPr>
                <w:rFonts w:hint="eastAsia" w:cs="Times New Roman"/>
                <w:b w:val="0"/>
                <w:bCs w:val="0"/>
                <w:color w:val="auto"/>
                <w:kern w:val="2"/>
                <w:sz w:val="24"/>
                <w:szCs w:val="24"/>
                <w:highlight w:val="none"/>
                <w:lang w:val="en-US" w:eastAsia="zh-CN" w:bidi="ar-SA"/>
              </w:rPr>
              <w:t>，占比79.75%；其次分别为暖温性稀树灌木草丛、耕地、暖性落叶阔叶林、交通运输用地，面积分别为6.433</w:t>
            </w:r>
            <w:r>
              <w:rPr>
                <w:rFonts w:hint="default" w:ascii="Times New Roman" w:hAnsi="Times New Roman" w:eastAsia="宋体" w:cs="Times New Roman"/>
                <w:b w:val="0"/>
                <w:bCs w:val="0"/>
                <w:color w:val="auto"/>
                <w:spacing w:val="-3"/>
                <w:sz w:val="24"/>
                <w:szCs w:val="24"/>
                <w:highlight w:val="none"/>
                <w:lang w:eastAsia="zh-CN"/>
              </w:rPr>
              <w:t>hm</w:t>
            </w:r>
            <w:r>
              <w:rPr>
                <w:rFonts w:hint="default" w:ascii="Times New Roman" w:hAnsi="Times New Roman" w:eastAsia="宋体" w:cs="Times New Roman"/>
                <w:b w:val="0"/>
                <w:bCs w:val="0"/>
                <w:color w:val="auto"/>
                <w:spacing w:val="-3"/>
                <w:sz w:val="24"/>
                <w:szCs w:val="24"/>
                <w:highlight w:val="none"/>
                <w:vertAlign w:val="superscript"/>
                <w:lang w:eastAsia="zh-CN"/>
              </w:rPr>
              <w:t>2</w:t>
            </w:r>
            <w:r>
              <w:rPr>
                <w:rFonts w:hint="eastAsia" w:cs="Times New Roman"/>
                <w:b w:val="0"/>
                <w:bCs w:val="0"/>
                <w:color w:val="auto"/>
                <w:kern w:val="2"/>
                <w:sz w:val="24"/>
                <w:szCs w:val="24"/>
                <w:highlight w:val="none"/>
                <w:lang w:val="en-US" w:eastAsia="zh-CN" w:bidi="ar-SA"/>
              </w:rPr>
              <w:t>、6.345</w:t>
            </w:r>
            <w:r>
              <w:rPr>
                <w:rFonts w:hint="default" w:ascii="Times New Roman" w:hAnsi="Times New Roman" w:eastAsia="宋体" w:cs="Times New Roman"/>
                <w:b w:val="0"/>
                <w:bCs w:val="0"/>
                <w:color w:val="auto"/>
                <w:spacing w:val="-3"/>
                <w:sz w:val="24"/>
                <w:szCs w:val="24"/>
                <w:highlight w:val="none"/>
                <w:lang w:eastAsia="zh-CN"/>
              </w:rPr>
              <w:t>hm</w:t>
            </w:r>
            <w:r>
              <w:rPr>
                <w:rFonts w:hint="default" w:ascii="Times New Roman" w:hAnsi="Times New Roman" w:eastAsia="宋体" w:cs="Times New Roman"/>
                <w:b w:val="0"/>
                <w:bCs w:val="0"/>
                <w:color w:val="auto"/>
                <w:spacing w:val="-3"/>
                <w:sz w:val="24"/>
                <w:szCs w:val="24"/>
                <w:highlight w:val="none"/>
                <w:vertAlign w:val="superscript"/>
                <w:lang w:eastAsia="zh-CN"/>
              </w:rPr>
              <w:t>2</w:t>
            </w:r>
            <w:r>
              <w:rPr>
                <w:rFonts w:hint="eastAsia" w:cs="Times New Roman"/>
                <w:b w:val="0"/>
                <w:bCs w:val="0"/>
                <w:color w:val="auto"/>
                <w:kern w:val="2"/>
                <w:sz w:val="24"/>
                <w:szCs w:val="24"/>
                <w:highlight w:val="none"/>
                <w:lang w:val="en-US" w:eastAsia="zh-CN" w:bidi="ar-SA"/>
              </w:rPr>
              <w:t>、2.721</w:t>
            </w:r>
            <w:r>
              <w:rPr>
                <w:rFonts w:hint="default" w:ascii="Times New Roman" w:hAnsi="Times New Roman" w:eastAsia="宋体" w:cs="Times New Roman"/>
                <w:b w:val="0"/>
                <w:bCs w:val="0"/>
                <w:color w:val="auto"/>
                <w:spacing w:val="-3"/>
                <w:sz w:val="24"/>
                <w:szCs w:val="24"/>
                <w:highlight w:val="none"/>
                <w:lang w:eastAsia="zh-CN"/>
              </w:rPr>
              <w:t>hm</w:t>
            </w:r>
            <w:r>
              <w:rPr>
                <w:rFonts w:hint="default" w:ascii="Times New Roman" w:hAnsi="Times New Roman" w:eastAsia="宋体" w:cs="Times New Roman"/>
                <w:b w:val="0"/>
                <w:bCs w:val="0"/>
                <w:color w:val="auto"/>
                <w:spacing w:val="-3"/>
                <w:sz w:val="24"/>
                <w:szCs w:val="24"/>
                <w:highlight w:val="none"/>
                <w:vertAlign w:val="superscript"/>
                <w:lang w:eastAsia="zh-CN"/>
              </w:rPr>
              <w:t>2</w:t>
            </w:r>
            <w:r>
              <w:rPr>
                <w:rFonts w:hint="eastAsia" w:cs="Times New Roman"/>
                <w:b w:val="0"/>
                <w:bCs w:val="0"/>
                <w:color w:val="auto"/>
                <w:kern w:val="2"/>
                <w:sz w:val="24"/>
                <w:szCs w:val="24"/>
                <w:highlight w:val="none"/>
                <w:lang w:val="en-US" w:eastAsia="zh-CN" w:bidi="ar-SA"/>
              </w:rPr>
              <w:t>、0.704</w:t>
            </w:r>
            <w:r>
              <w:rPr>
                <w:rFonts w:hint="default" w:ascii="Times New Roman" w:hAnsi="Times New Roman" w:eastAsia="宋体" w:cs="Times New Roman"/>
                <w:b w:val="0"/>
                <w:bCs w:val="0"/>
                <w:color w:val="auto"/>
                <w:spacing w:val="-3"/>
                <w:sz w:val="24"/>
                <w:szCs w:val="24"/>
                <w:highlight w:val="none"/>
                <w:lang w:eastAsia="zh-CN"/>
              </w:rPr>
              <w:t>hm</w:t>
            </w:r>
            <w:r>
              <w:rPr>
                <w:rFonts w:hint="default" w:ascii="Times New Roman" w:hAnsi="Times New Roman" w:eastAsia="宋体" w:cs="Times New Roman"/>
                <w:b w:val="0"/>
                <w:bCs w:val="0"/>
                <w:color w:val="auto"/>
                <w:spacing w:val="-3"/>
                <w:sz w:val="24"/>
                <w:szCs w:val="24"/>
                <w:highlight w:val="none"/>
                <w:vertAlign w:val="superscript"/>
                <w:lang w:eastAsia="zh-CN"/>
              </w:rPr>
              <w:t>2</w:t>
            </w:r>
            <w:r>
              <w:rPr>
                <w:rFonts w:hint="eastAsia" w:cs="Times New Roman"/>
                <w:b w:val="0"/>
                <w:bCs w:val="0"/>
                <w:color w:val="auto"/>
                <w:kern w:val="2"/>
                <w:sz w:val="24"/>
                <w:szCs w:val="24"/>
                <w:highlight w:val="none"/>
                <w:lang w:val="en-US" w:eastAsia="zh-CN" w:bidi="ar-SA"/>
              </w:rPr>
              <w:t>，分别占评价区8.04%、7.93%、3.40%、0.88%。</w:t>
            </w:r>
          </w:p>
          <w:p w14:paraId="10BAB9C4">
            <w:pPr>
              <w:numPr>
                <w:ilvl w:val="0"/>
                <w:numId w:val="0"/>
              </w:numPr>
              <w:ind w:firstLine="482" w:firstLineChars="200"/>
              <w:rPr>
                <w:rFonts w:hint="default"/>
                <w:color w:val="auto"/>
                <w:highlight w:val="none"/>
              </w:rPr>
            </w:pPr>
            <w:r>
              <w:rPr>
                <w:rFonts w:hint="default" w:ascii="Times New Roman" w:hAnsi="Times New Roman" w:eastAsia="宋体" w:cs="Times New Roman"/>
                <w:b/>
                <w:bCs/>
                <w:color w:val="auto"/>
                <w:kern w:val="2"/>
                <w:sz w:val="24"/>
                <w:szCs w:val="24"/>
                <w:highlight w:val="none"/>
                <w:lang w:val="en-US" w:eastAsia="zh-CN" w:bidi="ar-SA"/>
              </w:rPr>
              <w:t>（2）</w:t>
            </w:r>
            <w:r>
              <w:rPr>
                <w:rFonts w:hint="default" w:ascii="Times New Roman" w:hAnsi="Times New Roman" w:eastAsia="宋体" w:cs="Times New Roman"/>
                <w:b/>
                <w:bCs/>
                <w:color w:val="auto"/>
                <w:szCs w:val="24"/>
                <w:highlight w:val="none"/>
              </w:rPr>
              <w:t>评价区植被类型特征</w:t>
            </w:r>
          </w:p>
          <w:p w14:paraId="600F635E">
            <w:pPr>
              <w:ind w:firstLine="482"/>
              <w:rPr>
                <w:rFonts w:hint="default" w:ascii="Times New Roman" w:hAnsi="Times New Roman" w:eastAsia="宋体" w:cs="Times New Roman"/>
                <w:b/>
                <w:bCs/>
                <w:color w:val="auto"/>
                <w:kern w:val="0"/>
                <w:highlight w:val="none"/>
                <w:lang w:val="en-US" w:eastAsia="zh-CN"/>
              </w:rPr>
            </w:pPr>
            <w:r>
              <w:rPr>
                <w:rFonts w:hint="default" w:ascii="Times New Roman" w:hAnsi="Times New Roman" w:cs="Times New Roman"/>
                <w:b/>
                <w:bCs/>
                <w:color w:val="auto"/>
                <w:kern w:val="0"/>
                <w:highlight w:val="none"/>
                <w:lang w:val="en-US" w:eastAsia="zh-CN"/>
              </w:rPr>
              <w:t>1</w:t>
            </w:r>
            <w:r>
              <w:rPr>
                <w:rFonts w:hint="default" w:ascii="Times New Roman" w:hAnsi="Times New Roman" w:cs="Times New Roman"/>
                <w:b/>
                <w:bCs/>
                <w:color w:val="auto"/>
                <w:kern w:val="0"/>
                <w:highlight w:val="none"/>
                <w:lang w:eastAsia="zh-CN"/>
              </w:rPr>
              <w:t>）</w:t>
            </w:r>
            <w:r>
              <w:rPr>
                <w:rFonts w:hint="default" w:ascii="Times New Roman" w:hAnsi="Times New Roman" w:cs="Times New Roman"/>
                <w:b/>
                <w:bCs/>
                <w:color w:val="auto"/>
                <w:kern w:val="0"/>
                <w:highlight w:val="none"/>
                <w:lang w:val="en-US" w:eastAsia="zh-CN"/>
              </w:rPr>
              <w:t>自然植被</w:t>
            </w:r>
          </w:p>
          <w:p w14:paraId="68FE099F">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kern w:val="0"/>
                <w:highlight w:val="none"/>
                <w:lang w:val="en-US" w:eastAsia="zh-CN"/>
              </w:rPr>
              <w:t>A.</w:t>
            </w:r>
            <w:r>
              <w:rPr>
                <w:rFonts w:hint="default" w:ascii="Times New Roman" w:hAnsi="Times New Roman" w:cs="Times New Roman"/>
                <w:b/>
                <w:bCs/>
                <w:color w:val="auto"/>
                <w:highlight w:val="none"/>
              </w:rPr>
              <w:t>暖性落叶阔叶林</w:t>
            </w:r>
          </w:p>
          <w:p w14:paraId="74C40BC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评价区暖性落叶阔叶林</w:t>
            </w:r>
            <w:r>
              <w:rPr>
                <w:rFonts w:hint="default" w:ascii="Times New Roman" w:hAnsi="Times New Roman" w:cs="Times New Roman"/>
                <w:color w:val="auto"/>
                <w:highlight w:val="none"/>
                <w:lang w:val="en-US" w:eastAsia="zh-CN"/>
              </w:rPr>
              <w:t>为</w:t>
            </w:r>
            <w:r>
              <w:rPr>
                <w:rFonts w:hint="default" w:ascii="Times New Roman" w:hAnsi="Times New Roman" w:cs="Times New Roman"/>
                <w:color w:val="auto"/>
                <w:highlight w:val="none"/>
              </w:rPr>
              <w:t>桤木林</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含</w:t>
            </w:r>
            <w:r>
              <w:rPr>
                <w:rFonts w:hint="default" w:ascii="Times New Roman" w:hAnsi="Times New Roman" w:cs="Times New Roman"/>
                <w:color w:val="auto"/>
                <w:highlight w:val="none"/>
              </w:rPr>
              <w:t>尼泊尔桤木林1个群系类型。</w:t>
            </w:r>
          </w:p>
          <w:p w14:paraId="686ED649">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尼泊尔桤木林</w:t>
            </w:r>
          </w:p>
          <w:p w14:paraId="7F1F8FD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群落自然起源于遭受到以开荒、砍伐等方式完全清除的原始半湿润常绿阔叶林、松栎混交林等植被，为典型的次生森林片段。评价区尼泊尔桤木林与耕地交错分布。</w:t>
            </w:r>
          </w:p>
          <w:p w14:paraId="78DE7628">
            <w:pPr>
              <w:pStyle w:val="38"/>
              <w:rPr>
                <w:rFonts w:hint="default" w:ascii="Times New Roman" w:hAnsi="Times New Roman" w:cs="Times New Roman"/>
                <w:color w:val="auto"/>
                <w:highlight w:val="none"/>
              </w:rPr>
            </w:pPr>
            <w:r>
              <w:rPr>
                <w:rFonts w:hint="default" w:ascii="Times New Roman" w:hAnsi="Times New Roman" w:cs="Times New Roman"/>
                <w:color w:val="auto"/>
                <w:highlight w:val="none"/>
              </w:rPr>
              <w:t>群落多为尼泊尔桤木</w:t>
            </w:r>
            <w:r>
              <w:rPr>
                <w:rFonts w:hint="default" w:ascii="Times New Roman" w:hAnsi="Times New Roman" w:cs="Times New Roman"/>
                <w:i/>
                <w:iCs/>
                <w:color w:val="auto"/>
                <w:highlight w:val="none"/>
              </w:rPr>
              <w:t>Alnus nepalensis</w:t>
            </w:r>
            <w:r>
              <w:rPr>
                <w:rFonts w:hint="default" w:ascii="Times New Roman" w:hAnsi="Times New Roman" w:cs="Times New Roman"/>
                <w:color w:val="auto"/>
                <w:highlight w:val="none"/>
              </w:rPr>
              <w:t>的纯林，局部林地偶见云南松</w:t>
            </w:r>
            <w:r>
              <w:rPr>
                <w:rFonts w:hint="default" w:ascii="Times New Roman" w:hAnsi="Times New Roman" w:cs="Times New Roman"/>
                <w:i/>
                <w:iCs/>
                <w:color w:val="auto"/>
                <w:highlight w:val="none"/>
              </w:rPr>
              <w:t>Pinus yunnanensis</w:t>
            </w:r>
            <w:r>
              <w:rPr>
                <w:rFonts w:hint="default" w:ascii="Times New Roman" w:hAnsi="Times New Roman" w:cs="Times New Roman"/>
                <w:color w:val="auto"/>
                <w:highlight w:val="none"/>
              </w:rPr>
              <w:t>等乔木半生。乔木层盖度可达80%，高度达9m。</w:t>
            </w:r>
          </w:p>
          <w:p w14:paraId="0967E654">
            <w:pPr>
              <w:pStyle w:val="38"/>
              <w:rPr>
                <w:rFonts w:hint="default" w:ascii="Times New Roman" w:hAnsi="Times New Roman" w:cs="Times New Roman"/>
                <w:color w:val="auto"/>
                <w:highlight w:val="none"/>
              </w:rPr>
            </w:pPr>
            <w:r>
              <w:rPr>
                <w:rFonts w:hint="default" w:ascii="Times New Roman" w:hAnsi="Times New Roman" w:cs="Times New Roman"/>
                <w:color w:val="auto"/>
                <w:highlight w:val="none"/>
              </w:rPr>
              <w:t>灌木层盖度30%，除了尼泊尔桤木</w:t>
            </w:r>
            <w:r>
              <w:rPr>
                <w:rFonts w:hint="default" w:ascii="Times New Roman" w:hAnsi="Times New Roman" w:cs="Times New Roman"/>
                <w:i/>
                <w:iCs/>
                <w:color w:val="auto"/>
                <w:highlight w:val="none"/>
              </w:rPr>
              <w:t>Alnus nepalensis</w:t>
            </w:r>
            <w:r>
              <w:rPr>
                <w:rFonts w:hint="default" w:ascii="Times New Roman" w:hAnsi="Times New Roman" w:cs="Times New Roman"/>
                <w:color w:val="auto"/>
                <w:highlight w:val="none"/>
              </w:rPr>
              <w:t>、云南松</w:t>
            </w:r>
            <w:r>
              <w:rPr>
                <w:rFonts w:hint="default" w:ascii="Times New Roman" w:hAnsi="Times New Roman" w:cs="Times New Roman"/>
                <w:i/>
                <w:iCs/>
                <w:color w:val="auto"/>
                <w:highlight w:val="none"/>
              </w:rPr>
              <w:t>Pinus</w:t>
            </w:r>
            <w:r>
              <w:rPr>
                <w:rFonts w:hint="default" w:ascii="Times New Roman" w:hAnsi="Times New Roman" w:cs="Times New Roman"/>
                <w:color w:val="auto"/>
                <w:highlight w:val="none"/>
              </w:rPr>
              <w:t xml:space="preserve"> </w:t>
            </w:r>
            <w:r>
              <w:rPr>
                <w:rFonts w:hint="default" w:ascii="Times New Roman" w:hAnsi="Times New Roman" w:cs="Times New Roman"/>
                <w:i/>
                <w:iCs/>
                <w:color w:val="auto"/>
                <w:highlight w:val="none"/>
              </w:rPr>
              <w:t>yunnanensis</w:t>
            </w:r>
            <w:r>
              <w:rPr>
                <w:rFonts w:hint="default" w:ascii="Times New Roman" w:hAnsi="Times New Roman" w:cs="Times New Roman"/>
                <w:color w:val="auto"/>
                <w:highlight w:val="none"/>
              </w:rPr>
              <w:t>、栓皮栎</w:t>
            </w:r>
            <w:r>
              <w:rPr>
                <w:rFonts w:hint="default" w:ascii="Times New Roman" w:hAnsi="Times New Roman" w:cs="Times New Roman"/>
                <w:i/>
                <w:iCs/>
                <w:color w:val="auto"/>
                <w:highlight w:val="none"/>
              </w:rPr>
              <w:t>Quercus variabilis</w:t>
            </w:r>
            <w:r>
              <w:rPr>
                <w:rFonts w:hint="default" w:ascii="Times New Roman" w:hAnsi="Times New Roman" w:cs="Times New Roman"/>
                <w:color w:val="auto"/>
                <w:highlight w:val="none"/>
              </w:rPr>
              <w:t>等乔木的幼树，还有火棘</w:t>
            </w:r>
            <w:r>
              <w:rPr>
                <w:rFonts w:hint="default" w:ascii="Times New Roman" w:hAnsi="Times New Roman" w:cs="Times New Roman"/>
                <w:i/>
                <w:iCs/>
                <w:color w:val="auto"/>
                <w:highlight w:val="none"/>
              </w:rPr>
              <w:t>Pyracantha fortuneana</w:t>
            </w:r>
            <w:r>
              <w:rPr>
                <w:rFonts w:hint="default" w:ascii="Times New Roman" w:hAnsi="Times New Roman" w:cs="Times New Roman"/>
                <w:color w:val="auto"/>
                <w:highlight w:val="none"/>
              </w:rPr>
              <w:t>、川梨</w:t>
            </w:r>
            <w:r>
              <w:rPr>
                <w:rFonts w:hint="default" w:ascii="Times New Roman" w:hAnsi="Times New Roman" w:cs="Times New Roman"/>
                <w:i/>
                <w:iCs/>
                <w:color w:val="auto"/>
                <w:highlight w:val="none"/>
              </w:rPr>
              <w:t>Pyrus pashia</w:t>
            </w:r>
            <w:r>
              <w:rPr>
                <w:rFonts w:hint="default" w:ascii="Times New Roman" w:hAnsi="Times New Roman" w:cs="Times New Roman"/>
                <w:color w:val="auto"/>
                <w:highlight w:val="none"/>
              </w:rPr>
              <w:t>、茅莓</w:t>
            </w:r>
            <w:r>
              <w:rPr>
                <w:rFonts w:hint="default" w:ascii="Times New Roman" w:hAnsi="Times New Roman" w:cs="Times New Roman"/>
                <w:i/>
                <w:iCs/>
                <w:color w:val="auto"/>
                <w:highlight w:val="none"/>
              </w:rPr>
              <w:t>Rubus parvifolius</w:t>
            </w:r>
            <w:r>
              <w:rPr>
                <w:rFonts w:hint="default" w:ascii="Times New Roman" w:hAnsi="Times New Roman" w:cs="Times New Roman"/>
                <w:color w:val="auto"/>
                <w:highlight w:val="none"/>
              </w:rPr>
              <w:t>、米饭花</w:t>
            </w:r>
            <w:r>
              <w:rPr>
                <w:rFonts w:hint="default" w:ascii="Times New Roman" w:hAnsi="Times New Roman" w:cs="Times New Roman"/>
                <w:i/>
                <w:iCs/>
                <w:color w:val="auto"/>
                <w:highlight w:val="none"/>
              </w:rPr>
              <w:t>Vaccinium sprengelii</w:t>
            </w:r>
            <w:r>
              <w:rPr>
                <w:rFonts w:hint="default" w:ascii="Times New Roman" w:hAnsi="Times New Roman" w:cs="Times New Roman"/>
                <w:color w:val="auto"/>
                <w:highlight w:val="none"/>
              </w:rPr>
              <w:t>、牛筋条</w:t>
            </w:r>
            <w:r>
              <w:rPr>
                <w:rFonts w:hint="default" w:ascii="Times New Roman" w:hAnsi="Times New Roman" w:cs="Times New Roman"/>
                <w:i/>
                <w:iCs/>
                <w:color w:val="auto"/>
                <w:highlight w:val="none"/>
              </w:rPr>
              <w:t>Dichotomanthes tristaniicarpa</w:t>
            </w:r>
            <w:r>
              <w:rPr>
                <w:rFonts w:hint="default" w:ascii="Times New Roman" w:hAnsi="Times New Roman" w:cs="Times New Roman"/>
                <w:color w:val="auto"/>
                <w:highlight w:val="none"/>
              </w:rPr>
              <w:t>、西南栒子</w:t>
            </w:r>
            <w:r>
              <w:rPr>
                <w:rFonts w:hint="default" w:ascii="Times New Roman" w:hAnsi="Times New Roman" w:cs="Times New Roman"/>
                <w:i/>
                <w:iCs/>
                <w:color w:val="auto"/>
                <w:highlight w:val="none"/>
              </w:rPr>
              <w:t>Cotoneaster franchetii</w:t>
            </w:r>
            <w:r>
              <w:rPr>
                <w:rFonts w:hint="default" w:ascii="Times New Roman" w:hAnsi="Times New Roman" w:cs="Times New Roman"/>
                <w:color w:val="auto"/>
                <w:highlight w:val="none"/>
              </w:rPr>
              <w:t>、扁核木</w:t>
            </w:r>
            <w:r>
              <w:rPr>
                <w:rFonts w:hint="default" w:ascii="Times New Roman" w:hAnsi="Times New Roman" w:cs="Times New Roman"/>
                <w:i/>
                <w:iCs/>
                <w:color w:val="auto"/>
                <w:highlight w:val="none"/>
              </w:rPr>
              <w:t>Prinsepia utilis</w:t>
            </w:r>
            <w:r>
              <w:rPr>
                <w:rFonts w:hint="default" w:ascii="Times New Roman" w:hAnsi="Times New Roman" w:cs="Times New Roman"/>
                <w:color w:val="auto"/>
                <w:highlight w:val="none"/>
              </w:rPr>
              <w:t>、薄叶鼠李</w:t>
            </w:r>
            <w:r>
              <w:rPr>
                <w:rFonts w:hint="default" w:ascii="Times New Roman" w:hAnsi="Times New Roman" w:cs="Times New Roman"/>
                <w:i/>
                <w:iCs/>
                <w:color w:val="auto"/>
                <w:highlight w:val="none"/>
              </w:rPr>
              <w:t>Rhamnus leptophylla</w:t>
            </w:r>
            <w:r>
              <w:rPr>
                <w:rFonts w:hint="default" w:ascii="Times New Roman" w:hAnsi="Times New Roman" w:cs="Times New Roman"/>
                <w:color w:val="auto"/>
                <w:highlight w:val="none"/>
              </w:rPr>
              <w:t>、乌鸦果</w:t>
            </w:r>
            <w:r>
              <w:rPr>
                <w:rFonts w:hint="default" w:ascii="Times New Roman" w:hAnsi="Times New Roman" w:cs="Times New Roman"/>
                <w:i/>
                <w:iCs/>
                <w:color w:val="auto"/>
                <w:highlight w:val="none"/>
              </w:rPr>
              <w:t>Vaccinium fragile</w:t>
            </w:r>
            <w:r>
              <w:rPr>
                <w:rFonts w:hint="default" w:ascii="Times New Roman" w:hAnsi="Times New Roman" w:cs="Times New Roman"/>
                <w:color w:val="auto"/>
                <w:highlight w:val="none"/>
              </w:rPr>
              <w:t>、野丁香</w:t>
            </w:r>
            <w:r>
              <w:rPr>
                <w:rFonts w:hint="default" w:ascii="Times New Roman" w:hAnsi="Times New Roman" w:cs="Times New Roman"/>
                <w:i/>
                <w:iCs/>
                <w:color w:val="auto"/>
                <w:highlight w:val="none"/>
              </w:rPr>
              <w:t>Leptodermis potaninii</w:t>
            </w:r>
            <w:r>
              <w:rPr>
                <w:rFonts w:hint="default" w:ascii="Times New Roman" w:hAnsi="Times New Roman" w:cs="Times New Roman"/>
                <w:color w:val="auto"/>
                <w:highlight w:val="none"/>
              </w:rPr>
              <w:t>等。</w:t>
            </w:r>
          </w:p>
          <w:p w14:paraId="71FBD97D">
            <w:pPr>
              <w:pStyle w:val="38"/>
              <w:rPr>
                <w:rFonts w:hint="default" w:ascii="Times New Roman" w:hAnsi="Times New Roman" w:cs="Times New Roman"/>
                <w:color w:val="auto"/>
                <w:highlight w:val="none"/>
              </w:rPr>
            </w:pPr>
            <w:r>
              <w:rPr>
                <w:rFonts w:hint="default" w:ascii="Times New Roman" w:hAnsi="Times New Roman" w:cs="Times New Roman"/>
                <w:color w:val="auto"/>
                <w:highlight w:val="none"/>
              </w:rPr>
              <w:t>草本层盖度达65%，常见紫茎泽兰</w:t>
            </w:r>
            <w:r>
              <w:rPr>
                <w:rFonts w:hint="default" w:ascii="Times New Roman" w:hAnsi="Times New Roman" w:cs="Times New Roman"/>
                <w:i/>
                <w:iCs/>
                <w:color w:val="auto"/>
                <w:highlight w:val="none"/>
              </w:rPr>
              <w:t>Ageratina adenophora</w:t>
            </w:r>
            <w:r>
              <w:rPr>
                <w:rFonts w:hint="default" w:ascii="Times New Roman" w:hAnsi="Times New Roman" w:cs="Times New Roman"/>
                <w:color w:val="auto"/>
                <w:highlight w:val="none"/>
              </w:rPr>
              <w:t>、毛轴蕨</w:t>
            </w:r>
            <w:r>
              <w:rPr>
                <w:rFonts w:hint="default" w:ascii="Times New Roman" w:hAnsi="Times New Roman" w:cs="Times New Roman"/>
                <w:i/>
                <w:iCs/>
                <w:color w:val="auto"/>
                <w:highlight w:val="none"/>
              </w:rPr>
              <w:t>Pteridium revolutum</w:t>
            </w:r>
            <w:r>
              <w:rPr>
                <w:rFonts w:hint="default" w:ascii="Times New Roman" w:hAnsi="Times New Roman" w:cs="Times New Roman"/>
                <w:color w:val="auto"/>
                <w:highlight w:val="none"/>
              </w:rPr>
              <w:t>、白茅</w:t>
            </w:r>
            <w:r>
              <w:rPr>
                <w:rFonts w:hint="default" w:ascii="Times New Roman" w:hAnsi="Times New Roman" w:cs="Times New Roman"/>
                <w:i/>
                <w:iCs/>
                <w:color w:val="auto"/>
                <w:highlight w:val="none"/>
              </w:rPr>
              <w:t>Imperata cylindrica</w:t>
            </w:r>
            <w:r>
              <w:rPr>
                <w:rFonts w:hint="default" w:ascii="Times New Roman" w:hAnsi="Times New Roman" w:cs="Times New Roman"/>
                <w:color w:val="auto"/>
                <w:highlight w:val="none"/>
              </w:rPr>
              <w:t>、野青茅</w:t>
            </w:r>
            <w:r>
              <w:rPr>
                <w:rFonts w:hint="default" w:ascii="Times New Roman" w:hAnsi="Times New Roman" w:cs="Times New Roman"/>
                <w:i/>
                <w:iCs/>
                <w:color w:val="auto"/>
                <w:highlight w:val="none"/>
              </w:rPr>
              <w:t>Deyeuxia pyramidalis</w:t>
            </w:r>
            <w:r>
              <w:rPr>
                <w:rFonts w:hint="default" w:ascii="Times New Roman" w:hAnsi="Times New Roman" w:cs="Times New Roman"/>
                <w:color w:val="auto"/>
                <w:highlight w:val="none"/>
              </w:rPr>
              <w:t>、西南牡蒿</w:t>
            </w:r>
            <w:r>
              <w:rPr>
                <w:rFonts w:hint="default" w:ascii="Times New Roman" w:hAnsi="Times New Roman" w:cs="Times New Roman"/>
                <w:i/>
                <w:iCs/>
                <w:color w:val="auto"/>
                <w:highlight w:val="none"/>
              </w:rPr>
              <w:t>Artemisia parviflora</w:t>
            </w:r>
            <w:r>
              <w:rPr>
                <w:rFonts w:hint="default" w:ascii="Times New Roman" w:hAnsi="Times New Roman" w:cs="Times New Roman"/>
                <w:color w:val="auto"/>
                <w:highlight w:val="none"/>
              </w:rPr>
              <w:t>、野拔子</w:t>
            </w:r>
            <w:r>
              <w:rPr>
                <w:rFonts w:hint="default" w:ascii="Times New Roman" w:hAnsi="Times New Roman" w:cs="Times New Roman"/>
                <w:i/>
                <w:iCs/>
                <w:color w:val="auto"/>
                <w:highlight w:val="none"/>
              </w:rPr>
              <w:t>Elsholtzia rugulosa</w:t>
            </w:r>
            <w:r>
              <w:rPr>
                <w:rFonts w:hint="default" w:ascii="Times New Roman" w:hAnsi="Times New Roman" w:cs="Times New Roman"/>
                <w:color w:val="auto"/>
                <w:highlight w:val="none"/>
              </w:rPr>
              <w:t>等，偶见灰叶堇菜</w:t>
            </w:r>
            <w:r>
              <w:rPr>
                <w:rFonts w:hint="default" w:ascii="Times New Roman" w:hAnsi="Times New Roman" w:cs="Times New Roman"/>
                <w:i/>
                <w:iCs/>
                <w:color w:val="auto"/>
                <w:highlight w:val="none"/>
              </w:rPr>
              <w:t>Viola delavayi</w:t>
            </w:r>
            <w:r>
              <w:rPr>
                <w:rFonts w:hint="default" w:ascii="Times New Roman" w:hAnsi="Times New Roman" w:cs="Times New Roman"/>
                <w:color w:val="auto"/>
                <w:highlight w:val="none"/>
              </w:rPr>
              <w:t>、繁缕</w:t>
            </w:r>
            <w:r>
              <w:rPr>
                <w:rFonts w:hint="default" w:ascii="Times New Roman" w:hAnsi="Times New Roman" w:cs="Times New Roman"/>
                <w:i/>
                <w:iCs/>
                <w:color w:val="auto"/>
                <w:highlight w:val="none"/>
              </w:rPr>
              <w:t>Stellaria media</w:t>
            </w:r>
            <w:r>
              <w:rPr>
                <w:rFonts w:hint="default" w:ascii="Times New Roman" w:hAnsi="Times New Roman" w:cs="Times New Roman"/>
                <w:color w:val="auto"/>
                <w:highlight w:val="none"/>
              </w:rPr>
              <w:t>、凤尾蕨</w:t>
            </w:r>
            <w:r>
              <w:rPr>
                <w:rFonts w:hint="default" w:ascii="Times New Roman" w:hAnsi="Times New Roman" w:cs="Times New Roman"/>
                <w:i/>
                <w:iCs/>
                <w:color w:val="auto"/>
                <w:highlight w:val="none"/>
              </w:rPr>
              <w:t xml:space="preserve">Pteris cretica </w:t>
            </w:r>
            <w:r>
              <w:rPr>
                <w:rFonts w:hint="default" w:ascii="Times New Roman" w:hAnsi="Times New Roman" w:cs="Times New Roman"/>
                <w:color w:val="auto"/>
                <w:highlight w:val="none"/>
              </w:rPr>
              <w:t xml:space="preserve">var. </w:t>
            </w:r>
            <w:r>
              <w:rPr>
                <w:rFonts w:hint="default" w:ascii="Times New Roman" w:hAnsi="Times New Roman" w:cs="Times New Roman"/>
                <w:i/>
                <w:iCs/>
                <w:color w:val="auto"/>
                <w:highlight w:val="none"/>
              </w:rPr>
              <w:t>nervosa</w:t>
            </w:r>
            <w:r>
              <w:rPr>
                <w:rFonts w:hint="default" w:ascii="Times New Roman" w:hAnsi="Times New Roman" w:cs="Times New Roman"/>
                <w:color w:val="auto"/>
                <w:highlight w:val="none"/>
              </w:rPr>
              <w:t>、羊齿天门冬</w:t>
            </w:r>
            <w:r>
              <w:rPr>
                <w:rFonts w:hint="default" w:ascii="Times New Roman" w:hAnsi="Times New Roman" w:cs="Times New Roman"/>
                <w:i/>
                <w:iCs/>
                <w:color w:val="auto"/>
                <w:highlight w:val="none"/>
              </w:rPr>
              <w:t>Asparagus filicinus</w:t>
            </w:r>
            <w:r>
              <w:rPr>
                <w:rFonts w:hint="default" w:ascii="Times New Roman" w:hAnsi="Times New Roman" w:cs="Times New Roman"/>
                <w:color w:val="auto"/>
                <w:highlight w:val="none"/>
              </w:rPr>
              <w:t>、过路黄</w:t>
            </w:r>
            <w:r>
              <w:rPr>
                <w:rFonts w:hint="default" w:ascii="Times New Roman" w:hAnsi="Times New Roman" w:cs="Times New Roman"/>
                <w:i/>
                <w:iCs/>
                <w:color w:val="auto"/>
                <w:highlight w:val="none"/>
              </w:rPr>
              <w:t>Lysimachia christinae</w:t>
            </w:r>
            <w:r>
              <w:rPr>
                <w:rFonts w:hint="default" w:ascii="Times New Roman" w:hAnsi="Times New Roman" w:cs="Times New Roman"/>
                <w:color w:val="auto"/>
                <w:highlight w:val="none"/>
              </w:rPr>
              <w:t>、黏冠草</w:t>
            </w:r>
            <w:r>
              <w:rPr>
                <w:rFonts w:hint="default" w:ascii="Times New Roman" w:hAnsi="Times New Roman" w:cs="Times New Roman"/>
                <w:i/>
                <w:iCs/>
                <w:color w:val="auto"/>
                <w:highlight w:val="none"/>
              </w:rPr>
              <w:t>Myriactis wightii</w:t>
            </w:r>
            <w:r>
              <w:rPr>
                <w:rFonts w:hint="default" w:ascii="Times New Roman" w:hAnsi="Times New Roman" w:cs="Times New Roman"/>
                <w:color w:val="auto"/>
                <w:highlight w:val="none"/>
              </w:rPr>
              <w:t>等。</w:t>
            </w:r>
          </w:p>
          <w:p w14:paraId="65D37A5B">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kern w:val="0"/>
                <w:highlight w:val="none"/>
                <w:lang w:val="en-US" w:eastAsia="zh-CN"/>
              </w:rPr>
              <w:t>B.</w:t>
            </w:r>
            <w:r>
              <w:rPr>
                <w:rFonts w:hint="default" w:ascii="Times New Roman" w:hAnsi="Times New Roman" w:cs="Times New Roman"/>
                <w:b/>
                <w:bCs/>
                <w:color w:val="auto"/>
                <w:kern w:val="0"/>
                <w:highlight w:val="none"/>
              </w:rPr>
              <w:t>暖温性针叶林</w:t>
            </w:r>
          </w:p>
          <w:p w14:paraId="7D09EF43">
            <w:pPr>
              <w:ind w:firstLine="480"/>
              <w:rPr>
                <w:rFonts w:hint="default" w:ascii="Times New Roman" w:hAnsi="Times New Roman" w:cs="Times New Roman"/>
                <w:snapToGrid w:val="0"/>
                <w:color w:val="auto"/>
                <w:kern w:val="0"/>
                <w:highlight w:val="none"/>
                <w:lang w:val="zh-CN"/>
              </w:rPr>
            </w:pPr>
            <w:r>
              <w:rPr>
                <w:rFonts w:hint="default" w:ascii="Times New Roman" w:hAnsi="Times New Roman" w:cs="Times New Roman"/>
                <w:color w:val="auto"/>
                <w:highlight w:val="none"/>
                <w:lang w:val="zh-CN"/>
              </w:rPr>
              <w:t>暖性针叶林是以用亚热带的针叶树种为优势的森林植被类型。在云南，主要包括思茅松林、云南松林、云南油杉林、华山松林等。</w:t>
            </w:r>
            <w:r>
              <w:rPr>
                <w:rFonts w:hint="default" w:ascii="Times New Roman" w:hAnsi="Times New Roman" w:cs="Times New Roman"/>
                <w:snapToGrid w:val="0"/>
                <w:color w:val="auto"/>
                <w:kern w:val="0"/>
                <w:highlight w:val="none"/>
              </w:rPr>
              <w:t>评价区该植被主要是以云南松为优势的暖温性针叶林，该植被也</w:t>
            </w:r>
            <w:r>
              <w:rPr>
                <w:rFonts w:hint="default" w:ascii="Times New Roman" w:hAnsi="Times New Roman" w:cs="Times New Roman"/>
                <w:snapToGrid w:val="0"/>
                <w:color w:val="auto"/>
                <w:kern w:val="0"/>
                <w:highlight w:val="none"/>
                <w:lang w:val="zh-CN"/>
              </w:rPr>
              <w:t>是云南目前植被类型中分布面积最广的一种类型。</w:t>
            </w:r>
          </w:p>
          <w:p w14:paraId="012CE75D">
            <w:pPr>
              <w:ind w:firstLine="480"/>
              <w:rPr>
                <w:rFonts w:hint="default" w:ascii="Times New Roman" w:hAnsi="Times New Roman" w:cs="Times New Roman"/>
                <w:snapToGrid w:val="0"/>
                <w:color w:val="auto"/>
                <w:kern w:val="0"/>
                <w:highlight w:val="none"/>
              </w:rPr>
            </w:pPr>
            <w:r>
              <w:rPr>
                <w:rFonts w:hint="default" w:ascii="Times New Roman" w:hAnsi="Times New Roman" w:cs="Times New Roman"/>
                <w:snapToGrid w:val="0"/>
                <w:color w:val="auto"/>
                <w:kern w:val="0"/>
                <w:highlight w:val="none"/>
                <w:lang w:val="zh-CN"/>
              </w:rPr>
              <w:t>暖温性针叶林主要分布于云南亚热带北部地区，以滇中高原山地为主，海拔范围1500~28</w:t>
            </w:r>
            <w:r>
              <w:rPr>
                <w:rFonts w:hint="default" w:ascii="Times New Roman" w:hAnsi="Times New Roman" w:cs="Times New Roman"/>
                <w:snapToGrid w:val="0"/>
                <w:color w:val="auto"/>
                <w:kern w:val="0"/>
                <w:highlight w:val="none"/>
              </w:rPr>
              <w:t>00</w:t>
            </w:r>
            <w:r>
              <w:rPr>
                <w:rFonts w:hint="default" w:ascii="Times New Roman" w:hAnsi="Times New Roman" w:cs="Times New Roman"/>
                <w:snapToGrid w:val="0"/>
                <w:color w:val="auto"/>
                <w:kern w:val="0"/>
                <w:highlight w:val="none"/>
                <w:lang w:val="zh-CN"/>
              </w:rPr>
              <w:t>m，干热河谷附近，如红河河谷、南盘江河谷和金沙江河谷，甚至下降到海拔1000m。云南的暖温性针叶林主要有云南松林和云南油杉林。</w:t>
            </w:r>
            <w:r>
              <w:rPr>
                <w:rFonts w:hint="default" w:ascii="Times New Roman" w:hAnsi="Times New Roman" w:cs="Times New Roman"/>
                <w:color w:val="auto"/>
                <w:highlight w:val="none"/>
                <w:lang w:val="zh-CN"/>
              </w:rPr>
              <w:t>评价区的暖性针叶林只有以云南松为优势的类型</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zh-CN"/>
              </w:rPr>
              <w:t>即</w:t>
            </w:r>
            <w:r>
              <w:rPr>
                <w:rFonts w:hint="default" w:ascii="Times New Roman" w:hAnsi="Times New Roman" w:cs="Times New Roman"/>
                <w:snapToGrid w:val="0"/>
                <w:color w:val="auto"/>
                <w:kern w:val="0"/>
                <w:highlight w:val="none"/>
                <w:lang w:val="zh-CN"/>
              </w:rPr>
              <w:t>云南松</w:t>
            </w:r>
            <w:r>
              <w:rPr>
                <w:rFonts w:hint="default" w:ascii="Times New Roman" w:hAnsi="Times New Roman" w:cs="Times New Roman"/>
                <w:snapToGrid w:val="0"/>
                <w:color w:val="auto"/>
                <w:kern w:val="0"/>
                <w:highlight w:val="none"/>
              </w:rPr>
              <w:t>林。</w:t>
            </w:r>
          </w:p>
          <w:p w14:paraId="557F5801">
            <w:pPr>
              <w:pStyle w:val="38"/>
              <w:ind w:firstLine="476"/>
              <w:rPr>
                <w:rFonts w:hint="default" w:ascii="Times New Roman" w:hAnsi="Times New Roman" w:eastAsia="宋体" w:cs="Times New Roman"/>
                <w:b/>
                <w:bCs/>
                <w:color w:val="auto"/>
                <w:spacing w:val="-1"/>
                <w:highlight w:val="none"/>
                <w:lang w:val="en-US" w:eastAsia="zh-CN"/>
              </w:rPr>
            </w:pPr>
            <w:r>
              <w:rPr>
                <w:rFonts w:hint="default" w:ascii="Times New Roman" w:hAnsi="Times New Roman" w:cs="Times New Roman"/>
                <w:b/>
                <w:bCs/>
                <w:color w:val="auto"/>
                <w:spacing w:val="-1"/>
                <w:highlight w:val="none"/>
                <w:lang w:val="en-US" w:eastAsia="zh-CN"/>
              </w:rPr>
              <w:t>云南松林</w:t>
            </w:r>
          </w:p>
          <w:p w14:paraId="51610D6E">
            <w:pPr>
              <w:pStyle w:val="38"/>
              <w:ind w:firstLine="476"/>
              <w:rPr>
                <w:rFonts w:hint="default" w:ascii="Times New Roman" w:hAnsi="Times New Roman" w:cs="Times New Roman"/>
                <w:color w:val="auto"/>
                <w:highlight w:val="none"/>
              </w:rPr>
            </w:pPr>
            <w:r>
              <w:rPr>
                <w:rFonts w:hint="default" w:ascii="Times New Roman" w:hAnsi="Times New Roman" w:cs="Times New Roman"/>
                <w:color w:val="auto"/>
                <w:spacing w:val="-1"/>
                <w:highlight w:val="none"/>
              </w:rPr>
              <w:t>属评价区分布最广的群落类型，</w:t>
            </w:r>
            <w:r>
              <w:rPr>
                <w:rFonts w:hint="default" w:ascii="Times New Roman" w:hAnsi="Times New Roman" w:cs="Times New Roman"/>
                <w:color w:val="auto"/>
                <w:highlight w:val="none"/>
              </w:rPr>
              <w:t>群落受到干扰的痕迹明显。乔木层盖度65%，常以云南松</w:t>
            </w:r>
            <w:r>
              <w:rPr>
                <w:rFonts w:hint="default" w:ascii="Times New Roman" w:hAnsi="Times New Roman" w:cs="Times New Roman"/>
                <w:i/>
                <w:iCs/>
                <w:color w:val="auto"/>
                <w:highlight w:val="none"/>
              </w:rPr>
              <w:t>Pinus yunnanensis</w:t>
            </w:r>
            <w:r>
              <w:rPr>
                <w:rFonts w:hint="default" w:ascii="Times New Roman" w:hAnsi="Times New Roman" w:cs="Times New Roman"/>
                <w:color w:val="auto"/>
                <w:highlight w:val="none"/>
              </w:rPr>
              <w:t>为单优势种，偶有尼泊尔桤木</w:t>
            </w:r>
            <w:r>
              <w:rPr>
                <w:rFonts w:hint="default" w:ascii="Times New Roman" w:hAnsi="Times New Roman" w:cs="Times New Roman"/>
                <w:i/>
                <w:iCs/>
                <w:color w:val="auto"/>
                <w:highlight w:val="none"/>
              </w:rPr>
              <w:t>Alnus nepalensis</w:t>
            </w:r>
            <w:r>
              <w:rPr>
                <w:rFonts w:hint="default" w:ascii="Times New Roman" w:hAnsi="Times New Roman" w:cs="Times New Roman"/>
                <w:color w:val="auto"/>
                <w:highlight w:val="none"/>
              </w:rPr>
              <w:t>、干香柏</w:t>
            </w:r>
            <w:r>
              <w:rPr>
                <w:rFonts w:hint="default" w:ascii="Times New Roman" w:hAnsi="Times New Roman" w:cs="Times New Roman"/>
                <w:i/>
                <w:iCs/>
                <w:color w:val="auto"/>
                <w:highlight w:val="none"/>
              </w:rPr>
              <w:t>Cupressus duclouxiana</w:t>
            </w:r>
            <w:r>
              <w:rPr>
                <w:rFonts w:hint="default" w:ascii="Times New Roman" w:hAnsi="Times New Roman" w:cs="Times New Roman"/>
                <w:color w:val="auto"/>
                <w:highlight w:val="none"/>
              </w:rPr>
              <w:t>等伴生。</w:t>
            </w:r>
          </w:p>
          <w:p w14:paraId="134D112A">
            <w:pPr>
              <w:pStyle w:val="38"/>
              <w:rPr>
                <w:rFonts w:hint="default" w:ascii="Times New Roman" w:hAnsi="Times New Roman" w:cs="Times New Roman"/>
                <w:color w:val="auto"/>
                <w:highlight w:val="none"/>
              </w:rPr>
            </w:pPr>
            <w:r>
              <w:rPr>
                <w:rFonts w:hint="default" w:ascii="Times New Roman" w:hAnsi="Times New Roman" w:cs="Times New Roman"/>
                <w:color w:val="auto"/>
                <w:highlight w:val="none"/>
              </w:rPr>
              <w:t>灌木层盖度30%，西南栒子</w:t>
            </w:r>
            <w:r>
              <w:rPr>
                <w:rFonts w:hint="default" w:ascii="Times New Roman" w:hAnsi="Times New Roman" w:cs="Times New Roman"/>
                <w:i/>
                <w:iCs/>
                <w:color w:val="auto"/>
                <w:highlight w:val="none"/>
              </w:rPr>
              <w:t>Cotoneaster franchetii</w:t>
            </w:r>
            <w:r>
              <w:rPr>
                <w:rFonts w:hint="default" w:ascii="Times New Roman" w:hAnsi="Times New Roman" w:cs="Times New Roman"/>
                <w:color w:val="auto"/>
                <w:highlight w:val="none"/>
              </w:rPr>
              <w:t>、臭荚蒾</w:t>
            </w:r>
            <w:r>
              <w:rPr>
                <w:rFonts w:hint="default" w:ascii="Times New Roman" w:hAnsi="Times New Roman" w:cs="Times New Roman"/>
                <w:i/>
                <w:iCs/>
                <w:color w:val="auto"/>
                <w:highlight w:val="none"/>
              </w:rPr>
              <w:t>Viburnum foetidum</w:t>
            </w:r>
            <w:r>
              <w:rPr>
                <w:rFonts w:hint="default" w:ascii="Times New Roman" w:hAnsi="Times New Roman" w:cs="Times New Roman"/>
                <w:color w:val="auto"/>
                <w:highlight w:val="none"/>
              </w:rPr>
              <w:t>、乌鸦果</w:t>
            </w:r>
            <w:r>
              <w:rPr>
                <w:rFonts w:hint="default" w:ascii="Times New Roman" w:hAnsi="Times New Roman" w:cs="Times New Roman"/>
                <w:i/>
                <w:iCs/>
                <w:color w:val="auto"/>
                <w:highlight w:val="none"/>
              </w:rPr>
              <w:t>Vaccinium fragile</w:t>
            </w:r>
            <w:r>
              <w:rPr>
                <w:rFonts w:hint="default" w:ascii="Times New Roman" w:hAnsi="Times New Roman" w:cs="Times New Roman"/>
                <w:color w:val="auto"/>
                <w:highlight w:val="none"/>
              </w:rPr>
              <w:t>、尖萼金丝桃</w:t>
            </w:r>
            <w:r>
              <w:rPr>
                <w:rFonts w:hint="default" w:ascii="Times New Roman" w:hAnsi="Times New Roman" w:cs="Times New Roman"/>
                <w:i/>
                <w:iCs/>
                <w:color w:val="auto"/>
                <w:highlight w:val="none"/>
              </w:rPr>
              <w:t>Hypericum acmosepalum</w:t>
            </w:r>
            <w:r>
              <w:rPr>
                <w:rFonts w:hint="default" w:ascii="Times New Roman" w:hAnsi="Times New Roman" w:cs="Times New Roman"/>
                <w:color w:val="auto"/>
                <w:highlight w:val="none"/>
              </w:rPr>
              <w:t>、野拔子</w:t>
            </w:r>
            <w:r>
              <w:rPr>
                <w:rFonts w:hint="default" w:ascii="Times New Roman" w:hAnsi="Times New Roman" w:cs="Times New Roman"/>
                <w:i/>
                <w:iCs/>
                <w:color w:val="auto"/>
                <w:highlight w:val="none"/>
              </w:rPr>
              <w:t>Elsholtzia rugulosa</w:t>
            </w:r>
            <w:r>
              <w:rPr>
                <w:rFonts w:hint="default" w:ascii="Times New Roman" w:hAnsi="Times New Roman" w:cs="Times New Roman"/>
                <w:color w:val="auto"/>
                <w:highlight w:val="none"/>
              </w:rPr>
              <w:t>等。</w:t>
            </w:r>
          </w:p>
          <w:p w14:paraId="0E982C1D">
            <w:pPr>
              <w:pStyle w:val="38"/>
              <w:rPr>
                <w:rFonts w:hint="default" w:ascii="Times New Roman" w:hAnsi="Times New Roman" w:cs="Times New Roman"/>
                <w:color w:val="auto"/>
                <w:highlight w:val="none"/>
              </w:rPr>
            </w:pPr>
            <w:r>
              <w:rPr>
                <w:rFonts w:hint="default" w:ascii="Times New Roman" w:hAnsi="Times New Roman" w:cs="Times New Roman"/>
                <w:color w:val="auto"/>
                <w:highlight w:val="none"/>
              </w:rPr>
              <w:t>草本层盖度60%，常见金茅</w:t>
            </w:r>
            <w:r>
              <w:rPr>
                <w:rFonts w:hint="default" w:ascii="Times New Roman" w:hAnsi="Times New Roman" w:cs="Times New Roman"/>
                <w:i/>
                <w:iCs/>
                <w:color w:val="auto"/>
                <w:highlight w:val="none"/>
              </w:rPr>
              <w:t>Eulalia speciosa</w:t>
            </w:r>
            <w:r>
              <w:rPr>
                <w:rFonts w:hint="default" w:ascii="Times New Roman" w:hAnsi="Times New Roman" w:cs="Times New Roman"/>
                <w:color w:val="auto"/>
                <w:highlight w:val="none"/>
              </w:rPr>
              <w:t>、毛轴蕨</w:t>
            </w:r>
            <w:r>
              <w:rPr>
                <w:rFonts w:hint="default" w:ascii="Times New Roman" w:hAnsi="Times New Roman" w:cs="Times New Roman"/>
                <w:i/>
                <w:iCs/>
                <w:color w:val="auto"/>
                <w:highlight w:val="none"/>
              </w:rPr>
              <w:t>Pteridium revolutum</w:t>
            </w:r>
            <w:r>
              <w:rPr>
                <w:rFonts w:hint="default" w:ascii="Times New Roman" w:hAnsi="Times New Roman" w:cs="Times New Roman"/>
                <w:color w:val="auto"/>
                <w:highlight w:val="none"/>
              </w:rPr>
              <w:t>、白苞蒿</w:t>
            </w:r>
            <w:r>
              <w:rPr>
                <w:rFonts w:hint="default" w:ascii="Times New Roman" w:hAnsi="Times New Roman" w:cs="Times New Roman"/>
                <w:i/>
                <w:iCs/>
                <w:color w:val="auto"/>
                <w:highlight w:val="none"/>
              </w:rPr>
              <w:t>Artemisia lactiflora</w:t>
            </w:r>
            <w:r>
              <w:rPr>
                <w:rFonts w:hint="default" w:ascii="Times New Roman" w:hAnsi="Times New Roman" w:cs="Times New Roman"/>
                <w:color w:val="auto"/>
                <w:highlight w:val="none"/>
              </w:rPr>
              <w:t>、白茅</w:t>
            </w:r>
            <w:r>
              <w:rPr>
                <w:rFonts w:hint="default" w:ascii="Times New Roman" w:hAnsi="Times New Roman" w:cs="Times New Roman"/>
                <w:i/>
                <w:iCs/>
                <w:color w:val="auto"/>
                <w:highlight w:val="none"/>
              </w:rPr>
              <w:t>Imperata cylindrica</w:t>
            </w:r>
            <w:r>
              <w:rPr>
                <w:rFonts w:hint="default" w:ascii="Times New Roman" w:hAnsi="Times New Roman" w:cs="Times New Roman"/>
                <w:color w:val="auto"/>
                <w:highlight w:val="none"/>
              </w:rPr>
              <w:t>等，伴生有草玉梅</w:t>
            </w:r>
            <w:r>
              <w:rPr>
                <w:rFonts w:hint="default" w:ascii="Times New Roman" w:hAnsi="Times New Roman" w:cs="Times New Roman"/>
                <w:i/>
                <w:iCs/>
                <w:color w:val="auto"/>
                <w:highlight w:val="none"/>
              </w:rPr>
              <w:t>Anemone rivularis</w:t>
            </w:r>
            <w:r>
              <w:rPr>
                <w:rFonts w:hint="default" w:ascii="Times New Roman" w:hAnsi="Times New Roman" w:cs="Times New Roman"/>
                <w:color w:val="auto"/>
                <w:highlight w:val="none"/>
              </w:rPr>
              <w:t>、小金梅草</w:t>
            </w:r>
            <w:r>
              <w:rPr>
                <w:rFonts w:hint="default" w:ascii="Times New Roman" w:hAnsi="Times New Roman" w:cs="Times New Roman"/>
                <w:i/>
                <w:iCs/>
                <w:color w:val="auto"/>
                <w:highlight w:val="none"/>
              </w:rPr>
              <w:t>Hypoxis aurea</w:t>
            </w:r>
            <w:r>
              <w:rPr>
                <w:rFonts w:hint="default" w:ascii="Times New Roman" w:hAnsi="Times New Roman" w:cs="Times New Roman"/>
                <w:color w:val="auto"/>
                <w:highlight w:val="none"/>
              </w:rPr>
              <w:t>、金毛铁线莲</w:t>
            </w:r>
            <w:r>
              <w:rPr>
                <w:rFonts w:hint="default" w:ascii="Times New Roman" w:hAnsi="Times New Roman" w:cs="Times New Roman"/>
                <w:i/>
                <w:iCs/>
                <w:color w:val="auto"/>
                <w:highlight w:val="none"/>
              </w:rPr>
              <w:t>Clematis chrysocoma</w:t>
            </w:r>
            <w:r>
              <w:rPr>
                <w:rFonts w:hint="default" w:ascii="Times New Roman" w:hAnsi="Times New Roman" w:cs="Times New Roman"/>
                <w:color w:val="auto"/>
                <w:highlight w:val="none"/>
              </w:rPr>
              <w:t>、山酢浆草</w:t>
            </w:r>
            <w:r>
              <w:rPr>
                <w:rFonts w:hint="default" w:ascii="Times New Roman" w:hAnsi="Times New Roman" w:cs="Times New Roman"/>
                <w:i/>
                <w:iCs/>
                <w:color w:val="auto"/>
                <w:highlight w:val="none"/>
              </w:rPr>
              <w:t>Oxalis griffithii</w:t>
            </w:r>
            <w:r>
              <w:rPr>
                <w:rFonts w:hint="default" w:ascii="Times New Roman" w:hAnsi="Times New Roman" w:cs="Times New Roman"/>
                <w:color w:val="auto"/>
                <w:highlight w:val="none"/>
              </w:rPr>
              <w:t>、龙牙草</w:t>
            </w:r>
            <w:r>
              <w:rPr>
                <w:rFonts w:hint="default" w:ascii="Times New Roman" w:hAnsi="Times New Roman" w:cs="Times New Roman"/>
                <w:i/>
                <w:iCs/>
                <w:color w:val="auto"/>
                <w:highlight w:val="none"/>
              </w:rPr>
              <w:t>Agrimonia pilosa</w:t>
            </w:r>
            <w:r>
              <w:rPr>
                <w:rFonts w:hint="default" w:ascii="Times New Roman" w:hAnsi="Times New Roman" w:cs="Times New Roman"/>
                <w:color w:val="auto"/>
                <w:highlight w:val="none"/>
              </w:rPr>
              <w:t>、还阳参</w:t>
            </w:r>
            <w:r>
              <w:rPr>
                <w:rFonts w:hint="default" w:ascii="Times New Roman" w:hAnsi="Times New Roman" w:cs="Times New Roman"/>
                <w:i/>
                <w:iCs/>
                <w:color w:val="auto"/>
                <w:highlight w:val="none"/>
              </w:rPr>
              <w:t>Crepis rigescens</w:t>
            </w:r>
            <w:r>
              <w:rPr>
                <w:rFonts w:hint="default" w:ascii="Times New Roman" w:hAnsi="Times New Roman" w:cs="Times New Roman"/>
                <w:color w:val="auto"/>
                <w:highlight w:val="none"/>
              </w:rPr>
              <w:t>等。</w:t>
            </w:r>
          </w:p>
          <w:p w14:paraId="7EE0FC52">
            <w:pPr>
              <w:pStyle w:val="38"/>
              <w:rPr>
                <w:rFonts w:hint="default" w:ascii="Times New Roman" w:hAnsi="Times New Roman" w:cs="Times New Roman"/>
                <w:color w:val="auto"/>
                <w:highlight w:val="none"/>
              </w:rPr>
            </w:pPr>
            <w:r>
              <w:rPr>
                <w:rFonts w:hint="default" w:ascii="Times New Roman" w:hAnsi="Times New Roman" w:cs="Times New Roman"/>
                <w:color w:val="auto"/>
                <w:highlight w:val="none"/>
              </w:rPr>
              <w:t>林下极少有藤本植物，偶有金毛铁线莲</w:t>
            </w:r>
            <w:r>
              <w:rPr>
                <w:rFonts w:hint="default" w:ascii="Times New Roman" w:hAnsi="Times New Roman" w:cs="Times New Roman"/>
                <w:i/>
                <w:iCs/>
                <w:color w:val="auto"/>
                <w:highlight w:val="none"/>
              </w:rPr>
              <w:t>Clematis chrysocoma</w:t>
            </w:r>
            <w:r>
              <w:rPr>
                <w:rFonts w:hint="default" w:ascii="Times New Roman" w:hAnsi="Times New Roman" w:cs="Times New Roman"/>
                <w:color w:val="auto"/>
                <w:highlight w:val="none"/>
              </w:rPr>
              <w:t>蔓生。</w:t>
            </w:r>
          </w:p>
          <w:p w14:paraId="183CC0F0">
            <w:pPr>
              <w:ind w:firstLine="472" w:firstLineChars="196"/>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C.</w:t>
            </w:r>
            <w:r>
              <w:rPr>
                <w:rFonts w:hint="default" w:ascii="Times New Roman" w:hAnsi="Times New Roman" w:cs="Times New Roman"/>
                <w:b/>
                <w:bCs/>
                <w:color w:val="auto"/>
                <w:highlight w:val="none"/>
              </w:rPr>
              <w:t>暖温性稀树灌木草丛</w:t>
            </w:r>
          </w:p>
          <w:p w14:paraId="6DC2876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稀树灌木草丛是一类分布较为广泛的植被类型。目前所见较大面积的稀树灌木草丛，都是在原有森林长期不断地受到砍伐或火烧下所形成的一类次生植被。群落以草丛为主，其间散生灌木和乔木。灌木一般低矮，有时高度不及草丛。散生的乔木一般生长不良，不规则地在成片草丛上散布着。稀树灌木草丛所具有的明显的次生性质，首先表现在群落结构并不稳定，乔木、灌木和草丛三者的比例常随地而异。甚至于有灌木而无乔木，或有乔木而少见灌木，或局部地区乔灌木均无而为一片草丛等等。所有的草本、灌木、乔木都为喜阳耐旱的种类，而且在耐土壤贫瘠、耐放牧、耐践踏、耐火烧、萌发力强等等方面，都有相似之处。</w:t>
            </w:r>
          </w:p>
          <w:p w14:paraId="5AD29BC4">
            <w:pPr>
              <w:pStyle w:val="38"/>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w:t>
            </w:r>
            <w:r>
              <w:rPr>
                <w:rFonts w:hint="default" w:ascii="Times New Roman" w:hAnsi="Times New Roman" w:cs="Times New Roman"/>
                <w:color w:val="auto"/>
                <w:highlight w:val="none"/>
                <w:lang w:val="en-US" w:eastAsia="zh-CN"/>
              </w:rPr>
              <w:t>分布</w:t>
            </w:r>
            <w:r>
              <w:rPr>
                <w:rFonts w:hint="default" w:ascii="Times New Roman" w:hAnsi="Times New Roman" w:cs="Times New Roman"/>
                <w:color w:val="auto"/>
                <w:highlight w:val="none"/>
              </w:rPr>
              <w:t>的暖温性稀树灌木草丛为含云南松、毛轴蕨的中草草丛</w:t>
            </w:r>
            <w:r>
              <w:rPr>
                <w:rFonts w:hint="default" w:ascii="Times New Roman" w:hAnsi="Times New Roman" w:cs="Times New Roman"/>
                <w:color w:val="auto"/>
                <w:highlight w:val="none"/>
                <w:lang w:val="en-US" w:eastAsia="zh-CN"/>
              </w:rPr>
              <w:t>1个群系类型</w:t>
            </w:r>
            <w:r>
              <w:rPr>
                <w:rFonts w:hint="default" w:ascii="Times New Roman" w:hAnsi="Times New Roman" w:cs="Times New Roman"/>
                <w:color w:val="auto"/>
                <w:highlight w:val="none"/>
              </w:rPr>
              <w:t>。</w:t>
            </w:r>
          </w:p>
          <w:p w14:paraId="5CAEA483">
            <w:pPr>
              <w:pStyle w:val="38"/>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含云南松、毛轴蕨的中草草丛</w:t>
            </w:r>
          </w:p>
          <w:p w14:paraId="32EA2E86">
            <w:pPr>
              <w:pStyle w:val="38"/>
              <w:rPr>
                <w:rFonts w:hint="default" w:ascii="Times New Roman" w:hAnsi="Times New Roman" w:cs="Times New Roman"/>
                <w:color w:val="auto"/>
                <w:highlight w:val="none"/>
              </w:rPr>
            </w:pPr>
            <w:r>
              <w:rPr>
                <w:rFonts w:hint="default" w:ascii="Times New Roman" w:hAnsi="Times New Roman" w:cs="Times New Roman"/>
                <w:color w:val="auto"/>
                <w:highlight w:val="none"/>
              </w:rPr>
              <w:t>乔木层仅云南松</w:t>
            </w:r>
            <w:r>
              <w:rPr>
                <w:rFonts w:hint="default" w:ascii="Times New Roman" w:hAnsi="Times New Roman" w:cs="Times New Roman"/>
                <w:i/>
                <w:iCs/>
                <w:color w:val="auto"/>
                <w:highlight w:val="none"/>
              </w:rPr>
              <w:t>Pinus yunnanensis</w:t>
            </w:r>
            <w:r>
              <w:rPr>
                <w:rFonts w:hint="default" w:ascii="Times New Roman" w:hAnsi="Times New Roman" w:cs="Times New Roman"/>
                <w:color w:val="auto"/>
                <w:highlight w:val="none"/>
              </w:rPr>
              <w:t>稀疏零星分布，盖度在10%。</w:t>
            </w:r>
          </w:p>
          <w:p w14:paraId="5D07AAF6">
            <w:pPr>
              <w:pStyle w:val="38"/>
              <w:rPr>
                <w:rFonts w:hint="default" w:ascii="Times New Roman" w:hAnsi="Times New Roman" w:cs="Times New Roman"/>
                <w:color w:val="auto"/>
                <w:highlight w:val="none"/>
              </w:rPr>
            </w:pPr>
            <w:r>
              <w:rPr>
                <w:rFonts w:hint="default" w:ascii="Times New Roman" w:hAnsi="Times New Roman" w:cs="Times New Roman"/>
                <w:color w:val="auto"/>
                <w:highlight w:val="none"/>
              </w:rPr>
              <w:t>灌木层盖度在20%，林下有云南松</w:t>
            </w:r>
            <w:r>
              <w:rPr>
                <w:rFonts w:hint="default" w:ascii="Times New Roman" w:hAnsi="Times New Roman" w:cs="Times New Roman"/>
                <w:i/>
                <w:iCs/>
                <w:color w:val="auto"/>
                <w:highlight w:val="none"/>
              </w:rPr>
              <w:t>Pinus yunnanensis</w:t>
            </w:r>
            <w:r>
              <w:rPr>
                <w:rFonts w:hint="default" w:ascii="Times New Roman" w:hAnsi="Times New Roman" w:cs="Times New Roman"/>
                <w:color w:val="auto"/>
                <w:highlight w:val="none"/>
              </w:rPr>
              <w:t>和干香柏</w:t>
            </w:r>
            <w:r>
              <w:rPr>
                <w:rFonts w:hint="default" w:ascii="Times New Roman" w:hAnsi="Times New Roman" w:cs="Times New Roman"/>
                <w:i/>
                <w:iCs/>
                <w:color w:val="auto"/>
                <w:highlight w:val="none"/>
              </w:rPr>
              <w:t>Cupressus duclouxiana</w:t>
            </w:r>
            <w:r>
              <w:rPr>
                <w:rFonts w:hint="default" w:ascii="Times New Roman" w:hAnsi="Times New Roman" w:cs="Times New Roman"/>
                <w:color w:val="auto"/>
                <w:highlight w:val="none"/>
              </w:rPr>
              <w:t>的幼树，并伴生有西南栒子</w:t>
            </w:r>
            <w:r>
              <w:rPr>
                <w:rFonts w:hint="default" w:ascii="Times New Roman" w:hAnsi="Times New Roman" w:cs="Times New Roman"/>
                <w:i/>
                <w:iCs/>
                <w:color w:val="auto"/>
                <w:highlight w:val="none"/>
              </w:rPr>
              <w:t>Cotoneaster franchetii</w:t>
            </w:r>
            <w:r>
              <w:rPr>
                <w:rFonts w:hint="default" w:ascii="Times New Roman" w:hAnsi="Times New Roman" w:cs="Times New Roman"/>
                <w:color w:val="auto"/>
                <w:highlight w:val="none"/>
              </w:rPr>
              <w:t>、野拔子</w:t>
            </w:r>
            <w:r>
              <w:rPr>
                <w:rFonts w:hint="default" w:ascii="Times New Roman" w:hAnsi="Times New Roman" w:cs="Times New Roman"/>
                <w:i/>
                <w:iCs/>
                <w:color w:val="auto"/>
                <w:highlight w:val="none"/>
              </w:rPr>
              <w:t>Elsholtzia rugulosa</w:t>
            </w:r>
            <w:r>
              <w:rPr>
                <w:rFonts w:hint="default" w:ascii="Times New Roman" w:hAnsi="Times New Roman" w:cs="Times New Roman"/>
                <w:color w:val="auto"/>
                <w:highlight w:val="none"/>
              </w:rPr>
              <w:t>、尖萼金丝桃</w:t>
            </w:r>
            <w:r>
              <w:rPr>
                <w:rFonts w:hint="default" w:ascii="Times New Roman" w:hAnsi="Times New Roman" w:cs="Times New Roman"/>
                <w:i/>
                <w:iCs/>
                <w:color w:val="auto"/>
                <w:highlight w:val="none"/>
              </w:rPr>
              <w:t>Hypericum acmosepalum</w:t>
            </w:r>
            <w:r>
              <w:rPr>
                <w:rFonts w:hint="default" w:ascii="Times New Roman" w:hAnsi="Times New Roman" w:cs="Times New Roman"/>
                <w:color w:val="auto"/>
                <w:highlight w:val="none"/>
              </w:rPr>
              <w:t>、地果</w:t>
            </w:r>
            <w:r>
              <w:rPr>
                <w:rFonts w:hint="default" w:ascii="Times New Roman" w:hAnsi="Times New Roman" w:cs="Times New Roman"/>
                <w:i/>
                <w:iCs/>
                <w:color w:val="auto"/>
                <w:highlight w:val="none"/>
              </w:rPr>
              <w:t>Ficus tikoua</w:t>
            </w:r>
            <w:r>
              <w:rPr>
                <w:rFonts w:hint="default" w:ascii="Times New Roman" w:hAnsi="Times New Roman" w:cs="Times New Roman"/>
                <w:color w:val="auto"/>
                <w:highlight w:val="none"/>
              </w:rPr>
              <w:t>等。</w:t>
            </w:r>
          </w:p>
          <w:p w14:paraId="0A3688D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草本层盖度50%，主要以苞子草</w:t>
            </w:r>
            <w:r>
              <w:rPr>
                <w:rFonts w:hint="default" w:ascii="Times New Roman" w:hAnsi="Times New Roman" w:cs="Times New Roman"/>
                <w:i/>
                <w:iCs/>
                <w:color w:val="auto"/>
                <w:highlight w:val="none"/>
              </w:rPr>
              <w:t>Themeda caudata</w:t>
            </w:r>
            <w:r>
              <w:rPr>
                <w:rFonts w:hint="default" w:ascii="Times New Roman" w:hAnsi="Times New Roman" w:cs="Times New Roman"/>
                <w:color w:val="auto"/>
                <w:highlight w:val="none"/>
              </w:rPr>
              <w:t>、白茅</w:t>
            </w:r>
            <w:r>
              <w:rPr>
                <w:rFonts w:hint="default" w:ascii="Times New Roman" w:hAnsi="Times New Roman" w:cs="Times New Roman"/>
                <w:i/>
                <w:iCs/>
                <w:color w:val="auto"/>
                <w:highlight w:val="none"/>
              </w:rPr>
              <w:t>Imperata cylindrica</w:t>
            </w:r>
            <w:r>
              <w:rPr>
                <w:rFonts w:hint="default" w:ascii="Times New Roman" w:hAnsi="Times New Roman" w:cs="Times New Roman"/>
                <w:color w:val="auto"/>
                <w:highlight w:val="none"/>
              </w:rPr>
              <w:t>、毛轴蕨</w:t>
            </w:r>
            <w:r>
              <w:rPr>
                <w:rFonts w:hint="default" w:ascii="Times New Roman" w:hAnsi="Times New Roman" w:cs="Times New Roman"/>
                <w:i/>
                <w:iCs/>
                <w:color w:val="auto"/>
                <w:highlight w:val="none"/>
              </w:rPr>
              <w:t>Pteridium revolutum</w:t>
            </w:r>
            <w:r>
              <w:rPr>
                <w:rFonts w:hint="default" w:ascii="Times New Roman" w:hAnsi="Times New Roman" w:cs="Times New Roman"/>
                <w:color w:val="auto"/>
                <w:highlight w:val="none"/>
              </w:rPr>
              <w:t>为主，并伴生有五月艾</w:t>
            </w:r>
            <w:r>
              <w:rPr>
                <w:rFonts w:hint="default" w:ascii="Times New Roman" w:hAnsi="Times New Roman" w:cs="Times New Roman"/>
                <w:i/>
                <w:iCs/>
                <w:color w:val="auto"/>
                <w:highlight w:val="none"/>
              </w:rPr>
              <w:t>Artemisia indica</w:t>
            </w:r>
            <w:r>
              <w:rPr>
                <w:rFonts w:hint="default" w:ascii="Times New Roman" w:hAnsi="Times New Roman" w:cs="Times New Roman"/>
                <w:color w:val="auto"/>
                <w:highlight w:val="none"/>
              </w:rPr>
              <w:t>、矛叶荩草</w:t>
            </w:r>
            <w:r>
              <w:rPr>
                <w:rFonts w:hint="default" w:ascii="Times New Roman" w:hAnsi="Times New Roman" w:cs="Times New Roman"/>
                <w:i/>
                <w:iCs/>
                <w:color w:val="auto"/>
                <w:highlight w:val="none"/>
              </w:rPr>
              <w:t>Arthraxon prionodes</w:t>
            </w:r>
            <w:r>
              <w:rPr>
                <w:rFonts w:hint="default" w:ascii="Times New Roman" w:hAnsi="Times New Roman" w:cs="Times New Roman"/>
                <w:color w:val="auto"/>
                <w:highlight w:val="none"/>
              </w:rPr>
              <w:t>、灰叶堇菜</w:t>
            </w:r>
            <w:r>
              <w:rPr>
                <w:rFonts w:hint="default" w:ascii="Times New Roman" w:hAnsi="Times New Roman" w:cs="Times New Roman"/>
                <w:i/>
                <w:iCs/>
                <w:color w:val="auto"/>
                <w:highlight w:val="none"/>
              </w:rPr>
              <w:t>Viola delavayi</w:t>
            </w:r>
            <w:r>
              <w:rPr>
                <w:rFonts w:hint="default" w:ascii="Times New Roman" w:hAnsi="Times New Roman" w:cs="Times New Roman"/>
                <w:color w:val="auto"/>
                <w:highlight w:val="none"/>
              </w:rPr>
              <w:t>、草玉梅</w:t>
            </w:r>
            <w:r>
              <w:rPr>
                <w:rFonts w:hint="default" w:ascii="Times New Roman" w:hAnsi="Times New Roman" w:cs="Times New Roman"/>
                <w:i/>
                <w:iCs/>
                <w:color w:val="auto"/>
                <w:highlight w:val="none"/>
              </w:rPr>
              <w:t>Anemone rivularis</w:t>
            </w:r>
            <w:r>
              <w:rPr>
                <w:rFonts w:hint="default" w:ascii="Times New Roman" w:hAnsi="Times New Roman" w:cs="Times New Roman"/>
                <w:color w:val="auto"/>
                <w:highlight w:val="none"/>
              </w:rPr>
              <w:t>、还阳参</w:t>
            </w:r>
            <w:r>
              <w:rPr>
                <w:rFonts w:hint="default" w:ascii="Times New Roman" w:hAnsi="Times New Roman" w:cs="Times New Roman"/>
                <w:i/>
                <w:iCs/>
                <w:color w:val="auto"/>
                <w:highlight w:val="none"/>
              </w:rPr>
              <w:t>Crepis rigescens</w:t>
            </w:r>
            <w:r>
              <w:rPr>
                <w:rFonts w:hint="default" w:ascii="Times New Roman" w:hAnsi="Times New Roman" w:cs="Times New Roman"/>
                <w:color w:val="auto"/>
                <w:highlight w:val="none"/>
              </w:rPr>
              <w:t>、山酢浆草</w:t>
            </w:r>
            <w:r>
              <w:rPr>
                <w:rFonts w:hint="default" w:ascii="Times New Roman" w:hAnsi="Times New Roman" w:cs="Times New Roman"/>
                <w:i/>
                <w:iCs/>
                <w:color w:val="auto"/>
                <w:highlight w:val="none"/>
              </w:rPr>
              <w:t>Oxalis griffithii</w:t>
            </w:r>
            <w:r>
              <w:rPr>
                <w:rFonts w:hint="default" w:ascii="Times New Roman" w:hAnsi="Times New Roman" w:cs="Times New Roman"/>
                <w:color w:val="auto"/>
                <w:highlight w:val="none"/>
              </w:rPr>
              <w:t>等。</w:t>
            </w:r>
          </w:p>
          <w:p w14:paraId="3C53F882">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firstLine="482" w:firstLineChars="200"/>
              <w:textAlignment w:val="auto"/>
              <w:outlineLvl w:val="9"/>
              <w:rPr>
                <w:rFonts w:hint="default" w:ascii="Times New Roman" w:hAnsi="Times New Roman" w:cs="Times New Roman"/>
                <w:b/>
                <w:bCs w:val="0"/>
                <w:color w:val="auto"/>
                <w:sz w:val="24"/>
                <w:highlight w:val="none"/>
                <w:lang w:val="en-US" w:eastAsia="zh-CN"/>
              </w:rPr>
            </w:pPr>
            <w:r>
              <w:rPr>
                <w:rFonts w:hint="default" w:ascii="Times New Roman" w:hAnsi="Times New Roman" w:eastAsia="宋体" w:cs="Times New Roman"/>
                <w:b/>
                <w:bCs w:val="0"/>
                <w:color w:val="auto"/>
                <w:kern w:val="2"/>
                <w:sz w:val="24"/>
                <w:szCs w:val="22"/>
                <w:highlight w:val="none"/>
                <w:lang w:val="en-US" w:eastAsia="zh-CN" w:bidi="ar-SA"/>
              </w:rPr>
              <w:t>2）</w:t>
            </w:r>
            <w:r>
              <w:rPr>
                <w:rFonts w:hint="default" w:ascii="Times New Roman" w:hAnsi="Times New Roman" w:cs="Times New Roman"/>
                <w:b/>
                <w:bCs w:val="0"/>
                <w:color w:val="auto"/>
                <w:sz w:val="24"/>
                <w:highlight w:val="none"/>
                <w:lang w:val="en-US" w:eastAsia="zh-CN"/>
              </w:rPr>
              <w:t>人工植被</w:t>
            </w:r>
          </w:p>
          <w:p w14:paraId="5D0CCAD7">
            <w:pPr>
              <w:ind w:firstLine="480"/>
              <w:rPr>
                <w:rFonts w:hint="default" w:ascii="Times New Roman" w:hAnsi="Times New Roman" w:cs="Times New Roman"/>
                <w:b/>
                <w:bCs w:val="0"/>
                <w:color w:val="auto"/>
                <w:sz w:val="24"/>
                <w:highlight w:val="none"/>
                <w:lang w:val="en-US" w:eastAsia="zh-CN"/>
              </w:rPr>
            </w:pPr>
            <w:bookmarkStart w:id="14" w:name="_Hlk38058442"/>
            <w:r>
              <w:rPr>
                <w:rFonts w:hint="default" w:ascii="Times New Roman" w:hAnsi="Times New Roman" w:cs="Times New Roman"/>
                <w:color w:val="auto"/>
                <w:highlight w:val="none"/>
              </w:rPr>
              <w:t>评价区人工植被</w:t>
            </w:r>
            <w:r>
              <w:rPr>
                <w:rFonts w:hint="default" w:ascii="Times New Roman" w:hAnsi="Times New Roman" w:cs="Times New Roman"/>
                <w:color w:val="auto"/>
                <w:highlight w:val="none"/>
                <w:lang w:val="en-US" w:eastAsia="zh-CN"/>
              </w:rPr>
              <w:t>为</w:t>
            </w:r>
            <w:r>
              <w:rPr>
                <w:rFonts w:hint="default" w:ascii="Times New Roman" w:hAnsi="Times New Roman" w:cs="Times New Roman"/>
                <w:color w:val="auto"/>
                <w:highlight w:val="none"/>
              </w:rPr>
              <w:t>耕地</w:t>
            </w:r>
            <w:bookmarkEnd w:id="14"/>
            <w:r>
              <w:rPr>
                <w:rFonts w:hint="default" w:ascii="Times New Roman" w:hAnsi="Times New Roman" w:cs="Times New Roman"/>
                <w:color w:val="auto"/>
                <w:highlight w:val="none"/>
                <w:lang w:val="en-US" w:eastAsia="zh-CN"/>
              </w:rPr>
              <w:t>植被，种植玉米、板栗、辣椒、蔬菜等</w:t>
            </w:r>
            <w:r>
              <w:rPr>
                <w:rFonts w:hint="default" w:ascii="Times New Roman" w:hAnsi="Times New Roman" w:cs="Times New Roman"/>
                <w:color w:val="auto"/>
                <w:highlight w:val="none"/>
              </w:rPr>
              <w:t>。</w:t>
            </w:r>
          </w:p>
          <w:p w14:paraId="0022D74E">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firstLine="482" w:firstLineChars="200"/>
              <w:textAlignment w:val="auto"/>
              <w:outlineLvl w:val="9"/>
              <w:rPr>
                <w:rFonts w:hint="default" w:ascii="Times New Roman" w:hAnsi="Times New Roman" w:cs="Times New Roman"/>
                <w:b/>
                <w:bCs w:val="0"/>
                <w:color w:val="auto"/>
                <w:sz w:val="24"/>
                <w:highlight w:val="none"/>
                <w:lang w:val="en-US" w:eastAsia="zh-CN"/>
              </w:rPr>
            </w:pPr>
            <w:r>
              <w:rPr>
                <w:rFonts w:hint="default" w:ascii="Times New Roman" w:hAnsi="Times New Roman" w:cs="Times New Roman"/>
                <w:b/>
                <w:bCs w:val="0"/>
                <w:color w:val="auto"/>
                <w:sz w:val="24"/>
                <w:highlight w:val="none"/>
                <w:lang w:val="en-US" w:eastAsia="zh-CN"/>
              </w:rPr>
              <w:t>（3）评价区植物资源</w:t>
            </w:r>
          </w:p>
          <w:p w14:paraId="12C6A75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eastAsia="宋体" w:cs="Times New Roman"/>
                <w:color w:val="auto"/>
                <w:highlight w:val="none"/>
                <w:lang w:eastAsia="zh-CN"/>
              </w:rPr>
              <w:t>经现场调查，评价区</w:t>
            </w:r>
            <w:r>
              <w:rPr>
                <w:rFonts w:hint="default" w:ascii="Times New Roman" w:hAnsi="Times New Roman" w:eastAsia="宋体" w:cs="Times New Roman"/>
                <w:color w:val="auto"/>
                <w:highlight w:val="none"/>
                <w:lang w:val="en-US" w:eastAsia="zh-CN"/>
              </w:rPr>
              <w:t>分布有</w:t>
            </w:r>
            <w:r>
              <w:rPr>
                <w:rFonts w:hint="default" w:ascii="Times New Roman" w:hAnsi="Times New Roman" w:eastAsia="宋体" w:cs="Times New Roman"/>
                <w:color w:val="auto"/>
                <w:highlight w:val="none"/>
                <w:lang w:eastAsia="zh-CN"/>
              </w:rPr>
              <w:t>维管束植物共</w:t>
            </w:r>
            <w:r>
              <w:rPr>
                <w:rFonts w:hint="default" w:ascii="Times New Roman" w:hAnsi="Times New Roman" w:eastAsia="宋体" w:cs="Times New Roman"/>
                <w:color w:val="auto"/>
                <w:highlight w:val="none"/>
                <w:lang w:val="en-US" w:eastAsia="zh-CN"/>
              </w:rPr>
              <w:t>24</w:t>
            </w:r>
            <w:r>
              <w:rPr>
                <w:rFonts w:hint="default" w:ascii="Times New Roman" w:hAnsi="Times New Roman" w:eastAsia="宋体" w:cs="Times New Roman"/>
                <w:color w:val="auto"/>
                <w:highlight w:val="none"/>
                <w:lang w:eastAsia="zh-CN"/>
              </w:rPr>
              <w:t>科</w:t>
            </w:r>
            <w:r>
              <w:rPr>
                <w:rFonts w:hint="default" w:ascii="Times New Roman" w:hAnsi="Times New Roman" w:eastAsia="宋体" w:cs="Times New Roman"/>
                <w:color w:val="auto"/>
                <w:highlight w:val="none"/>
                <w:lang w:val="en-US" w:eastAsia="zh-CN"/>
              </w:rPr>
              <w:t>82</w:t>
            </w:r>
            <w:r>
              <w:rPr>
                <w:rFonts w:hint="default" w:ascii="Times New Roman" w:hAnsi="Times New Roman" w:eastAsia="宋体" w:cs="Times New Roman"/>
                <w:color w:val="auto"/>
                <w:highlight w:val="none"/>
                <w:lang w:eastAsia="zh-CN"/>
              </w:rPr>
              <w:t>属1</w:t>
            </w:r>
            <w:r>
              <w:rPr>
                <w:rFonts w:hint="default" w:ascii="Times New Roman" w:hAnsi="Times New Roman" w:eastAsia="宋体" w:cs="Times New Roman"/>
                <w:color w:val="auto"/>
                <w:highlight w:val="none"/>
                <w:lang w:val="en-US" w:eastAsia="zh-CN"/>
              </w:rPr>
              <w:t>20</w:t>
            </w:r>
            <w:r>
              <w:rPr>
                <w:rFonts w:hint="default" w:ascii="Times New Roman" w:hAnsi="Times New Roman" w:eastAsia="宋体" w:cs="Times New Roman"/>
                <w:color w:val="auto"/>
                <w:highlight w:val="none"/>
                <w:lang w:eastAsia="zh-CN"/>
              </w:rPr>
              <w:t xml:space="preserve">种（含种下等级）。其中蕨类植物 3 科4 属 6 种；种子植物 18 科 74 属 106 种。在种子植物中，裸子植物记录 3 科 </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lang w:eastAsia="zh-CN"/>
              </w:rPr>
              <w:t xml:space="preserve">属 </w:t>
            </w:r>
            <w:r>
              <w:rPr>
                <w:rFonts w:hint="default" w:ascii="Times New Roman" w:hAnsi="Times New Roman" w:eastAsia="宋体" w:cs="Times New Roman"/>
                <w:color w:val="auto"/>
                <w:highlight w:val="none"/>
                <w:lang w:val="en-US" w:eastAsia="zh-CN"/>
              </w:rPr>
              <w:t>10</w:t>
            </w:r>
            <w:r>
              <w:rPr>
                <w:rFonts w:hint="default" w:ascii="Times New Roman" w:hAnsi="Times New Roman" w:eastAsia="宋体" w:cs="Times New Roman"/>
                <w:color w:val="auto"/>
                <w:highlight w:val="none"/>
                <w:lang w:eastAsia="zh-CN"/>
              </w:rPr>
              <w:t>种；被子植物 1</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lang w:eastAsia="zh-CN"/>
              </w:rPr>
              <w:t xml:space="preserve">科 </w:t>
            </w:r>
            <w:r>
              <w:rPr>
                <w:rFonts w:hint="default" w:ascii="Times New Roman" w:hAnsi="Times New Roman" w:eastAsia="宋体" w:cs="Times New Roman"/>
                <w:color w:val="auto"/>
                <w:highlight w:val="none"/>
                <w:lang w:val="en-US" w:eastAsia="zh-CN"/>
              </w:rPr>
              <w:t>70</w:t>
            </w:r>
            <w:r>
              <w:rPr>
                <w:rFonts w:hint="default" w:ascii="Times New Roman" w:hAnsi="Times New Roman" w:eastAsia="宋体" w:cs="Times New Roman"/>
                <w:color w:val="auto"/>
                <w:highlight w:val="none"/>
                <w:lang w:eastAsia="zh-CN"/>
              </w:rPr>
              <w:t>属</w:t>
            </w:r>
            <w:r>
              <w:rPr>
                <w:rFonts w:hint="default" w:ascii="Times New Roman" w:hAnsi="Times New Roman" w:eastAsia="宋体" w:cs="Times New Roman"/>
                <w:color w:val="auto"/>
                <w:highlight w:val="none"/>
                <w:lang w:val="en-US" w:eastAsia="zh-CN"/>
              </w:rPr>
              <w:t>104</w:t>
            </w:r>
            <w:r>
              <w:rPr>
                <w:rFonts w:hint="default" w:ascii="Times New Roman" w:hAnsi="Times New Roman" w:eastAsia="宋体" w:cs="Times New Roman"/>
                <w:color w:val="auto"/>
                <w:highlight w:val="none"/>
                <w:lang w:eastAsia="zh-CN"/>
              </w:rPr>
              <w:t xml:space="preserve"> 种。</w:t>
            </w:r>
          </w:p>
          <w:p w14:paraId="4B228CDA">
            <w:pPr>
              <w:keepNext w:val="0"/>
              <w:keepLines w:val="0"/>
              <w:pageBreakBefore w:val="0"/>
              <w:widowControl w:val="0"/>
              <w:numPr>
                <w:ilvl w:val="0"/>
                <w:numId w:val="0"/>
              </w:numPr>
              <w:kinsoku/>
              <w:wordWrap/>
              <w:overflowPunct/>
              <w:topLinePunct w:val="0"/>
              <w:autoSpaceDE/>
              <w:autoSpaceDN/>
              <w:bidi w:val="0"/>
              <w:adjustRightInd/>
              <w:snapToGrid/>
              <w:spacing w:before="0" w:after="0" w:line="360" w:lineRule="auto"/>
              <w:ind w:firstLine="482" w:firstLineChars="200"/>
              <w:textAlignment w:val="auto"/>
              <w:outlineLvl w:val="9"/>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lang w:val="en-US" w:eastAsia="zh-CN"/>
              </w:rPr>
              <w:t>4</w:t>
            </w:r>
            <w:r>
              <w:rPr>
                <w:rFonts w:hint="default" w:ascii="Times New Roman" w:hAnsi="Times New Roman" w:cs="Times New Roman"/>
                <w:b/>
                <w:bCs/>
                <w:color w:val="auto"/>
                <w:sz w:val="24"/>
                <w:highlight w:val="none"/>
                <w:lang w:eastAsia="zh-CN"/>
              </w:rPr>
              <w:t>）</w:t>
            </w:r>
            <w:r>
              <w:rPr>
                <w:rFonts w:hint="default" w:ascii="Times New Roman" w:hAnsi="Times New Roman" w:eastAsia="宋体" w:cs="Times New Roman"/>
                <w:b/>
                <w:bCs/>
                <w:color w:val="auto"/>
                <w:highlight w:val="none"/>
                <w:lang w:val="en-US" w:eastAsia="zh-CN"/>
              </w:rPr>
              <w:t>重点保护野生植物</w:t>
            </w:r>
          </w:p>
          <w:p w14:paraId="147C542F">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实地调查及咨询当地林业部门，在项目区未发现林业部门挂牌重点保护植物，再对照《国家重点保护野生植物名录》（2021）、《云南省重点保护野生植物名录》（2023），评价区内未发现国家级、云南省级重点保护野生植物。</w:t>
            </w:r>
          </w:p>
          <w:p w14:paraId="44408475">
            <w:pPr>
              <w:numPr>
                <w:ilvl w:val="0"/>
                <w:numId w:val="0"/>
              </w:numPr>
              <w:ind w:firstLine="482" w:firstLineChars="200"/>
              <w:rPr>
                <w:rFonts w:hint="default" w:ascii="Times New Roman" w:hAnsi="Times New Roman" w:eastAsia="宋体" w:cs="Times New Roman"/>
                <w:b/>
                <w:bCs/>
                <w:snapToGrid w:val="0"/>
                <w:color w:val="auto"/>
                <w:sz w:val="24"/>
                <w:szCs w:val="24"/>
                <w:highlight w:val="none"/>
                <w:lang w:val="en-US" w:eastAsia="zh-CN" w:bidi="ar-SA"/>
              </w:rPr>
            </w:pPr>
            <w:r>
              <w:rPr>
                <w:rFonts w:hint="default" w:ascii="Times New Roman" w:hAnsi="Times New Roman" w:eastAsia="宋体" w:cs="Times New Roman"/>
                <w:b/>
                <w:bCs/>
                <w:snapToGrid w:val="0"/>
                <w:color w:val="auto"/>
                <w:sz w:val="24"/>
                <w:szCs w:val="24"/>
                <w:highlight w:val="none"/>
                <w:lang w:val="en-US" w:eastAsia="zh-CN" w:bidi="ar-SA"/>
              </w:rPr>
              <w:t>（5）极小种群</w:t>
            </w:r>
          </w:p>
          <w:p w14:paraId="2A508531">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对照《“十四五”全国极小种群野生植物拯救保护建设方案》和《云南省极小种群野生植物保护名录（2022年版）》，评价区未调查到极小种群野生植物的分布，无国家和云南省列入拯救保护的极小种群物种。</w:t>
            </w:r>
          </w:p>
          <w:p w14:paraId="179D559E">
            <w:pPr>
              <w:numPr>
                <w:ilvl w:val="0"/>
                <w:numId w:val="0"/>
              </w:numPr>
              <w:ind w:firstLine="482" w:firstLineChars="20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（6）受威胁植物物种</w:t>
            </w:r>
          </w:p>
          <w:p w14:paraId="3D40476D">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按照《中国生物多样性红色名录—高等植物卷》(2020)中极危(Critically Endangered, CR)、濒危(Endangered, EN)、易危(Vulnerable, VU)三个等级，通常称为受</w:t>
            </w:r>
            <w:r>
              <w:rPr>
                <w:rFonts w:hint="eastAsia" w:cs="Times New Roman"/>
                <w:color w:val="auto"/>
                <w:highlight w:val="none"/>
                <w:lang w:val="en-US" w:eastAsia="zh-CN"/>
              </w:rPr>
              <w:t>威</w:t>
            </w:r>
            <w:r>
              <w:rPr>
                <w:rFonts w:hint="default" w:ascii="Times New Roman" w:hAnsi="Times New Roman" w:eastAsia="宋体" w:cs="Times New Roman"/>
                <w:color w:val="auto"/>
                <w:highlight w:val="none"/>
                <w:lang w:val="en-US" w:eastAsia="zh-CN"/>
              </w:rPr>
              <w:t>胁物种。评价区内记录的 120种维管植物中，未发现《中国生物多样性红色名录—高等植物卷》中列为极危、濒危和易危的植物。</w:t>
            </w:r>
          </w:p>
          <w:p w14:paraId="46C36DDC">
            <w:pPr>
              <w:numPr>
                <w:ilvl w:val="0"/>
                <w:numId w:val="0"/>
              </w:numPr>
              <w:ind w:firstLine="482" w:firstLineChars="20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snapToGrid w:val="0"/>
                <w:color w:val="auto"/>
                <w:sz w:val="24"/>
                <w:szCs w:val="24"/>
                <w:highlight w:val="none"/>
                <w:lang w:val="en-US" w:eastAsia="zh-CN" w:bidi="ar-SA"/>
              </w:rPr>
              <w:t>（7）</w:t>
            </w:r>
            <w:r>
              <w:rPr>
                <w:rFonts w:hint="default" w:ascii="Times New Roman" w:hAnsi="Times New Roman" w:eastAsia="宋体" w:cs="Times New Roman"/>
                <w:b/>
                <w:bCs/>
                <w:color w:val="auto"/>
                <w:highlight w:val="none"/>
                <w:lang w:val="en-US" w:eastAsia="zh-CN"/>
              </w:rPr>
              <w:t>狭域特有植物</w:t>
            </w:r>
          </w:p>
          <w:p w14:paraId="0471F9E1">
            <w:pPr>
              <w:ind w:firstLine="480"/>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color w:val="auto"/>
                <w:highlight w:val="none"/>
                <w:lang w:val="en-US" w:eastAsia="zh-CN"/>
              </w:rPr>
              <w:t>狭域特有植物是指其分布区域仅限于某一个自然地理区域或生境的植物，是某一地区或生境植物区系的特有现象，狭域特有植物通常具有重要的保护价值。根据实地调查及咨询当地林业部门，评价区内未发现狭域特有植物分布。</w:t>
            </w:r>
          </w:p>
          <w:p w14:paraId="0388361C">
            <w:pPr>
              <w:ind w:firstLine="482"/>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eastAsia="zh-CN"/>
              </w:rPr>
              <w:t>（</w:t>
            </w:r>
            <w:r>
              <w:rPr>
                <w:rFonts w:hint="default" w:ascii="Times New Roman" w:hAnsi="Times New Roman" w:eastAsia="宋体" w:cs="Times New Roman"/>
                <w:b/>
                <w:bCs/>
                <w:color w:val="auto"/>
                <w:highlight w:val="none"/>
                <w:lang w:val="en-US" w:eastAsia="zh-CN"/>
              </w:rPr>
              <w:t>8</w:t>
            </w:r>
            <w:r>
              <w:rPr>
                <w:rFonts w:hint="default" w:ascii="Times New Roman" w:hAnsi="Times New Roman" w:eastAsia="宋体" w:cs="Times New Roman"/>
                <w:b/>
                <w:bCs/>
                <w:color w:val="auto"/>
                <w:highlight w:val="none"/>
                <w:lang w:eastAsia="zh-CN"/>
              </w:rPr>
              <w:t xml:space="preserve">）古树名木 </w:t>
            </w:r>
          </w:p>
          <w:p w14:paraId="01A1513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根据《古树名木保护条例》（中华人民共和国国务院令 第800号）对古树名木的界定，古树指树龄在100年以上的树木，不包括人工培育、以生产木材为主要目的的商品林中的树木；名木是指具有重要历史、文化、科学、景观价值或者具有重要纪念意义的树木。古树名木的分级及标准：古树实行分级保护，分为一级、二级、三级保护。树龄500年以上，实行一级保护；树龄300年以上不满500年的，实行二级保护；树龄100年以上不满300年的，实行三级保护。对名木均实行一级保护，不受树龄限制。</w:t>
            </w:r>
          </w:p>
          <w:p w14:paraId="6D740DC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根据现场调查，评价区未</w:t>
            </w:r>
            <w:r>
              <w:rPr>
                <w:rFonts w:hint="default" w:ascii="Times New Roman" w:hAnsi="Times New Roman" w:cs="Times New Roman"/>
                <w:color w:val="auto"/>
                <w:highlight w:val="none"/>
                <w:lang w:val="en-US" w:eastAsia="zh-CN"/>
              </w:rPr>
              <w:t>发现</w:t>
            </w:r>
            <w:r>
              <w:rPr>
                <w:rFonts w:hint="default" w:ascii="Times New Roman" w:hAnsi="Times New Roman" w:cs="Times New Roman"/>
                <w:color w:val="auto"/>
                <w:highlight w:val="none"/>
              </w:rPr>
              <w:t>到挂牌古树名木分布。</w:t>
            </w:r>
          </w:p>
          <w:p w14:paraId="0BB4B9DA">
            <w:pPr>
              <w:pStyle w:val="98"/>
              <w:jc w:val="both"/>
              <w:rPr>
                <w:rFonts w:hint="default" w:ascii="Times New Roman" w:hAnsi="Times New Roman" w:eastAsia="宋体" w:cs="Times New Roman"/>
                <w:b/>
                <w:bCs/>
                <w:color w:val="auto"/>
                <w:spacing w:val="0"/>
                <w:kern w:val="2"/>
                <w:sz w:val="24"/>
                <w:szCs w:val="22"/>
                <w:highlight w:val="none"/>
                <w:lang w:val="en-US" w:eastAsia="zh-CN" w:bidi="ar-SA"/>
              </w:rPr>
            </w:pPr>
            <w:r>
              <w:rPr>
                <w:rFonts w:hint="default" w:ascii="Times New Roman" w:hAnsi="Times New Roman" w:eastAsia="宋体" w:cs="Times New Roman"/>
                <w:b/>
                <w:bCs/>
                <w:color w:val="auto"/>
                <w:spacing w:val="0"/>
                <w:kern w:val="2"/>
                <w:sz w:val="24"/>
                <w:szCs w:val="22"/>
                <w:highlight w:val="none"/>
                <w:lang w:val="en-US" w:eastAsia="zh-CN" w:bidi="ar-SA"/>
              </w:rPr>
              <w:t>（9）入侵物种</w:t>
            </w:r>
          </w:p>
          <w:p w14:paraId="67B46E31">
            <w:pPr>
              <w:ind w:firstLine="480"/>
              <w:rPr>
                <w:rFonts w:hint="default" w:ascii="Times New Roman" w:hAnsi="Times New Roman" w:cs="Times New Roman"/>
                <w:snapToGrid w:val="0"/>
                <w:color w:val="auto"/>
                <w:kern w:val="0"/>
                <w:szCs w:val="24"/>
                <w:highlight w:val="none"/>
              </w:rPr>
            </w:pPr>
            <w:r>
              <w:rPr>
                <w:rFonts w:hint="default" w:ascii="Times New Roman" w:hAnsi="Times New Roman" w:eastAsia="宋体" w:cs="Times New Roman"/>
                <w:color w:val="auto"/>
                <w:highlight w:val="none"/>
              </w:rPr>
              <w:t>根据现场调查，结合文献资料，记录评价区共有</w:t>
            </w:r>
            <w:r>
              <w:rPr>
                <w:rFonts w:hint="default" w:ascii="Times New Roman" w:hAnsi="Times New Roman" w:eastAsia="宋体" w:cs="Times New Roman"/>
                <w:color w:val="auto"/>
                <w:highlight w:val="none"/>
                <w:lang w:val="en-US" w:eastAsia="zh-CN"/>
              </w:rPr>
              <w:t>8</w:t>
            </w:r>
            <w:r>
              <w:rPr>
                <w:rFonts w:hint="default" w:ascii="Times New Roman" w:hAnsi="Times New Roman" w:eastAsia="宋体" w:cs="Times New Roman"/>
                <w:color w:val="auto"/>
                <w:highlight w:val="none"/>
              </w:rPr>
              <w:t>种外来入侵物种，其中</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种为恶性入侵，分别为紫茎泽兰Ageratina adenophora、藿香蓟</w:t>
            </w:r>
            <w:r>
              <w:rPr>
                <w:rFonts w:hint="default" w:ascii="Times New Roman" w:hAnsi="Times New Roman" w:eastAsia="宋体" w:cs="Times New Roman"/>
                <w:i/>
                <w:iCs/>
                <w:color w:val="auto"/>
                <w:highlight w:val="none"/>
              </w:rPr>
              <w:t>Ageratum conyzoides</w:t>
            </w:r>
            <w:r>
              <w:rPr>
                <w:rFonts w:hint="default" w:ascii="Times New Roman" w:hAnsi="Times New Roman" w:eastAsia="宋体" w:cs="Times New Roman"/>
                <w:color w:val="auto"/>
                <w:highlight w:val="none"/>
              </w:rPr>
              <w:t>、鬼针草</w:t>
            </w:r>
            <w:r>
              <w:rPr>
                <w:rFonts w:hint="default" w:ascii="Times New Roman" w:hAnsi="Times New Roman" w:eastAsia="宋体" w:cs="Times New Roman"/>
                <w:i/>
                <w:iCs/>
                <w:color w:val="auto"/>
                <w:highlight w:val="none"/>
              </w:rPr>
              <w:t>Bidens pilosa</w:t>
            </w:r>
            <w:r>
              <w:rPr>
                <w:rFonts w:hint="default" w:ascii="Times New Roman" w:hAnsi="Times New Roman" w:eastAsia="宋体" w:cs="Times New Roman"/>
                <w:color w:val="auto"/>
                <w:highlight w:val="none"/>
              </w:rPr>
              <w:t>；有2种为严重入侵，分别为野茼蒿</w:t>
            </w:r>
            <w:r>
              <w:rPr>
                <w:rFonts w:hint="default" w:ascii="Times New Roman" w:hAnsi="Times New Roman" w:eastAsia="宋体" w:cs="Times New Roman"/>
                <w:i/>
                <w:iCs/>
                <w:color w:val="auto"/>
                <w:highlight w:val="none"/>
              </w:rPr>
              <w:t>Crassocephalum crepidioides</w:t>
            </w:r>
            <w:r>
              <w:rPr>
                <w:rFonts w:hint="default" w:ascii="Times New Roman" w:hAnsi="Times New Roman" w:eastAsia="宋体" w:cs="Times New Roman"/>
                <w:color w:val="auto"/>
                <w:highlight w:val="none"/>
              </w:rPr>
              <w:t>、牛膝菊</w:t>
            </w:r>
            <w:r>
              <w:rPr>
                <w:rFonts w:hint="default" w:ascii="Times New Roman" w:hAnsi="Times New Roman" w:eastAsia="宋体" w:cs="Times New Roman"/>
                <w:i/>
                <w:iCs/>
                <w:color w:val="auto"/>
                <w:highlight w:val="none"/>
              </w:rPr>
              <w:t>Galinsoga parviflora</w:t>
            </w:r>
            <w:r>
              <w:rPr>
                <w:rFonts w:hint="default" w:ascii="Times New Roman" w:hAnsi="Times New Roman" w:eastAsia="宋体" w:cs="Times New Roman"/>
                <w:color w:val="auto"/>
                <w:highlight w:val="none"/>
              </w:rPr>
              <w:t>；一般入侵和有待观察的种类分别为1种和</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种。</w:t>
            </w:r>
          </w:p>
          <w:p w14:paraId="0FF43175">
            <w:pPr>
              <w:ind w:firstLine="480"/>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lang w:val="en-US" w:eastAsia="zh-CN"/>
              </w:rPr>
              <w:t>5</w:t>
            </w:r>
            <w:r>
              <w:rPr>
                <w:rFonts w:hint="default" w:ascii="Times New Roman" w:hAnsi="Times New Roman" w:cs="Times New Roman"/>
                <w:b/>
                <w:color w:val="auto"/>
                <w:szCs w:val="24"/>
                <w:highlight w:val="none"/>
              </w:rPr>
              <w:t>、动物资源现状</w:t>
            </w:r>
          </w:p>
          <w:p w14:paraId="1A0528C6">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陆栖脊椎动物调查以野外现场调查、查阅文献资料相结合的方式进行。现场调查主要采用</w:t>
            </w:r>
            <w:r>
              <w:rPr>
                <w:rFonts w:hint="default" w:ascii="Times New Roman" w:hAnsi="Times New Roman" w:eastAsia="宋体" w:cs="Times New Roman"/>
                <w:color w:val="auto"/>
                <w:highlight w:val="none"/>
                <w:lang w:val="en-US" w:eastAsia="zh-CN"/>
              </w:rPr>
              <w:t>资料收集和现场记录</w:t>
            </w:r>
            <w:r>
              <w:rPr>
                <w:rFonts w:hint="default" w:ascii="Times New Roman" w:hAnsi="Times New Roman" w:eastAsia="宋体" w:cs="Times New Roman"/>
                <w:color w:val="auto"/>
                <w:highlight w:val="none"/>
                <w:lang w:eastAsia="zh-CN"/>
              </w:rPr>
              <w:t>法。文献资料以《中国哺乳动物分布》《中国哺乳动物物种和亚种分类名录与分布大全》《云南鸟类志》《云南鸟类名录》《云南两栖爬行动物》《云南两栖类志》等记载的该区的各类群动物。同时，根据国家重点保护野生动物名录、云南省重点保护野生动物名录、《濒危野生动植物种国际贸易公约》（CITES）附录I、附录II，以及《中国生物多样性红色名录•脊椎动物卷》（20</w:t>
            </w:r>
            <w:r>
              <w:rPr>
                <w:rFonts w:hint="default" w:ascii="Times New Roman" w:hAnsi="Times New Roman" w:eastAsia="宋体" w:cs="Times New Roman"/>
                <w:color w:val="auto"/>
                <w:highlight w:val="none"/>
                <w:lang w:val="en-US" w:eastAsia="zh-CN"/>
              </w:rPr>
              <w:t>20</w:t>
            </w:r>
            <w:r>
              <w:rPr>
                <w:rFonts w:hint="default" w:ascii="Times New Roman" w:hAnsi="Times New Roman" w:eastAsia="宋体" w:cs="Times New Roman"/>
                <w:color w:val="auto"/>
                <w:highlight w:val="none"/>
                <w:lang w:eastAsia="zh-CN"/>
              </w:rPr>
              <w:t>），确定动物的特有种和保护物种。</w:t>
            </w:r>
          </w:p>
          <w:p w14:paraId="02D40D24">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两栖类：经野外实地调查和参考相关资料，</w:t>
            </w:r>
            <w:r>
              <w:rPr>
                <w:rFonts w:hint="eastAsia" w:cs="Times New Roman"/>
                <w:color w:val="auto"/>
                <w:highlight w:val="none"/>
                <w:lang w:val="en-US" w:eastAsia="zh-CN"/>
              </w:rPr>
              <w:t>且</w:t>
            </w:r>
            <w:r>
              <w:rPr>
                <w:rFonts w:hint="default" w:ascii="Times New Roman" w:hAnsi="Times New Roman" w:eastAsia="宋体" w:cs="Times New Roman"/>
                <w:color w:val="auto"/>
                <w:highlight w:val="none"/>
                <w:lang w:eastAsia="zh-CN"/>
              </w:rPr>
              <w:t xml:space="preserve">项目用地范围内基本没有水域，区域两栖类动物种类和数量均不是很丰富，蟾蜍等两栖类动物仅在少量沟谷地区有零星出现，种类和数量均较少。 </w:t>
            </w:r>
          </w:p>
          <w:p w14:paraId="6A661F72">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爬行类：经野外实地调查和参考相关资料，并综合考虑爬行类会在不同季节随温度变化而在一定海拔范围内上下移动的特点，评价区分布和可能出现的爬行类主要为蜥蜴目（Lacertilia）、壁虎科，例如云南半叶趾虎；有鳞目（Squamata）、石龙子科（Scincidae），例如铜蜓蜥，以及少量游蛇科</w:t>
            </w:r>
            <w:r>
              <w:rPr>
                <w:rFonts w:hint="eastAsia" w:cs="Times New Roman"/>
                <w:color w:val="auto"/>
                <w:highlight w:val="none"/>
                <w:lang w:eastAsia="zh-CN"/>
              </w:rPr>
              <w:t>（</w:t>
            </w:r>
            <w:r>
              <w:rPr>
                <w:rFonts w:hint="default" w:ascii="Times New Roman" w:hAnsi="Times New Roman" w:eastAsia="宋体" w:cs="Times New Roman"/>
                <w:color w:val="auto"/>
                <w:sz w:val="21"/>
                <w:highlight w:val="none"/>
              </w:rPr>
              <w:t>Colubridae</w:t>
            </w:r>
            <w:r>
              <w:rPr>
                <w:rFonts w:hint="eastAsia" w:cs="Times New Roman"/>
                <w:color w:val="auto"/>
                <w:highlight w:val="none"/>
                <w:lang w:eastAsia="zh-CN"/>
              </w:rPr>
              <w:t>）</w:t>
            </w:r>
            <w:r>
              <w:rPr>
                <w:rFonts w:hint="default" w:ascii="Times New Roman" w:hAnsi="Times New Roman" w:eastAsia="宋体" w:cs="Times New Roman"/>
                <w:color w:val="auto"/>
                <w:highlight w:val="none"/>
                <w:lang w:eastAsia="zh-CN"/>
              </w:rPr>
              <w:t>，例如八线腹链蛇</w:t>
            </w:r>
            <w:r>
              <w:rPr>
                <w:rFonts w:hint="eastAsia" w:cs="Times New Roman"/>
                <w:color w:val="auto"/>
                <w:highlight w:val="none"/>
                <w:lang w:eastAsia="zh-CN"/>
              </w:rPr>
              <w:t>、</w:t>
            </w:r>
            <w:r>
              <w:rPr>
                <w:rFonts w:hint="eastAsia" w:cs="Times New Roman"/>
                <w:color w:val="auto"/>
                <w:highlight w:val="none"/>
                <w:lang w:val="en-US" w:eastAsia="zh-CN"/>
              </w:rPr>
              <w:t>乌梢蛇</w:t>
            </w:r>
            <w:r>
              <w:rPr>
                <w:rFonts w:hint="default" w:ascii="Times New Roman" w:hAnsi="Times New Roman" w:eastAsia="宋体" w:cs="Times New Roman"/>
                <w:color w:val="auto"/>
                <w:highlight w:val="none"/>
                <w:lang w:eastAsia="zh-CN"/>
              </w:rPr>
              <w:t xml:space="preserve">等。项目区域植被稀疏，降雨较少，故区域内爬行动物种类及数量均较少。半叶趾虎、印度蜓蜥仅在少量灌丛中有零星发现。 </w:t>
            </w:r>
          </w:p>
          <w:p w14:paraId="4A7BCA14">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哺乳类：</w:t>
            </w:r>
            <w:r>
              <w:rPr>
                <w:rFonts w:hint="eastAsia" w:ascii="Times New Roman" w:hAnsi="Times New Roman" w:eastAsia="宋体" w:cs="Times New Roman"/>
                <w:color w:val="auto"/>
                <w:highlight w:val="none"/>
                <w:lang w:val="en-US" w:eastAsia="zh-CN"/>
              </w:rPr>
              <w:t>评价</w:t>
            </w:r>
            <w:r>
              <w:rPr>
                <w:rFonts w:hint="default" w:ascii="Times New Roman" w:hAnsi="Times New Roman" w:eastAsia="宋体" w:cs="Times New Roman"/>
                <w:color w:val="auto"/>
                <w:highlight w:val="none"/>
                <w:lang w:eastAsia="zh-CN"/>
              </w:rPr>
              <w:t xml:space="preserve">区域内无大型哺乳动物分布，主要为小型兽类，主要为在村落和农田生境活动的啮齿类动物，如黄毛鼠、褐家鼠、小家鼠，西南兔等。评价区的兽类以小型的啮齿占绝大多数，较大型的兽类和数量都少，与评价区周边生产活动广泛，环境受人为影响程度较大有关。 </w:t>
            </w:r>
          </w:p>
          <w:p w14:paraId="1DC4A262">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鸟类</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eastAsia="zh-CN"/>
              </w:rPr>
              <w:t>评价区鹰隼类、鸠鸽类、佛法僧目的中型鸟类分布较少，鸟类</w:t>
            </w:r>
            <w:r>
              <w:rPr>
                <w:rFonts w:hint="eastAsia" w:cs="Times New Roman"/>
                <w:color w:val="auto"/>
                <w:highlight w:val="none"/>
                <w:lang w:eastAsia="zh-CN"/>
              </w:rPr>
              <w:t>以小型雀形目为主</w:t>
            </w:r>
            <w:r>
              <w:rPr>
                <w:rFonts w:hint="default" w:ascii="Times New Roman" w:hAnsi="Times New Roman" w:eastAsia="宋体" w:cs="Times New Roman"/>
                <w:color w:val="auto"/>
                <w:highlight w:val="none"/>
                <w:lang w:eastAsia="zh-CN"/>
              </w:rPr>
              <w:t>，主要为：树麻雀（</w:t>
            </w:r>
            <w:r>
              <w:rPr>
                <w:rFonts w:hint="default" w:ascii="Times New Roman" w:hAnsi="Times New Roman" w:eastAsia="宋体" w:cs="Times New Roman"/>
                <w:i/>
                <w:iCs/>
                <w:color w:val="auto"/>
                <w:highlight w:val="none"/>
                <w:lang w:eastAsia="zh-CN"/>
              </w:rPr>
              <w:t>Passer</w:t>
            </w:r>
            <w:r>
              <w:rPr>
                <w:rFonts w:hint="eastAsia" w:ascii="Times New Roman" w:hAnsi="Times New Roman" w:eastAsia="宋体" w:cs="Times New Roman"/>
                <w:i/>
                <w:iCs/>
                <w:color w:val="auto"/>
                <w:highlight w:val="none"/>
                <w:lang w:val="en-US" w:eastAsia="zh-CN"/>
              </w:rPr>
              <w:t xml:space="preserve"> </w:t>
            </w:r>
            <w:r>
              <w:rPr>
                <w:rFonts w:hint="default" w:ascii="Times New Roman" w:hAnsi="Times New Roman" w:eastAsia="宋体" w:cs="Times New Roman"/>
                <w:i/>
                <w:iCs/>
                <w:color w:val="auto"/>
                <w:highlight w:val="none"/>
                <w:lang w:eastAsia="zh-CN"/>
              </w:rPr>
              <w:t>montanus</w:t>
            </w:r>
            <w:r>
              <w:rPr>
                <w:rFonts w:hint="default" w:ascii="Times New Roman" w:hAnsi="Times New Roman" w:eastAsia="宋体" w:cs="Times New Roman"/>
                <w:color w:val="auto"/>
                <w:highlight w:val="none"/>
                <w:lang w:eastAsia="zh-CN"/>
              </w:rPr>
              <w:t>）、家燕（</w:t>
            </w:r>
            <w:r>
              <w:rPr>
                <w:rFonts w:hint="default" w:ascii="Times New Roman" w:hAnsi="Times New Roman" w:eastAsia="宋体" w:cs="Times New Roman"/>
                <w:i/>
                <w:iCs/>
                <w:color w:val="auto"/>
                <w:highlight w:val="none"/>
                <w:lang w:eastAsia="zh-CN"/>
              </w:rPr>
              <w:t>Hirundo rustica</w:t>
            </w:r>
            <w:r>
              <w:rPr>
                <w:rFonts w:hint="default" w:ascii="Times New Roman" w:hAnsi="Times New Roman" w:eastAsia="宋体" w:cs="Times New Roman"/>
                <w:color w:val="auto"/>
                <w:highlight w:val="none"/>
                <w:lang w:eastAsia="zh-CN"/>
              </w:rPr>
              <w:t xml:space="preserve">）等。 </w:t>
            </w:r>
          </w:p>
          <w:p w14:paraId="78313AA1">
            <w:pPr>
              <w:ind w:firstLine="480"/>
              <w:rPr>
                <w:rFonts w:cs="Times New Roman"/>
                <w:color w:val="auto"/>
                <w:highlight w:val="none"/>
                <w:lang w:eastAsia="zh-CN"/>
              </w:rPr>
            </w:pPr>
            <w:r>
              <w:rPr>
                <w:rFonts w:hint="eastAsia" w:ascii="Times New Roman" w:hAnsi="Times New Roman" w:eastAsia="宋体" w:cs="Times New Roman"/>
                <w:color w:val="auto"/>
                <w:highlight w:val="none"/>
                <w:lang w:val="en-US" w:eastAsia="zh-CN"/>
              </w:rPr>
              <w:t>对照《国家重点保护野生动物名录》（2021年）和《云南省重点保护陆生野生动物名录》（2023年），现场调查</w:t>
            </w:r>
            <w:r>
              <w:rPr>
                <w:rFonts w:hint="default" w:ascii="Times New Roman" w:hAnsi="Times New Roman" w:eastAsia="宋体" w:cs="Times New Roman"/>
                <w:color w:val="auto"/>
                <w:highlight w:val="none"/>
                <w:lang w:eastAsia="zh-CN"/>
              </w:rPr>
              <w:t>和访问</w:t>
            </w:r>
            <w:r>
              <w:rPr>
                <w:rFonts w:hint="eastAsia" w:ascii="Times New Roman" w:hAnsi="Times New Roman" w:eastAsia="宋体" w:cs="Times New Roman"/>
                <w:color w:val="auto"/>
                <w:highlight w:val="none"/>
                <w:lang w:val="en-US" w:eastAsia="zh-CN"/>
              </w:rPr>
              <w:t>未发现评价区分布有</w:t>
            </w:r>
            <w:r>
              <w:rPr>
                <w:rFonts w:hint="default" w:ascii="Times New Roman" w:hAnsi="Times New Roman" w:eastAsia="宋体" w:cs="Times New Roman"/>
                <w:color w:val="auto"/>
                <w:highlight w:val="none"/>
                <w:lang w:eastAsia="zh-CN"/>
              </w:rPr>
              <w:t>国家重点保护</w:t>
            </w:r>
            <w:r>
              <w:rPr>
                <w:rFonts w:hint="eastAsia" w:ascii="Times New Roman" w:hAnsi="Times New Roman" w:eastAsia="宋体" w:cs="Times New Roman"/>
                <w:color w:val="auto"/>
                <w:highlight w:val="none"/>
                <w:lang w:val="en-US" w:eastAsia="zh-CN"/>
              </w:rPr>
              <w:t>和</w:t>
            </w:r>
            <w:r>
              <w:rPr>
                <w:rFonts w:hint="default" w:ascii="Times New Roman" w:hAnsi="Times New Roman" w:eastAsia="宋体" w:cs="Times New Roman"/>
                <w:color w:val="auto"/>
                <w:highlight w:val="none"/>
                <w:lang w:eastAsia="zh-CN"/>
              </w:rPr>
              <w:t>云南省重点保护的野生动物</w:t>
            </w:r>
            <w:r>
              <w:rPr>
                <w:rFonts w:hint="eastAsia"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eastAsia="zh-CN"/>
              </w:rPr>
              <w:t xml:space="preserve"> 对照《中国生物多样性红色名录-脊椎动物卷（2020）》中列为极危（CR）、濒危（EN）和易危（VU）的物种，项目区域调查未见极危、濒危、易危保护动物</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评价区</w:t>
            </w:r>
            <w:r>
              <w:rPr>
                <w:rFonts w:hint="default" w:ascii="Times New Roman" w:hAnsi="Times New Roman" w:eastAsia="宋体" w:cs="Times New Roman"/>
                <w:color w:val="auto"/>
                <w:highlight w:val="none"/>
                <w:lang w:eastAsia="zh-CN"/>
              </w:rPr>
              <w:t>不涉及重要物种的天然集中分布区、栖息地，迁徙鸟类的重要繁殖地、停歇地、越冬地以及野生动物迁徙通道等重要生境。</w:t>
            </w:r>
          </w:p>
          <w:p w14:paraId="532FF051">
            <w:pPr>
              <w:ind w:firstLine="482"/>
              <w:outlineLvl w:val="3"/>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lang w:val="en-US" w:eastAsia="zh-CN"/>
              </w:rPr>
              <w:t>6</w:t>
            </w:r>
            <w:r>
              <w:rPr>
                <w:rFonts w:hint="default" w:ascii="Times New Roman" w:hAnsi="Times New Roman" w:cs="Times New Roman"/>
                <w:b/>
                <w:bCs/>
                <w:color w:val="auto"/>
                <w:szCs w:val="24"/>
                <w:highlight w:val="none"/>
              </w:rPr>
              <w:t>、水土流失现状</w:t>
            </w:r>
          </w:p>
          <w:p w14:paraId="71232C5D">
            <w:pPr>
              <w:ind w:firstLine="480"/>
              <w:outlineLvl w:val="3"/>
              <w:rPr>
                <w:rFonts w:hint="default" w:ascii="Times New Roman" w:hAnsi="Times New Roman" w:cs="Times New Roman"/>
                <w:color w:val="auto"/>
                <w:highlight w:val="none"/>
              </w:rPr>
            </w:pPr>
            <w:r>
              <w:rPr>
                <w:rFonts w:hint="default" w:ascii="Times New Roman" w:hAnsi="Times New Roman" w:cs="Times New Roman"/>
                <w:color w:val="auto"/>
                <w:highlight w:val="none"/>
              </w:rPr>
              <w:t>项目</w:t>
            </w:r>
            <w:r>
              <w:rPr>
                <w:rFonts w:hint="eastAsia" w:cs="Times New Roman"/>
                <w:color w:val="auto"/>
                <w:highlight w:val="none"/>
                <w:lang w:val="en-US" w:eastAsia="zh-CN"/>
              </w:rPr>
              <w:t>评价</w:t>
            </w:r>
            <w:r>
              <w:rPr>
                <w:rFonts w:hint="default" w:ascii="Times New Roman" w:hAnsi="Times New Roman" w:cs="Times New Roman"/>
                <w:color w:val="auto"/>
                <w:highlight w:val="none"/>
              </w:rPr>
              <w:t>区原始占地类型为</w:t>
            </w:r>
            <w:r>
              <w:rPr>
                <w:rFonts w:hint="eastAsia" w:cs="Times New Roman"/>
                <w:color w:val="auto"/>
                <w:highlight w:val="none"/>
                <w:lang w:val="en-US" w:eastAsia="zh-CN"/>
              </w:rPr>
              <w:t>林</w:t>
            </w:r>
            <w:r>
              <w:rPr>
                <w:rFonts w:hint="default" w:ascii="Times New Roman" w:hAnsi="Times New Roman" w:cs="Times New Roman"/>
                <w:color w:val="auto"/>
                <w:highlight w:val="none"/>
              </w:rPr>
              <w:t>地、</w:t>
            </w:r>
            <w:r>
              <w:rPr>
                <w:rFonts w:hint="eastAsia" w:cs="Times New Roman"/>
                <w:color w:val="auto"/>
                <w:highlight w:val="none"/>
                <w:lang w:val="en-US" w:eastAsia="zh-CN"/>
              </w:rPr>
              <w:t>草地、耕地、交通运输用地</w:t>
            </w:r>
            <w:r>
              <w:rPr>
                <w:rFonts w:hint="default" w:ascii="Times New Roman" w:hAnsi="Times New Roman" w:cs="Times New Roman"/>
                <w:color w:val="auto"/>
                <w:highlight w:val="none"/>
              </w:rPr>
              <w:t>，项目</w:t>
            </w:r>
            <w:r>
              <w:rPr>
                <w:rFonts w:hint="eastAsia" w:cs="Times New Roman"/>
                <w:color w:val="auto"/>
                <w:highlight w:val="none"/>
                <w:lang w:val="en-US" w:eastAsia="zh-CN"/>
              </w:rPr>
              <w:t>评价</w:t>
            </w:r>
            <w:r>
              <w:rPr>
                <w:rFonts w:hint="default" w:ascii="Times New Roman" w:hAnsi="Times New Roman" w:cs="Times New Roman"/>
                <w:color w:val="auto"/>
                <w:highlight w:val="none"/>
              </w:rPr>
              <w:t>区</w:t>
            </w:r>
            <w:r>
              <w:rPr>
                <w:rFonts w:hint="eastAsia" w:cs="Times New Roman"/>
                <w:color w:val="auto"/>
                <w:highlight w:val="none"/>
                <w:lang w:val="en-US" w:eastAsia="zh-CN"/>
              </w:rPr>
              <w:t>植被覆盖率高</w:t>
            </w:r>
            <w:r>
              <w:rPr>
                <w:rFonts w:hint="default" w:ascii="Times New Roman" w:hAnsi="Times New Roman" w:cs="Times New Roman"/>
                <w:color w:val="auto"/>
                <w:highlight w:val="none"/>
              </w:rPr>
              <w:t>，</w:t>
            </w:r>
            <w:r>
              <w:rPr>
                <w:rFonts w:hint="eastAsia" w:cs="Times New Roman"/>
                <w:color w:val="auto"/>
                <w:highlight w:val="none"/>
                <w:lang w:val="en-US" w:eastAsia="zh-CN"/>
              </w:rPr>
              <w:t>现场调查未发现有水土流失现象</w:t>
            </w:r>
            <w:r>
              <w:rPr>
                <w:rFonts w:hint="default" w:ascii="Times New Roman" w:hAnsi="Times New Roman" w:cs="Times New Roman"/>
                <w:color w:val="auto"/>
                <w:highlight w:val="none"/>
              </w:rPr>
              <w:t>。</w:t>
            </w:r>
          </w:p>
          <w:p w14:paraId="1E578A70">
            <w:pPr>
              <w:ind w:firstLine="482"/>
              <w:outlineLvl w:val="3"/>
              <w:rPr>
                <w:rFonts w:hint="eastAsia" w:ascii="Times New Roman" w:hAnsi="Times New Roman" w:cs="Times New Roman"/>
                <w:b/>
                <w:bCs/>
                <w:color w:val="auto"/>
                <w:szCs w:val="24"/>
                <w:highlight w:val="none"/>
                <w:lang w:val="en-US" w:eastAsia="zh-CN"/>
              </w:rPr>
            </w:pPr>
            <w:r>
              <w:rPr>
                <w:rFonts w:hint="eastAsia" w:ascii="Times New Roman" w:hAnsi="Times New Roman" w:cs="Times New Roman"/>
                <w:b/>
                <w:bCs/>
                <w:color w:val="auto"/>
                <w:szCs w:val="24"/>
                <w:highlight w:val="none"/>
                <w:lang w:val="en-US" w:eastAsia="zh-CN"/>
              </w:rPr>
              <w:t>7、环境敏感区</w:t>
            </w:r>
          </w:p>
          <w:p w14:paraId="1041FB46">
            <w:pPr>
              <w:ind w:firstLine="480"/>
              <w:jc w:val="left"/>
              <w:rPr>
                <w:rFonts w:hint="eastAsia"/>
                <w:color w:val="auto"/>
                <w:lang w:val="en-US" w:eastAsia="zh-CN"/>
              </w:rPr>
            </w:pPr>
            <w:r>
              <w:rPr>
                <w:rFonts w:hint="eastAsia"/>
                <w:color w:val="auto"/>
              </w:rPr>
              <w:t>根据</w:t>
            </w:r>
            <w:r>
              <w:rPr>
                <w:rFonts w:hint="eastAsia"/>
                <w:color w:val="auto"/>
                <w:szCs w:val="24"/>
              </w:rPr>
              <w:t>《寻甸回族彝族自治县自然资源局关于</w:t>
            </w:r>
            <w:r>
              <w:rPr>
                <w:rFonts w:hint="eastAsia"/>
                <w:color w:val="auto"/>
                <w:szCs w:val="24"/>
                <w:lang w:val="en-US" w:eastAsia="zh-CN"/>
              </w:rPr>
              <w:t>云南省寻甸县柯渡黄龙溏普通建筑材料用砂岩矿采矿权新立联勘联审</w:t>
            </w:r>
            <w:r>
              <w:rPr>
                <w:rFonts w:hint="eastAsia"/>
                <w:color w:val="auto"/>
                <w:szCs w:val="24"/>
              </w:rPr>
              <w:t>及相关规划等有关情况审查意见》（见附件</w:t>
            </w:r>
            <w:r>
              <w:rPr>
                <w:rFonts w:hint="eastAsia"/>
                <w:color w:val="auto"/>
                <w:szCs w:val="24"/>
                <w:lang w:val="en-US" w:eastAsia="zh-CN"/>
              </w:rPr>
              <w:t>9</w:t>
            </w:r>
            <w:r>
              <w:rPr>
                <w:rFonts w:hint="eastAsia"/>
                <w:color w:val="auto"/>
                <w:szCs w:val="24"/>
              </w:rPr>
              <w:t>）</w:t>
            </w:r>
            <w:r>
              <w:rPr>
                <w:rFonts w:hint="eastAsia"/>
                <w:color w:val="auto"/>
                <w:szCs w:val="24"/>
                <w:lang w:eastAsia="zh-CN"/>
              </w:rPr>
              <w:t>、</w:t>
            </w:r>
            <w:r>
              <w:rPr>
                <w:rFonts w:hint="eastAsia"/>
                <w:color w:val="auto"/>
                <w:szCs w:val="24"/>
                <w:lang w:val="en-US" w:eastAsia="zh-CN"/>
              </w:rPr>
              <w:t>《寻甸回族彝族自治县自然资源局关于云南省寻甸县柯渡黄龙溏普通建筑材料用砂岩矿50万t/a扩建项目是否涉及永久基本农田的说明》</w:t>
            </w:r>
            <w:r>
              <w:rPr>
                <w:rFonts w:hint="eastAsia"/>
                <w:color w:val="auto"/>
                <w:szCs w:val="24"/>
                <w:lang w:eastAsia="zh-CN"/>
              </w:rPr>
              <w:t>（</w:t>
            </w:r>
            <w:r>
              <w:rPr>
                <w:rFonts w:hint="eastAsia"/>
                <w:color w:val="auto"/>
                <w:szCs w:val="24"/>
                <w:lang w:val="en-US" w:eastAsia="zh-CN"/>
              </w:rPr>
              <w:t>见附件7</w:t>
            </w:r>
            <w:r>
              <w:rPr>
                <w:rFonts w:hint="eastAsia"/>
                <w:color w:val="auto"/>
                <w:szCs w:val="24"/>
                <w:lang w:eastAsia="zh-CN"/>
              </w:rPr>
              <w:t>）</w:t>
            </w:r>
            <w:r>
              <w:rPr>
                <w:rFonts w:hint="eastAsia"/>
                <w:color w:val="auto"/>
                <w:szCs w:val="24"/>
                <w:lang w:val="en-US" w:eastAsia="zh-CN"/>
              </w:rPr>
              <w:t>和</w:t>
            </w:r>
            <w:r>
              <w:rPr>
                <w:rFonts w:hint="eastAsia"/>
                <w:color w:val="auto"/>
                <w:szCs w:val="24"/>
                <w:lang w:eastAsia="zh-CN"/>
              </w:rPr>
              <w:t>《关</w:t>
            </w:r>
            <w:r>
              <w:rPr>
                <w:rFonts w:hint="eastAsia"/>
                <w:color w:val="auto"/>
                <w:szCs w:val="24"/>
                <w:lang w:val="en-US" w:eastAsia="zh-CN"/>
              </w:rPr>
              <w:t>于</w:t>
            </w:r>
            <w:r>
              <w:rPr>
                <w:rFonts w:hint="eastAsia"/>
                <w:color w:val="auto"/>
                <w:szCs w:val="24"/>
                <w:lang w:eastAsia="zh-CN"/>
              </w:rPr>
              <w:t>云南省寻甸县柯渡黄龙</w:t>
            </w:r>
            <w:r>
              <w:rPr>
                <w:rFonts w:hint="eastAsia"/>
                <w:color w:val="auto"/>
                <w:szCs w:val="24"/>
                <w:lang w:val="en-US" w:eastAsia="zh-CN"/>
              </w:rPr>
              <w:t>溏</w:t>
            </w:r>
            <w:r>
              <w:rPr>
                <w:rFonts w:hint="eastAsia"/>
                <w:color w:val="auto"/>
                <w:szCs w:val="24"/>
                <w:lang w:eastAsia="zh-CN"/>
              </w:rPr>
              <w:t>普通建筑材料用砂岩矿50万t/a扩建项</w:t>
            </w:r>
            <w:r>
              <w:rPr>
                <w:rFonts w:hint="eastAsia"/>
                <w:color w:val="auto"/>
                <w:szCs w:val="24"/>
                <w:lang w:val="en-US" w:eastAsia="zh-CN"/>
              </w:rPr>
              <w:t>目用</w:t>
            </w:r>
            <w:r>
              <w:rPr>
                <w:rFonts w:hint="eastAsia"/>
                <w:color w:val="auto"/>
                <w:szCs w:val="24"/>
                <w:lang w:eastAsia="zh-CN"/>
              </w:rPr>
              <w:t>地范围是否涉及生态保护红线及城镇开发边界的情况说明》（</w:t>
            </w:r>
            <w:r>
              <w:rPr>
                <w:rFonts w:hint="eastAsia"/>
                <w:color w:val="auto"/>
                <w:szCs w:val="24"/>
                <w:lang w:val="en-US" w:eastAsia="zh-CN"/>
              </w:rPr>
              <w:t>见附件7</w:t>
            </w:r>
            <w:r>
              <w:rPr>
                <w:rFonts w:hint="eastAsia"/>
                <w:color w:val="auto"/>
                <w:szCs w:val="24"/>
                <w:lang w:eastAsia="zh-CN"/>
              </w:rPr>
              <w:t>）</w:t>
            </w:r>
            <w:r>
              <w:rPr>
                <w:rFonts w:hint="eastAsia"/>
                <w:color w:val="auto"/>
                <w:szCs w:val="24"/>
              </w:rPr>
              <w:t>，</w:t>
            </w:r>
            <w:r>
              <w:rPr>
                <w:color w:val="auto"/>
              </w:rPr>
              <w:t>项目</w:t>
            </w:r>
            <w:r>
              <w:rPr>
                <w:rFonts w:hint="eastAsia"/>
                <w:color w:val="auto"/>
                <w:lang w:val="en-US" w:eastAsia="zh-CN"/>
              </w:rPr>
              <w:t>用地范围不在</w:t>
            </w:r>
            <w:r>
              <w:rPr>
                <w:color w:val="auto"/>
              </w:rPr>
              <w:t>自然保护区、国家公园、</w:t>
            </w:r>
            <w:r>
              <w:rPr>
                <w:rFonts w:hint="eastAsia"/>
                <w:color w:val="auto"/>
              </w:rPr>
              <w:t>三江并流世界自然遗产地、风景名胜区、森林公</w:t>
            </w:r>
            <w:r>
              <w:rPr>
                <w:rFonts w:hint="eastAsia"/>
                <w:color w:val="auto"/>
                <w:lang w:val="en-US" w:eastAsia="zh-CN"/>
              </w:rPr>
              <w:t>园</w:t>
            </w:r>
            <w:r>
              <w:rPr>
                <w:rFonts w:hint="eastAsia"/>
                <w:color w:val="auto"/>
              </w:rPr>
              <w:t>、水资源保护区、地质公园、地质遗迹、不占生态红线、基本农田保护区</w:t>
            </w:r>
            <w:r>
              <w:rPr>
                <w:rFonts w:hint="eastAsia"/>
                <w:color w:val="auto"/>
                <w:lang w:eastAsia="zh-CN"/>
              </w:rPr>
              <w:t>，</w:t>
            </w:r>
            <w:r>
              <w:rPr>
                <w:rFonts w:hint="eastAsia"/>
                <w:color w:val="auto"/>
              </w:rPr>
              <w:t>建设项目压覆区</w:t>
            </w:r>
            <w:r>
              <w:rPr>
                <w:rFonts w:hint="eastAsia"/>
                <w:color w:val="auto"/>
                <w:lang w:eastAsia="zh-CN"/>
              </w:rPr>
              <w:t>，</w:t>
            </w:r>
            <w:r>
              <w:rPr>
                <w:rFonts w:hint="eastAsia"/>
                <w:color w:val="auto"/>
              </w:rPr>
              <w:t>矿产资源规划禁止区和</w:t>
            </w:r>
            <w:r>
              <w:rPr>
                <w:rFonts w:hint="eastAsia"/>
                <w:color w:val="auto"/>
                <w:lang w:val="en-US" w:eastAsia="zh-CN"/>
              </w:rPr>
              <w:t>限制区等重要地区范围内</w:t>
            </w:r>
            <w:r>
              <w:rPr>
                <w:rFonts w:hint="eastAsia"/>
                <w:color w:val="auto"/>
                <w:lang w:eastAsia="zh-CN"/>
              </w:rPr>
              <w:t>。</w:t>
            </w:r>
            <w:r>
              <w:rPr>
                <w:rFonts w:hint="eastAsia"/>
                <w:color w:val="auto"/>
                <w:lang w:val="en-US" w:eastAsia="zh-CN"/>
              </w:rPr>
              <w:t>项目评价区涉及永久基本农田，位于项目用地范围北侧，紧邻项目边界线距离约1m，项目与永久基本农田位置关系如下图。</w:t>
            </w:r>
          </w:p>
          <w:p w14:paraId="6EBE15B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default"/>
                <w:color w:val="auto"/>
                <w:lang w:val="en-US" w:eastAsia="zh-CN"/>
              </w:rPr>
            </w:pPr>
            <w:r>
              <w:rPr>
                <w:rFonts w:hint="default"/>
                <w:color w:val="auto"/>
                <w:lang w:val="en-US" w:eastAsia="zh-CN"/>
              </w:rPr>
              <w:drawing>
                <wp:inline distT="0" distB="0" distL="114300" distR="114300">
                  <wp:extent cx="4662170" cy="3173730"/>
                  <wp:effectExtent l="0" t="0" r="0" b="0"/>
                  <wp:docPr id="12" name="图片 12" descr="项目与永久基本农田位置关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项目与永久基本农田位置关系"/>
                          <pic:cNvPicPr>
                            <a:picLocks noChangeAspect="1"/>
                          </pic:cNvPicPr>
                        </pic:nvPicPr>
                        <pic:blipFill>
                          <a:blip r:embed="rId21"/>
                          <a:srcRect l="3019" t="4919" r="3452" b="5027"/>
                          <a:stretch>
                            <a:fillRect/>
                          </a:stretch>
                        </pic:blipFill>
                        <pic:spPr>
                          <a:xfrm>
                            <a:off x="0" y="0"/>
                            <a:ext cx="4662170" cy="3173730"/>
                          </a:xfrm>
                          <a:prstGeom prst="rect">
                            <a:avLst/>
                          </a:prstGeom>
                        </pic:spPr>
                      </pic:pic>
                    </a:graphicData>
                  </a:graphic>
                </wp:inline>
              </w:drawing>
            </w:r>
          </w:p>
          <w:p w14:paraId="5CF32E3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color w:val="auto"/>
                <w:lang w:val="en-US" w:eastAsia="zh-CN"/>
              </w:rPr>
            </w:pPr>
            <w:r>
              <w:rPr>
                <w:rFonts w:hint="eastAsia"/>
                <w:color w:val="auto"/>
                <w:lang w:val="en-US" w:eastAsia="zh-CN"/>
              </w:rPr>
              <w:t>图3-3项目与永久基本农田位置关系图</w:t>
            </w:r>
          </w:p>
          <w:p w14:paraId="6D69DCED">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三、环境空气质量现状</w:t>
            </w:r>
          </w:p>
          <w:p w14:paraId="114D54BB">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1、达标区判定</w:t>
            </w:r>
          </w:p>
          <w:p w14:paraId="5EB83B4F">
            <w:pPr>
              <w:ind w:firstLine="480"/>
              <w:rPr>
                <w:rFonts w:hint="default" w:ascii="Times New Roman" w:hAnsi="Times New Roman" w:cs="Times New Roman"/>
                <w:color w:val="auto"/>
                <w:highlight w:val="none"/>
                <w:lang w:val="zh-CN"/>
              </w:rPr>
            </w:pPr>
            <w:r>
              <w:rPr>
                <w:rFonts w:hint="default" w:ascii="Times New Roman" w:hAnsi="Times New Roman" w:cs="Times New Roman"/>
                <w:color w:val="auto"/>
                <w:highlight w:val="none"/>
              </w:rPr>
              <w:t>本项目位于寻甸县柯渡镇乐郎村委会稗子田村境内，</w:t>
            </w:r>
            <w:r>
              <w:rPr>
                <w:rFonts w:hint="default" w:ascii="Times New Roman" w:hAnsi="Times New Roman" w:cs="Times New Roman"/>
                <w:color w:val="auto"/>
                <w:highlight w:val="none"/>
                <w:lang w:val="zh-CN"/>
              </w:rPr>
              <w:t>属于环境空气功能二类区，环境空气质量执行</w:t>
            </w:r>
            <w:r>
              <w:rPr>
                <w:rFonts w:hint="default" w:ascii="Times New Roman" w:hAnsi="Times New Roman" w:eastAsia="宋体" w:cs="Times New Roman"/>
                <w:caps w:val="0"/>
                <w:smallCaps w:val="0"/>
                <w:color w:val="auto"/>
                <w:spacing w:val="-2"/>
                <w:sz w:val="24"/>
                <w:szCs w:val="24"/>
                <w:highlight w:val="none"/>
              </w:rPr>
              <w:t>《环境空气质量标准》（GB3095-2026） 中过渡阶段浓度限值的二级标准要求</w:t>
            </w:r>
            <w:r>
              <w:rPr>
                <w:rFonts w:hint="default" w:ascii="Times New Roman" w:hAnsi="Times New Roman" w:cs="Times New Roman"/>
                <w:color w:val="auto"/>
                <w:highlight w:val="none"/>
                <w:lang w:val="zh-CN"/>
              </w:rPr>
              <w:t>。</w:t>
            </w:r>
          </w:p>
          <w:p w14:paraId="1B01CC98">
            <w:pPr>
              <w:adjustRightInd w:val="0"/>
              <w:snapToGrid w:val="0"/>
              <w:spacing w:line="360" w:lineRule="auto"/>
              <w:ind w:firstLine="480" w:firstLineChars="200"/>
              <w:rPr>
                <w:rFonts w:hint="default" w:ascii="Times New Roman" w:hAnsi="Times New Roman" w:eastAsia="宋体" w:cs="Times New Roman"/>
                <w:caps w:val="0"/>
                <w:smallCaps w:val="0"/>
                <w:color w:val="auto"/>
                <w:sz w:val="24"/>
                <w:highlight w:val="none"/>
                <w:lang w:val="zh-CN" w:eastAsia="zh-CN"/>
              </w:rPr>
            </w:pPr>
            <w:r>
              <w:rPr>
                <w:rFonts w:hint="default" w:ascii="Times New Roman" w:hAnsi="Times New Roman" w:eastAsia="宋体" w:cs="Times New Roman"/>
                <w:caps w:val="0"/>
                <w:smallCaps w:val="0"/>
                <w:color w:val="auto"/>
                <w:sz w:val="24"/>
                <w:highlight w:val="none"/>
              </w:rPr>
              <w:t>本次评价收集了寻甸县监测站2025年1月1日-2025年12月31日的监测数据，并根据收集的资料统计分析，站点统计数据的平均值统计结果如下：</w:t>
            </w:r>
          </w:p>
          <w:p w14:paraId="63ACFA12">
            <w:pPr>
              <w:bidi w:val="0"/>
              <w:spacing w:line="36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cs="Times New Roman"/>
                <w:b/>
                <w:bCs/>
                <w:caps w:val="0"/>
                <w:smallCaps w:val="0"/>
                <w:color w:val="auto"/>
                <w:sz w:val="21"/>
                <w:szCs w:val="21"/>
                <w:highlight w:val="none"/>
                <w:lang w:val="en-US" w:eastAsia="zh-CN"/>
              </w:rPr>
              <w:t>表4.2-1 寻甸县监测站2025年环境空气质量现状评价表</w:t>
            </w:r>
            <w:r>
              <w:rPr>
                <w:rFonts w:hint="default" w:ascii="Times New Roman" w:hAnsi="Times New Roman" w:cs="Times New Roman"/>
                <w:color w:val="auto"/>
                <w:highlight w:val="none"/>
              </w:rPr>
              <w:drawing>
                <wp:inline distT="0" distB="0" distL="114300" distR="114300">
                  <wp:extent cx="4954270" cy="2171700"/>
                  <wp:effectExtent l="0" t="0" r="13970" b="7620"/>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22"/>
                          <a:stretch>
                            <a:fillRect/>
                          </a:stretch>
                        </pic:blipFill>
                        <pic:spPr>
                          <a:xfrm>
                            <a:off x="0" y="0"/>
                            <a:ext cx="4954270" cy="2171700"/>
                          </a:xfrm>
                          <a:prstGeom prst="rect">
                            <a:avLst/>
                          </a:prstGeom>
                          <a:noFill/>
                          <a:ln>
                            <a:noFill/>
                          </a:ln>
                        </pic:spPr>
                      </pic:pic>
                    </a:graphicData>
                  </a:graphic>
                </wp:inline>
              </w:drawing>
            </w:r>
          </w:p>
          <w:p w14:paraId="0F919357">
            <w:pPr>
              <w:adjustRightInd w:val="0"/>
              <w:snapToGrid w:val="0"/>
              <w:spacing w:line="360" w:lineRule="auto"/>
              <w:ind w:firstLine="472" w:firstLineChars="200"/>
              <w:rPr>
                <w:rFonts w:hint="default" w:ascii="Times New Roman" w:hAnsi="Times New Roman" w:eastAsia="宋体" w:cs="Times New Roman"/>
                <w:caps w:val="0"/>
                <w:smallCaps w:val="0"/>
                <w:color w:val="auto"/>
                <w:spacing w:val="-2"/>
                <w:sz w:val="24"/>
                <w:szCs w:val="24"/>
                <w:highlight w:val="none"/>
              </w:rPr>
            </w:pPr>
            <w:r>
              <w:rPr>
                <w:rFonts w:hint="default" w:ascii="Times New Roman" w:hAnsi="Times New Roman" w:eastAsia="宋体" w:cs="Times New Roman"/>
                <w:caps w:val="0"/>
                <w:smallCaps w:val="0"/>
                <w:color w:val="auto"/>
                <w:spacing w:val="-2"/>
                <w:sz w:val="24"/>
                <w:szCs w:val="24"/>
                <w:highlight w:val="none"/>
              </w:rPr>
              <w:t>由上表可知：项目所在区域大气环境SO</w:t>
            </w:r>
            <w:r>
              <w:rPr>
                <w:rFonts w:hint="default" w:ascii="Times New Roman" w:hAnsi="Times New Roman" w:eastAsia="宋体" w:cs="Times New Roman"/>
                <w:caps w:val="0"/>
                <w:smallCaps w:val="0"/>
                <w:color w:val="auto"/>
                <w:spacing w:val="-2"/>
                <w:sz w:val="24"/>
                <w:szCs w:val="24"/>
                <w:highlight w:val="none"/>
                <w:vertAlign w:val="subscript"/>
              </w:rPr>
              <w:t>2</w:t>
            </w:r>
            <w:r>
              <w:rPr>
                <w:rFonts w:hint="default" w:ascii="Times New Roman" w:hAnsi="Times New Roman" w:eastAsia="宋体" w:cs="Times New Roman"/>
                <w:caps w:val="0"/>
                <w:smallCaps w:val="0"/>
                <w:color w:val="auto"/>
                <w:spacing w:val="-2"/>
                <w:sz w:val="24"/>
                <w:szCs w:val="24"/>
                <w:highlight w:val="none"/>
              </w:rPr>
              <w:t>、NO</w:t>
            </w:r>
            <w:r>
              <w:rPr>
                <w:rFonts w:hint="default" w:ascii="Times New Roman" w:hAnsi="Times New Roman" w:eastAsia="宋体" w:cs="Times New Roman"/>
                <w:caps w:val="0"/>
                <w:smallCaps w:val="0"/>
                <w:color w:val="auto"/>
                <w:spacing w:val="-2"/>
                <w:sz w:val="24"/>
                <w:szCs w:val="24"/>
                <w:highlight w:val="none"/>
                <w:vertAlign w:val="subscript"/>
              </w:rPr>
              <w:t>2</w:t>
            </w:r>
            <w:r>
              <w:rPr>
                <w:rFonts w:hint="default" w:ascii="Times New Roman" w:hAnsi="Times New Roman" w:eastAsia="宋体" w:cs="Times New Roman"/>
                <w:caps w:val="0"/>
                <w:smallCaps w:val="0"/>
                <w:color w:val="auto"/>
                <w:spacing w:val="-2"/>
                <w:sz w:val="24"/>
                <w:szCs w:val="24"/>
                <w:highlight w:val="none"/>
              </w:rPr>
              <w:t>、PM</w:t>
            </w:r>
            <w:r>
              <w:rPr>
                <w:rFonts w:hint="default" w:ascii="Times New Roman" w:hAnsi="Times New Roman" w:eastAsia="宋体" w:cs="Times New Roman"/>
                <w:caps w:val="0"/>
                <w:smallCaps w:val="0"/>
                <w:color w:val="auto"/>
                <w:spacing w:val="-2"/>
                <w:sz w:val="24"/>
                <w:szCs w:val="24"/>
                <w:highlight w:val="none"/>
                <w:vertAlign w:val="subscript"/>
              </w:rPr>
              <w:t>10</w:t>
            </w:r>
            <w:r>
              <w:rPr>
                <w:rFonts w:hint="default" w:ascii="Times New Roman" w:hAnsi="Times New Roman" w:eastAsia="宋体" w:cs="Times New Roman"/>
                <w:caps w:val="0"/>
                <w:smallCaps w:val="0"/>
                <w:color w:val="auto"/>
                <w:spacing w:val="-2"/>
                <w:sz w:val="24"/>
                <w:szCs w:val="24"/>
                <w:highlight w:val="none"/>
              </w:rPr>
              <w:t>、PM</w:t>
            </w:r>
            <w:r>
              <w:rPr>
                <w:rFonts w:hint="default" w:ascii="Times New Roman" w:hAnsi="Times New Roman" w:eastAsia="宋体" w:cs="Times New Roman"/>
                <w:caps w:val="0"/>
                <w:smallCaps w:val="0"/>
                <w:color w:val="auto"/>
                <w:spacing w:val="-2"/>
                <w:sz w:val="24"/>
                <w:szCs w:val="24"/>
                <w:highlight w:val="none"/>
                <w:vertAlign w:val="subscript"/>
              </w:rPr>
              <w:t>2.5</w:t>
            </w:r>
            <w:r>
              <w:rPr>
                <w:rFonts w:hint="default" w:ascii="Times New Roman" w:hAnsi="Times New Roman" w:eastAsia="宋体" w:cs="Times New Roman"/>
                <w:caps w:val="0"/>
                <w:smallCaps w:val="0"/>
                <w:color w:val="auto"/>
                <w:spacing w:val="-2"/>
                <w:sz w:val="24"/>
                <w:szCs w:val="24"/>
                <w:highlight w:val="none"/>
              </w:rPr>
              <w:t>的年平均质量浓度及保证率日平均质量浓度均满足《环境空气质量标准》（GB3095-2026）中 过渡阶段浓度限值的二级标准要求。CO的保证率日平均质量浓度和O</w:t>
            </w:r>
            <w:r>
              <w:rPr>
                <w:rFonts w:hint="default" w:ascii="Times New Roman" w:hAnsi="Times New Roman" w:eastAsia="宋体" w:cs="Times New Roman"/>
                <w:caps w:val="0"/>
                <w:smallCaps w:val="0"/>
                <w:color w:val="auto"/>
                <w:spacing w:val="-2"/>
                <w:sz w:val="24"/>
                <w:szCs w:val="24"/>
                <w:highlight w:val="none"/>
                <w:vertAlign w:val="subscript"/>
              </w:rPr>
              <w:t>3</w:t>
            </w:r>
            <w:r>
              <w:rPr>
                <w:rFonts w:hint="default" w:ascii="Times New Roman" w:hAnsi="Times New Roman" w:eastAsia="宋体" w:cs="Times New Roman"/>
                <w:caps w:val="0"/>
                <w:smallCaps w:val="0"/>
                <w:color w:val="auto"/>
                <w:spacing w:val="-2"/>
                <w:sz w:val="24"/>
                <w:szCs w:val="24"/>
                <w:highlight w:val="none"/>
              </w:rPr>
              <w:t xml:space="preserve">8h平均浓度和其百分位数平均质量浓度值均可满足《环境空气质量标准》（GB3095-2026） 中过渡阶段浓度限值的二级标准要求。 </w:t>
            </w:r>
          </w:p>
          <w:p w14:paraId="45A17145">
            <w:pPr>
              <w:adjustRightInd w:val="0"/>
              <w:snapToGrid w:val="0"/>
              <w:spacing w:line="360" w:lineRule="auto"/>
              <w:ind w:firstLine="472" w:firstLineChars="200"/>
              <w:rPr>
                <w:rFonts w:hint="default" w:ascii="Times New Roman" w:hAnsi="Times New Roman" w:eastAsia="宋体" w:cs="Times New Roman"/>
                <w:caps w:val="0"/>
                <w:smallCaps w:val="0"/>
                <w:color w:val="auto"/>
                <w:spacing w:val="-2"/>
                <w:sz w:val="24"/>
                <w:szCs w:val="24"/>
                <w:highlight w:val="none"/>
                <w:lang w:val="en-US" w:eastAsia="zh-CN"/>
              </w:rPr>
            </w:pPr>
            <w:r>
              <w:rPr>
                <w:rFonts w:hint="default" w:ascii="Times New Roman" w:hAnsi="Times New Roman" w:eastAsia="宋体" w:cs="Times New Roman"/>
                <w:caps w:val="0"/>
                <w:smallCaps w:val="0"/>
                <w:color w:val="auto"/>
                <w:spacing w:val="-2"/>
                <w:sz w:val="24"/>
                <w:szCs w:val="24"/>
                <w:highlight w:val="none"/>
              </w:rPr>
              <w:t>综上，项目所在区域为环境空气质量达标区。</w:t>
            </w:r>
          </w:p>
          <w:p w14:paraId="0876B461">
            <w:pPr>
              <w:adjustRightInd w:val="0"/>
              <w:ind w:right="113" w:rightChars="47"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2、特征因子环境质量现状</w:t>
            </w:r>
          </w:p>
          <w:p w14:paraId="615D7F4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cs="Times New Roman"/>
                <w:color w:val="auto"/>
                <w:highlight w:val="none"/>
              </w:rPr>
              <w:t>本项目特征污染物为颗粒物，</w:t>
            </w:r>
            <w:r>
              <w:rPr>
                <w:rFonts w:hint="default" w:ascii="Times New Roman" w:hAnsi="Times New Roman" w:eastAsia="宋体" w:cs="Times New Roman"/>
                <w:color w:val="auto"/>
                <w:kern w:val="0"/>
                <w:sz w:val="24"/>
                <w:szCs w:val="24"/>
                <w:highlight w:val="none"/>
                <w:lang w:val="en-US" w:eastAsia="zh-CN" w:bidi="ar-SA"/>
              </w:rPr>
              <w:t>为了解项目区特征污染物的颗粒物环境质量现状，建设单位委托云南鼎祺检测有限公司于202</w:t>
            </w:r>
            <w:r>
              <w:rPr>
                <w:rFonts w:hint="eastAsia" w:cs="Times New Roman"/>
                <w:color w:val="auto"/>
                <w:kern w:val="0"/>
                <w:sz w:val="24"/>
                <w:szCs w:val="24"/>
                <w:highlight w:val="none"/>
                <w:lang w:val="en-US" w:eastAsia="zh-CN" w:bidi="ar-SA"/>
              </w:rPr>
              <w:t>6</w:t>
            </w:r>
            <w:r>
              <w:rPr>
                <w:rFonts w:hint="default" w:ascii="Times New Roman" w:hAnsi="Times New Roman" w:eastAsia="宋体" w:cs="Times New Roman"/>
                <w:color w:val="auto"/>
                <w:kern w:val="0"/>
                <w:sz w:val="24"/>
                <w:szCs w:val="24"/>
                <w:highlight w:val="none"/>
                <w:lang w:val="en-US" w:eastAsia="zh-CN" w:bidi="ar-SA"/>
              </w:rPr>
              <w:t>年</w:t>
            </w:r>
            <w:r>
              <w:rPr>
                <w:rFonts w:hint="eastAsia" w:cs="Times New Roman"/>
                <w:color w:val="auto"/>
                <w:kern w:val="0"/>
                <w:sz w:val="24"/>
                <w:szCs w:val="24"/>
                <w:highlight w:val="none"/>
                <w:lang w:val="en-US" w:eastAsia="zh-CN" w:bidi="ar-SA"/>
              </w:rPr>
              <w:t>7</w:t>
            </w:r>
            <w:r>
              <w:rPr>
                <w:rFonts w:hint="default" w:ascii="Times New Roman" w:hAnsi="Times New Roman" w:eastAsia="宋体" w:cs="Times New Roman"/>
                <w:color w:val="auto"/>
                <w:kern w:val="0"/>
                <w:sz w:val="24"/>
                <w:szCs w:val="24"/>
                <w:highlight w:val="none"/>
                <w:lang w:val="en-US" w:eastAsia="zh-CN" w:bidi="ar-SA"/>
              </w:rPr>
              <w:t>月</w:t>
            </w:r>
            <w:r>
              <w:rPr>
                <w:rFonts w:hint="eastAsia" w:cs="Times New Roman"/>
                <w:color w:val="auto"/>
                <w:kern w:val="0"/>
                <w:sz w:val="24"/>
                <w:szCs w:val="24"/>
                <w:highlight w:val="none"/>
                <w:lang w:val="en-US" w:eastAsia="zh-CN" w:bidi="ar-SA"/>
              </w:rPr>
              <w:t>25</w:t>
            </w:r>
            <w:r>
              <w:rPr>
                <w:rFonts w:hint="default" w:ascii="Times New Roman" w:hAnsi="Times New Roman" w:eastAsia="宋体" w:cs="Times New Roman"/>
                <w:color w:val="auto"/>
                <w:kern w:val="0"/>
                <w:sz w:val="24"/>
                <w:szCs w:val="24"/>
                <w:highlight w:val="none"/>
                <w:lang w:val="en-US" w:eastAsia="zh-CN" w:bidi="ar-SA"/>
              </w:rPr>
              <w:t>日~</w:t>
            </w:r>
            <w:r>
              <w:rPr>
                <w:rFonts w:hint="eastAsia" w:cs="Times New Roman"/>
                <w:color w:val="auto"/>
                <w:kern w:val="0"/>
                <w:sz w:val="24"/>
                <w:szCs w:val="24"/>
                <w:highlight w:val="none"/>
                <w:lang w:val="en-US" w:eastAsia="zh-CN" w:bidi="ar-SA"/>
              </w:rPr>
              <w:t>28</w:t>
            </w:r>
            <w:r>
              <w:rPr>
                <w:rFonts w:hint="default" w:ascii="Times New Roman" w:hAnsi="Times New Roman" w:eastAsia="宋体" w:cs="Times New Roman"/>
                <w:color w:val="auto"/>
                <w:kern w:val="0"/>
                <w:sz w:val="24"/>
                <w:szCs w:val="24"/>
                <w:highlight w:val="none"/>
                <w:lang w:val="en-US" w:eastAsia="zh-CN" w:bidi="ar-SA"/>
              </w:rPr>
              <w:t>日对项目区下风向进行了为期3天的监测，监测结果如下表所示：</w:t>
            </w:r>
          </w:p>
          <w:p w14:paraId="0E1537D9">
            <w:pPr>
              <w:spacing w:line="360" w:lineRule="auto"/>
              <w:jc w:val="center"/>
              <w:rPr>
                <w:rFonts w:hint="default" w:ascii="Times New Roman" w:hAnsi="Times New Roman" w:eastAsia="黑体" w:cs="Times New Roman"/>
                <w:color w:val="auto"/>
                <w:spacing w:val="6"/>
                <w:sz w:val="20"/>
                <w:szCs w:val="20"/>
                <w:highlight w:val="none"/>
              </w:rPr>
            </w:pPr>
            <w:r>
              <w:rPr>
                <w:rFonts w:hint="default" w:ascii="Times New Roman" w:hAnsi="Times New Roman" w:eastAsia="宋体" w:cs="Times New Roman"/>
                <w:b/>
                <w:bCs/>
                <w:color w:val="auto"/>
                <w:spacing w:val="6"/>
                <w:sz w:val="21"/>
                <w:szCs w:val="21"/>
                <w:highlight w:val="none"/>
              </w:rPr>
              <w:t>表</w:t>
            </w:r>
            <w:r>
              <w:rPr>
                <w:rFonts w:hint="default" w:ascii="Times New Roman" w:hAnsi="Times New Roman" w:eastAsia="宋体" w:cs="Times New Roman"/>
                <w:b/>
                <w:bCs/>
                <w:color w:val="auto"/>
                <w:spacing w:val="-35"/>
                <w:sz w:val="21"/>
                <w:szCs w:val="21"/>
                <w:highlight w:val="none"/>
              </w:rPr>
              <w:t xml:space="preserve"> </w:t>
            </w:r>
            <w:r>
              <w:rPr>
                <w:rFonts w:hint="default" w:ascii="Times New Roman" w:hAnsi="Times New Roman" w:eastAsia="宋体" w:cs="Times New Roman"/>
                <w:b/>
                <w:bCs/>
                <w:color w:val="auto"/>
                <w:spacing w:val="6"/>
                <w:sz w:val="21"/>
                <w:szCs w:val="21"/>
                <w:highlight w:val="none"/>
              </w:rPr>
              <w:t>3-</w:t>
            </w:r>
            <w:r>
              <w:rPr>
                <w:rFonts w:hint="default" w:ascii="Times New Roman" w:hAnsi="Times New Roman" w:eastAsia="宋体" w:cs="Times New Roman"/>
                <w:b/>
                <w:bCs/>
                <w:color w:val="auto"/>
                <w:spacing w:val="6"/>
                <w:sz w:val="21"/>
                <w:szCs w:val="21"/>
                <w:highlight w:val="none"/>
                <w:lang w:val="en-US" w:eastAsia="zh-CN"/>
              </w:rPr>
              <w:t>1</w:t>
            </w:r>
            <w:r>
              <w:rPr>
                <w:rFonts w:hint="default" w:ascii="Times New Roman" w:hAnsi="Times New Roman" w:eastAsia="宋体" w:cs="Times New Roman"/>
                <w:b/>
                <w:bCs/>
                <w:color w:val="auto"/>
                <w:spacing w:val="6"/>
                <w:sz w:val="21"/>
                <w:szCs w:val="21"/>
                <w:highlight w:val="none"/>
              </w:rPr>
              <w:t xml:space="preserve"> 环境空气日均值检测结果一览表</w:t>
            </w:r>
          </w:p>
          <w:tbl>
            <w:tblPr>
              <w:tblStyle w:val="70"/>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6"/>
              <w:gridCol w:w="3676"/>
              <w:gridCol w:w="1289"/>
              <w:gridCol w:w="1027"/>
              <w:gridCol w:w="789"/>
            </w:tblGrid>
            <w:tr w14:paraId="3A698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6" w:hRule="atLeast"/>
              </w:trPr>
              <w:tc>
                <w:tcPr>
                  <w:tcW w:w="679" w:type="pct"/>
                  <w:vAlign w:val="center"/>
                </w:tcPr>
                <w:p w14:paraId="283007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监测项目</w:t>
                  </w:r>
                </w:p>
              </w:tc>
              <w:tc>
                <w:tcPr>
                  <w:tcW w:w="2342" w:type="pct"/>
                  <w:vAlign w:val="center"/>
                </w:tcPr>
                <w:p w14:paraId="3DC660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采样时间</w:t>
                  </w:r>
                </w:p>
              </w:tc>
              <w:tc>
                <w:tcPr>
                  <w:tcW w:w="821" w:type="pct"/>
                  <w:vAlign w:val="center"/>
                </w:tcPr>
                <w:p w14:paraId="19F19C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项目区下风向</w:t>
                  </w:r>
                  <w:r>
                    <w:rPr>
                      <w:rFonts w:hint="default" w:ascii="Times New Roman" w:hAnsi="Times New Roman" w:eastAsia="宋体" w:cs="Times New Roman"/>
                      <w:color w:val="auto"/>
                      <w:sz w:val="18"/>
                      <w:szCs w:val="18"/>
                      <w:highlight w:val="none"/>
                    </w:rPr>
                    <w:t>现状监测值</w:t>
                  </w:r>
                </w:p>
              </w:tc>
              <w:tc>
                <w:tcPr>
                  <w:tcW w:w="654" w:type="pct"/>
                  <w:vAlign w:val="center"/>
                </w:tcPr>
                <w:p w14:paraId="318606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标准值</w:t>
                  </w:r>
                </w:p>
              </w:tc>
              <w:tc>
                <w:tcPr>
                  <w:tcW w:w="502" w:type="pct"/>
                  <w:vAlign w:val="center"/>
                </w:tcPr>
                <w:p w14:paraId="472924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达标情况</w:t>
                  </w:r>
                </w:p>
              </w:tc>
            </w:tr>
            <w:tr w14:paraId="4FE7B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79" w:type="pct"/>
                  <w:vMerge w:val="restart"/>
                  <w:tcBorders>
                    <w:bottom w:val="nil"/>
                  </w:tcBorders>
                  <w:vAlign w:val="center"/>
                </w:tcPr>
                <w:p w14:paraId="41816E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总悬浮颗粒 物</w:t>
                  </w:r>
                </w:p>
              </w:tc>
              <w:tc>
                <w:tcPr>
                  <w:tcW w:w="2342" w:type="pct"/>
                  <w:vAlign w:val="center"/>
                </w:tcPr>
                <w:p w14:paraId="7E7DF0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202</w:t>
                  </w:r>
                  <w:r>
                    <w:rPr>
                      <w:rFonts w:hint="eastAsia" w:cs="Times New Roman"/>
                      <w:color w:val="auto"/>
                      <w:sz w:val="18"/>
                      <w:szCs w:val="18"/>
                      <w:highlight w:val="none"/>
                      <w:lang w:val="en-US" w:eastAsia="zh-CN"/>
                    </w:rPr>
                    <w:t>6</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07</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25</w:t>
                  </w:r>
                  <w:r>
                    <w:rPr>
                      <w:rFonts w:hint="default" w:ascii="Times New Roman" w:hAnsi="Times New Roman" w:eastAsia="宋体" w:cs="Times New Roman"/>
                      <w:color w:val="auto"/>
                      <w:sz w:val="18"/>
                      <w:szCs w:val="18"/>
                      <w:highlight w:val="none"/>
                      <w:lang w:val="en-US" w:eastAsia="zh-CN"/>
                    </w:rPr>
                    <w:t>(0</w:t>
                  </w:r>
                  <w:r>
                    <w:rPr>
                      <w:rFonts w:hint="eastAsia"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lang w:val="en-US" w:eastAsia="zh-CN"/>
                    </w:rPr>
                    <w:t>:00)~202</w:t>
                  </w:r>
                  <w:r>
                    <w:rPr>
                      <w:rFonts w:hint="eastAsia" w:cs="Times New Roman"/>
                      <w:color w:val="auto"/>
                      <w:sz w:val="18"/>
                      <w:szCs w:val="18"/>
                      <w:highlight w:val="none"/>
                      <w:lang w:val="en-US" w:eastAsia="zh-CN"/>
                    </w:rPr>
                    <w:t>6</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07</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26</w:t>
                  </w:r>
                  <w:r>
                    <w:rPr>
                      <w:rFonts w:hint="default" w:ascii="Times New Roman" w:hAnsi="Times New Roman" w:eastAsia="宋体" w:cs="Times New Roman"/>
                      <w:color w:val="auto"/>
                      <w:sz w:val="18"/>
                      <w:szCs w:val="18"/>
                      <w:highlight w:val="none"/>
                      <w:lang w:val="en-US" w:eastAsia="zh-CN"/>
                    </w:rPr>
                    <w:t>(0</w:t>
                  </w:r>
                  <w:r>
                    <w:rPr>
                      <w:rFonts w:hint="eastAsia"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lang w:val="en-US" w:eastAsia="zh-CN"/>
                    </w:rPr>
                    <w:t>:00)</w:t>
                  </w:r>
                </w:p>
              </w:tc>
              <w:tc>
                <w:tcPr>
                  <w:tcW w:w="821" w:type="pct"/>
                  <w:vAlign w:val="center"/>
                </w:tcPr>
                <w:p w14:paraId="7E026F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156</w:t>
                  </w:r>
                  <w:r>
                    <w:rPr>
                      <w:rFonts w:hint="default" w:ascii="Times New Roman" w:hAnsi="Times New Roman" w:eastAsia="宋体" w:cs="Times New Roman"/>
                      <w:color w:val="auto"/>
                      <w:sz w:val="18"/>
                      <w:szCs w:val="18"/>
                      <w:highlight w:val="none"/>
                      <w:lang w:val="en-US" w:eastAsia="zh-CN"/>
                    </w:rPr>
                    <w:t>μg/m</w:t>
                  </w:r>
                  <w:r>
                    <w:rPr>
                      <w:rFonts w:hint="default" w:ascii="Times New Roman" w:hAnsi="Times New Roman" w:eastAsia="宋体" w:cs="Times New Roman"/>
                      <w:color w:val="auto"/>
                      <w:sz w:val="18"/>
                      <w:szCs w:val="18"/>
                      <w:highlight w:val="none"/>
                      <w:vertAlign w:val="superscript"/>
                      <w:lang w:val="en-US" w:eastAsia="zh-CN"/>
                    </w:rPr>
                    <w:t>3</w:t>
                  </w:r>
                </w:p>
              </w:tc>
              <w:tc>
                <w:tcPr>
                  <w:tcW w:w="654" w:type="pct"/>
                  <w:vMerge w:val="restart"/>
                  <w:tcBorders>
                    <w:bottom w:val="nil"/>
                  </w:tcBorders>
                  <w:vAlign w:val="center"/>
                </w:tcPr>
                <w:p w14:paraId="754547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p>
                <w:p w14:paraId="25D1870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300μg/m</w:t>
                  </w:r>
                  <w:r>
                    <w:rPr>
                      <w:rFonts w:hint="default" w:ascii="Times New Roman" w:hAnsi="Times New Roman" w:eastAsia="宋体" w:cs="Times New Roman"/>
                      <w:color w:val="auto"/>
                      <w:sz w:val="18"/>
                      <w:szCs w:val="18"/>
                      <w:highlight w:val="none"/>
                      <w:vertAlign w:val="superscript"/>
                      <w:lang w:val="en-US" w:eastAsia="zh-CN"/>
                    </w:rPr>
                    <w:t>3</w:t>
                  </w:r>
                </w:p>
              </w:tc>
              <w:tc>
                <w:tcPr>
                  <w:tcW w:w="502" w:type="pct"/>
                  <w:vAlign w:val="center"/>
                </w:tcPr>
                <w:p w14:paraId="1C7C9F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达标</w:t>
                  </w:r>
                </w:p>
              </w:tc>
            </w:tr>
            <w:tr w14:paraId="7902E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79" w:type="pct"/>
                  <w:vMerge w:val="continue"/>
                  <w:tcBorders>
                    <w:top w:val="nil"/>
                    <w:bottom w:val="nil"/>
                  </w:tcBorders>
                  <w:vAlign w:val="center"/>
                </w:tcPr>
                <w:p w14:paraId="67A930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rPr>
                  </w:pPr>
                </w:p>
              </w:tc>
              <w:tc>
                <w:tcPr>
                  <w:tcW w:w="2342" w:type="pct"/>
                  <w:vAlign w:val="center"/>
                </w:tcPr>
                <w:p w14:paraId="238136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202</w:t>
                  </w:r>
                  <w:r>
                    <w:rPr>
                      <w:rFonts w:hint="eastAsia" w:cs="Times New Roman"/>
                      <w:color w:val="auto"/>
                      <w:sz w:val="18"/>
                      <w:szCs w:val="18"/>
                      <w:highlight w:val="none"/>
                      <w:lang w:val="en-US" w:eastAsia="zh-CN"/>
                    </w:rPr>
                    <w:t>6</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07</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26</w:t>
                  </w:r>
                  <w:r>
                    <w:rPr>
                      <w:rFonts w:hint="default" w:ascii="Times New Roman" w:hAnsi="Times New Roman" w:eastAsia="宋体" w:cs="Times New Roman"/>
                      <w:color w:val="auto"/>
                      <w:sz w:val="18"/>
                      <w:szCs w:val="18"/>
                      <w:highlight w:val="none"/>
                      <w:lang w:val="en-US" w:eastAsia="zh-CN"/>
                    </w:rPr>
                    <w:t>(0</w:t>
                  </w:r>
                  <w:r>
                    <w:rPr>
                      <w:rFonts w:hint="eastAsia"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lang w:val="en-US" w:eastAsia="zh-CN"/>
                    </w:rPr>
                    <w:t>:00)~202</w:t>
                  </w:r>
                  <w:r>
                    <w:rPr>
                      <w:rFonts w:hint="eastAsia" w:cs="Times New Roman"/>
                      <w:color w:val="auto"/>
                      <w:sz w:val="18"/>
                      <w:szCs w:val="18"/>
                      <w:highlight w:val="none"/>
                      <w:lang w:val="en-US" w:eastAsia="zh-CN"/>
                    </w:rPr>
                    <w:t>6</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07</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27</w:t>
                  </w:r>
                  <w:r>
                    <w:rPr>
                      <w:rFonts w:hint="default" w:ascii="Times New Roman" w:hAnsi="Times New Roman" w:eastAsia="宋体" w:cs="Times New Roman"/>
                      <w:color w:val="auto"/>
                      <w:sz w:val="18"/>
                      <w:szCs w:val="18"/>
                      <w:highlight w:val="none"/>
                      <w:lang w:val="en-US" w:eastAsia="zh-CN"/>
                    </w:rPr>
                    <w:t>(0</w:t>
                  </w:r>
                  <w:r>
                    <w:rPr>
                      <w:rFonts w:hint="eastAsia"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lang w:val="en-US" w:eastAsia="zh-CN"/>
                    </w:rPr>
                    <w:t>:00)</w:t>
                  </w:r>
                </w:p>
              </w:tc>
              <w:tc>
                <w:tcPr>
                  <w:tcW w:w="821" w:type="pct"/>
                  <w:vAlign w:val="center"/>
                </w:tcPr>
                <w:p w14:paraId="3F84B5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141</w:t>
                  </w:r>
                  <w:r>
                    <w:rPr>
                      <w:rFonts w:hint="default" w:ascii="Times New Roman" w:hAnsi="Times New Roman" w:eastAsia="宋体" w:cs="Times New Roman"/>
                      <w:color w:val="auto"/>
                      <w:sz w:val="18"/>
                      <w:szCs w:val="18"/>
                      <w:highlight w:val="none"/>
                      <w:lang w:val="en-US" w:eastAsia="zh-CN"/>
                    </w:rPr>
                    <w:t>μg/m</w:t>
                  </w:r>
                  <w:r>
                    <w:rPr>
                      <w:rFonts w:hint="default" w:ascii="Times New Roman" w:hAnsi="Times New Roman" w:eastAsia="宋体" w:cs="Times New Roman"/>
                      <w:color w:val="auto"/>
                      <w:sz w:val="18"/>
                      <w:szCs w:val="18"/>
                      <w:highlight w:val="none"/>
                      <w:vertAlign w:val="superscript"/>
                      <w:lang w:val="en-US" w:eastAsia="zh-CN"/>
                    </w:rPr>
                    <w:t>3</w:t>
                  </w:r>
                </w:p>
              </w:tc>
              <w:tc>
                <w:tcPr>
                  <w:tcW w:w="654" w:type="pct"/>
                  <w:vMerge w:val="continue"/>
                  <w:tcBorders>
                    <w:top w:val="nil"/>
                    <w:bottom w:val="nil"/>
                  </w:tcBorders>
                  <w:vAlign w:val="center"/>
                </w:tcPr>
                <w:p w14:paraId="203202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p>
              </w:tc>
              <w:tc>
                <w:tcPr>
                  <w:tcW w:w="502" w:type="pct"/>
                  <w:vAlign w:val="center"/>
                </w:tcPr>
                <w:p w14:paraId="4BBDBA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达标</w:t>
                  </w:r>
                </w:p>
              </w:tc>
            </w:tr>
            <w:tr w14:paraId="021F1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679" w:type="pct"/>
                  <w:vMerge w:val="continue"/>
                  <w:tcBorders>
                    <w:top w:val="nil"/>
                  </w:tcBorders>
                  <w:vAlign w:val="center"/>
                </w:tcPr>
                <w:p w14:paraId="52858E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rPr>
                  </w:pPr>
                </w:p>
              </w:tc>
              <w:tc>
                <w:tcPr>
                  <w:tcW w:w="2342" w:type="pct"/>
                  <w:vAlign w:val="center"/>
                </w:tcPr>
                <w:p w14:paraId="2C8B06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202</w:t>
                  </w:r>
                  <w:r>
                    <w:rPr>
                      <w:rFonts w:hint="eastAsia" w:cs="Times New Roman"/>
                      <w:color w:val="auto"/>
                      <w:sz w:val="18"/>
                      <w:szCs w:val="18"/>
                      <w:highlight w:val="none"/>
                      <w:lang w:val="en-US" w:eastAsia="zh-CN"/>
                    </w:rPr>
                    <w:t>6</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07</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27</w:t>
                  </w:r>
                  <w:r>
                    <w:rPr>
                      <w:rFonts w:hint="default" w:ascii="Times New Roman" w:hAnsi="Times New Roman" w:eastAsia="宋体" w:cs="Times New Roman"/>
                      <w:color w:val="auto"/>
                      <w:sz w:val="18"/>
                      <w:szCs w:val="18"/>
                      <w:highlight w:val="none"/>
                      <w:lang w:val="en-US" w:eastAsia="zh-CN"/>
                    </w:rPr>
                    <w:t>(0</w:t>
                  </w:r>
                  <w:r>
                    <w:rPr>
                      <w:rFonts w:hint="eastAsia"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lang w:val="en-US" w:eastAsia="zh-CN"/>
                    </w:rPr>
                    <w:t>:00)~202</w:t>
                  </w:r>
                  <w:r>
                    <w:rPr>
                      <w:rFonts w:hint="eastAsia" w:cs="Times New Roman"/>
                      <w:color w:val="auto"/>
                      <w:sz w:val="18"/>
                      <w:szCs w:val="18"/>
                      <w:highlight w:val="none"/>
                      <w:lang w:val="en-US" w:eastAsia="zh-CN"/>
                    </w:rPr>
                    <w:t>6</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07</w:t>
                  </w:r>
                  <w:r>
                    <w:rPr>
                      <w:rFonts w:hint="default" w:ascii="Times New Roman" w:hAnsi="Times New Roman" w:eastAsia="宋体" w:cs="Times New Roman"/>
                      <w:color w:val="auto"/>
                      <w:sz w:val="18"/>
                      <w:szCs w:val="18"/>
                      <w:highlight w:val="none"/>
                      <w:lang w:val="en-US" w:eastAsia="zh-CN"/>
                    </w:rPr>
                    <w:t>.</w:t>
                  </w:r>
                  <w:r>
                    <w:rPr>
                      <w:rFonts w:hint="eastAsia" w:cs="Times New Roman"/>
                      <w:color w:val="auto"/>
                      <w:sz w:val="18"/>
                      <w:szCs w:val="18"/>
                      <w:highlight w:val="none"/>
                      <w:lang w:val="en-US" w:eastAsia="zh-CN"/>
                    </w:rPr>
                    <w:t>28</w:t>
                  </w:r>
                  <w:r>
                    <w:rPr>
                      <w:rFonts w:hint="default" w:ascii="Times New Roman" w:hAnsi="Times New Roman" w:eastAsia="宋体" w:cs="Times New Roman"/>
                      <w:color w:val="auto"/>
                      <w:sz w:val="18"/>
                      <w:szCs w:val="18"/>
                      <w:highlight w:val="none"/>
                      <w:lang w:val="en-US" w:eastAsia="zh-CN"/>
                    </w:rPr>
                    <w:t>(0</w:t>
                  </w:r>
                  <w:r>
                    <w:rPr>
                      <w:rFonts w:hint="eastAsia"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lang w:val="en-US" w:eastAsia="zh-CN"/>
                    </w:rPr>
                    <w:t>:00)</w:t>
                  </w:r>
                </w:p>
              </w:tc>
              <w:tc>
                <w:tcPr>
                  <w:tcW w:w="821" w:type="pct"/>
                  <w:vAlign w:val="center"/>
                </w:tcPr>
                <w:p w14:paraId="4F3D1D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167</w:t>
                  </w:r>
                  <w:r>
                    <w:rPr>
                      <w:rFonts w:hint="default" w:ascii="Times New Roman" w:hAnsi="Times New Roman" w:eastAsia="宋体" w:cs="Times New Roman"/>
                      <w:color w:val="auto"/>
                      <w:sz w:val="18"/>
                      <w:szCs w:val="18"/>
                      <w:highlight w:val="none"/>
                      <w:lang w:val="en-US" w:eastAsia="zh-CN"/>
                    </w:rPr>
                    <w:t>μg/m</w:t>
                  </w:r>
                  <w:r>
                    <w:rPr>
                      <w:rFonts w:hint="default" w:ascii="Times New Roman" w:hAnsi="Times New Roman" w:eastAsia="宋体" w:cs="Times New Roman"/>
                      <w:color w:val="auto"/>
                      <w:sz w:val="18"/>
                      <w:szCs w:val="18"/>
                      <w:highlight w:val="none"/>
                      <w:vertAlign w:val="superscript"/>
                      <w:lang w:val="en-US" w:eastAsia="zh-CN"/>
                    </w:rPr>
                    <w:t>3</w:t>
                  </w:r>
                </w:p>
              </w:tc>
              <w:tc>
                <w:tcPr>
                  <w:tcW w:w="654" w:type="pct"/>
                  <w:vMerge w:val="continue"/>
                  <w:tcBorders>
                    <w:top w:val="nil"/>
                  </w:tcBorders>
                  <w:vAlign w:val="center"/>
                </w:tcPr>
                <w:p w14:paraId="11CAC0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p>
              </w:tc>
              <w:tc>
                <w:tcPr>
                  <w:tcW w:w="502" w:type="pct"/>
                  <w:vAlign w:val="center"/>
                </w:tcPr>
                <w:p w14:paraId="46EC36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达标</w:t>
                  </w:r>
                </w:p>
              </w:tc>
            </w:tr>
          </w:tbl>
          <w:p w14:paraId="6C916186">
            <w:pPr>
              <w:pStyle w:val="86"/>
              <w:rPr>
                <w:rFonts w:hint="default" w:ascii="Times New Roman" w:hAnsi="Times New Roman" w:cs="Times New Roman"/>
                <w:caps w:val="0"/>
                <w:smallCaps w:val="0"/>
                <w:color w:val="auto"/>
                <w:highlight w:val="none"/>
              </w:rPr>
            </w:pPr>
            <w:r>
              <w:rPr>
                <w:rFonts w:hint="default" w:ascii="Times New Roman" w:hAnsi="Times New Roman" w:cs="Times New Roman"/>
                <w:caps w:val="0"/>
                <w:smallCaps w:val="0"/>
                <w:color w:val="auto"/>
                <w:highlight w:val="none"/>
                <w:lang w:val="en-US" w:eastAsia="zh-CN"/>
              </w:rPr>
              <w:t>根据上表可知</w:t>
            </w:r>
            <w:r>
              <w:rPr>
                <w:rFonts w:hint="default" w:ascii="Times New Roman" w:hAnsi="Times New Roman" w:cs="Times New Roman"/>
                <w:caps w:val="0"/>
                <w:smallCaps w:val="0"/>
                <w:color w:val="auto"/>
                <w:highlight w:val="none"/>
                <w:lang w:eastAsia="zh-CN"/>
              </w:rPr>
              <w:t>，</w:t>
            </w:r>
            <w:r>
              <w:rPr>
                <w:rFonts w:hint="default" w:ascii="Times New Roman" w:hAnsi="Times New Roman" w:cs="Times New Roman"/>
                <w:caps w:val="0"/>
                <w:smallCaps w:val="0"/>
                <w:color w:val="auto"/>
                <w:sz w:val="24"/>
                <w:highlight w:val="none"/>
              </w:rPr>
              <w:t>项目所在地TSP的日均值满足《环境空气质量标准》（GB3095-20</w:t>
            </w:r>
            <w:r>
              <w:rPr>
                <w:rFonts w:hint="default" w:ascii="Times New Roman" w:hAnsi="Times New Roman" w:cs="Times New Roman"/>
                <w:caps w:val="0"/>
                <w:smallCaps w:val="0"/>
                <w:color w:val="auto"/>
                <w:sz w:val="24"/>
                <w:highlight w:val="none"/>
                <w:lang w:val="en-US" w:eastAsia="zh-CN"/>
              </w:rPr>
              <w:t>26</w:t>
            </w:r>
            <w:r>
              <w:rPr>
                <w:rFonts w:hint="default" w:ascii="Times New Roman" w:hAnsi="Times New Roman" w:cs="Times New Roman"/>
                <w:caps w:val="0"/>
                <w:smallCaps w:val="0"/>
                <w:color w:val="auto"/>
                <w:sz w:val="24"/>
                <w:highlight w:val="none"/>
              </w:rPr>
              <w:t>）</w:t>
            </w:r>
            <w:r>
              <w:rPr>
                <w:rFonts w:hint="default" w:ascii="Times New Roman" w:hAnsi="Times New Roman" w:cs="Times New Roman"/>
                <w:caps w:val="0"/>
                <w:smallCaps w:val="0"/>
                <w:color w:val="auto"/>
                <w:sz w:val="24"/>
                <w:highlight w:val="none"/>
                <w:lang w:val="en-US" w:eastAsia="zh-CN"/>
              </w:rPr>
              <w:t>过渡阶段</w:t>
            </w:r>
            <w:r>
              <w:rPr>
                <w:rFonts w:hint="default" w:ascii="Times New Roman" w:hAnsi="Times New Roman" w:cs="Times New Roman"/>
                <w:caps w:val="0"/>
                <w:smallCaps w:val="0"/>
                <w:color w:val="auto"/>
                <w:sz w:val="24"/>
                <w:highlight w:val="none"/>
              </w:rPr>
              <w:t>二级标准。</w:t>
            </w:r>
          </w:p>
          <w:p w14:paraId="32F51832">
            <w:pPr>
              <w:spacing w:line="362" w:lineRule="auto"/>
              <w:ind w:left="133" w:right="126" w:firstLine="471"/>
              <w:rPr>
                <w:rFonts w:hint="default" w:ascii="Times New Roman" w:hAnsi="Times New Roman" w:cs="Times New Roman"/>
                <w:caps w:val="0"/>
                <w:smallCaps w:val="0"/>
                <w:color w:val="auto"/>
                <w:highlight w:val="none"/>
              </w:rPr>
            </w:pPr>
            <w:r>
              <w:rPr>
                <w:rFonts w:hint="default" w:ascii="Times New Roman" w:hAnsi="Times New Roman" w:eastAsia="宋体" w:cs="Times New Roman"/>
                <w:caps w:val="0"/>
                <w:smallCaps w:val="0"/>
                <w:color w:val="auto"/>
                <w:spacing w:val="11"/>
                <w:sz w:val="24"/>
                <w:szCs w:val="24"/>
                <w:highlight w:val="none"/>
              </w:rPr>
              <w:t>综上所述，</w:t>
            </w:r>
            <w:r>
              <w:rPr>
                <w:rFonts w:hint="default" w:ascii="Times New Roman" w:hAnsi="Times New Roman" w:eastAsia="宋体" w:cs="Times New Roman"/>
                <w:caps w:val="0"/>
                <w:smallCaps w:val="0"/>
                <w:color w:val="auto"/>
                <w:spacing w:val="-1"/>
                <w:sz w:val="24"/>
                <w:szCs w:val="24"/>
                <w:highlight w:val="none"/>
              </w:rPr>
              <w:t>项目区域的大气环境质量良好。</w:t>
            </w:r>
          </w:p>
          <w:p w14:paraId="5E7BDF21">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四、地表水环境质量现状</w:t>
            </w:r>
          </w:p>
          <w:p w14:paraId="236311A8">
            <w:pPr>
              <w:adjustRightInd w:val="0"/>
              <w:snapToGrid w:val="0"/>
              <w:spacing w:line="360" w:lineRule="auto"/>
              <w:ind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cs="Times New Roman"/>
                <w:color w:val="auto"/>
                <w:highlight w:val="none"/>
              </w:rPr>
              <w:t>项目区域主要地表水为</w:t>
            </w:r>
            <w:r>
              <w:rPr>
                <w:rFonts w:hint="default" w:ascii="Times New Roman" w:hAnsi="Times New Roman" w:cs="Times New Roman"/>
                <w:color w:val="auto"/>
                <w:highlight w:val="none"/>
                <w:lang w:val="en-US" w:eastAsia="zh-CN"/>
              </w:rPr>
              <w:t>东北侧1700m的</w:t>
            </w:r>
            <w:r>
              <w:rPr>
                <w:rFonts w:hint="default" w:ascii="Times New Roman" w:hAnsi="Times New Roman" w:cs="Times New Roman"/>
                <w:color w:val="auto"/>
                <w:highlight w:val="none"/>
              </w:rPr>
              <w:t>小河箐，小河箐向</w:t>
            </w:r>
            <w:r>
              <w:rPr>
                <w:rFonts w:hint="default" w:ascii="Times New Roman" w:hAnsi="Times New Roman" w:cs="Times New Roman"/>
                <w:color w:val="auto"/>
                <w:highlight w:val="none"/>
                <w:lang w:val="en-US" w:eastAsia="zh-CN"/>
              </w:rPr>
              <w:t>东</w:t>
            </w:r>
            <w:r>
              <w:rPr>
                <w:rFonts w:hint="default" w:ascii="Times New Roman" w:hAnsi="Times New Roman" w:cs="Times New Roman"/>
                <w:color w:val="auto"/>
                <w:highlight w:val="none"/>
              </w:rPr>
              <w:t>南流经乐朗村后汇入柯渡河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柯渡河和可朗河交汇后称为木板河，最后汇入普渡河，项目区域水系属于普渡河流域</w:t>
            </w:r>
            <w:r>
              <w:rPr>
                <w:rFonts w:hint="default" w:ascii="Times New Roman" w:hAnsi="Times New Roman" w:cs="Times New Roman"/>
                <w:color w:val="auto"/>
                <w:highlight w:val="none"/>
              </w:rPr>
              <w:t>。</w:t>
            </w:r>
            <w:r>
              <w:rPr>
                <w:rFonts w:hint="default" w:ascii="Times New Roman" w:hAnsi="Times New Roman" w:eastAsia="宋体" w:cs="Times New Roman"/>
                <w:color w:val="auto"/>
                <w:kern w:val="0"/>
                <w:sz w:val="24"/>
                <w:szCs w:val="24"/>
                <w:highlight w:val="none"/>
                <w:lang w:val="en-US" w:eastAsia="zh-CN" w:bidi="ar"/>
              </w:rPr>
              <w:t>根据《昆明市和滇中产业新区水功能区划》（2011-2030年），项目区属于柯渡河两区-寻甸保留区。区域内以农村经济为主，农业耕作频繁，面源污染分散，难以控制，规划水平年水质保护目</w:t>
            </w:r>
            <w:r>
              <w:rPr>
                <w:rFonts w:hint="eastAsia" w:cs="Times New Roman"/>
                <w:color w:val="auto"/>
                <w:kern w:val="0"/>
                <w:sz w:val="24"/>
                <w:szCs w:val="24"/>
                <w:highlight w:val="none"/>
                <w:lang w:val="en-US" w:eastAsia="zh-CN" w:bidi="ar"/>
              </w:rPr>
              <w:t>标为</w:t>
            </w:r>
            <w:r>
              <w:rPr>
                <w:rFonts w:hint="default" w:ascii="Times New Roman" w:hAnsi="Times New Roman" w:eastAsia="宋体" w:cs="Times New Roman"/>
                <w:color w:val="auto"/>
                <w:kern w:val="0"/>
                <w:sz w:val="24"/>
                <w:szCs w:val="24"/>
                <w:highlight w:val="none"/>
                <w:lang w:val="en-US" w:eastAsia="zh-CN" w:bidi="ar"/>
              </w:rPr>
              <w:t>Ⅲ类。按照支流服从干流的原则，小河箐水质执行《地表水环境质量标准》（GB3838-2002）中Ⅲ类水质标准。</w:t>
            </w:r>
          </w:p>
          <w:p w14:paraId="22A83754">
            <w:pPr>
              <w:adjustRightInd w:val="0"/>
              <w:snapToGrid w:val="0"/>
              <w:spacing w:line="360" w:lineRule="auto"/>
              <w:ind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根据寻甸回族彝族自治县人民政府网发布的寻甸县2025年第一季度</w:t>
            </w:r>
            <w:r>
              <w:rPr>
                <w:rFonts w:hint="eastAsia" w:cs="Times New Roman"/>
                <w:color w:val="auto"/>
                <w:kern w:val="0"/>
                <w:sz w:val="24"/>
                <w:szCs w:val="24"/>
                <w:highlight w:val="none"/>
                <w:lang w:val="en-US" w:eastAsia="zh-CN" w:bidi="ar"/>
              </w:rPr>
              <w:t>至</w:t>
            </w:r>
            <w:r>
              <w:rPr>
                <w:rFonts w:hint="default" w:ascii="Times New Roman" w:hAnsi="Times New Roman" w:eastAsia="宋体" w:cs="Times New Roman"/>
                <w:color w:val="auto"/>
                <w:kern w:val="0"/>
                <w:sz w:val="24"/>
                <w:szCs w:val="24"/>
                <w:highlight w:val="none"/>
                <w:lang w:val="en-US" w:eastAsia="zh-CN" w:bidi="ar"/>
              </w:rPr>
              <w:t>第四季度</w:t>
            </w:r>
            <w:r>
              <w:rPr>
                <w:rFonts w:hint="eastAsia" w:cs="Times New Roman"/>
                <w:color w:val="auto"/>
                <w:kern w:val="0"/>
                <w:sz w:val="24"/>
                <w:szCs w:val="24"/>
                <w:highlight w:val="none"/>
                <w:lang w:val="en-US" w:eastAsia="zh-CN" w:bidi="ar"/>
              </w:rPr>
              <w:t>及2026年第一季度</w:t>
            </w:r>
            <w:r>
              <w:rPr>
                <w:rFonts w:hint="default" w:ascii="Times New Roman" w:hAnsi="Times New Roman" w:eastAsia="宋体" w:cs="Times New Roman"/>
                <w:color w:val="auto"/>
                <w:kern w:val="0"/>
                <w:sz w:val="24"/>
                <w:szCs w:val="24"/>
                <w:highlight w:val="none"/>
                <w:lang w:val="en-US" w:eastAsia="zh-CN" w:bidi="ar"/>
              </w:rPr>
              <w:t>环境质量公报，</w:t>
            </w:r>
            <w:r>
              <w:rPr>
                <w:rFonts w:hint="eastAsia" w:cs="Times New Roman"/>
                <w:color w:val="auto"/>
                <w:kern w:val="0"/>
                <w:sz w:val="24"/>
                <w:szCs w:val="24"/>
                <w:highlight w:val="none"/>
                <w:lang w:val="en-US" w:eastAsia="zh-CN" w:bidi="ar"/>
              </w:rPr>
              <w:t>2025年</w:t>
            </w:r>
            <w:r>
              <w:rPr>
                <w:rFonts w:hint="default" w:ascii="Times New Roman" w:hAnsi="Times New Roman" w:eastAsia="宋体" w:cs="Times New Roman"/>
                <w:color w:val="auto"/>
                <w:kern w:val="0"/>
                <w:sz w:val="24"/>
                <w:szCs w:val="24"/>
                <w:highlight w:val="none"/>
                <w:lang w:val="en-US" w:eastAsia="zh-CN" w:bidi="ar"/>
              </w:rPr>
              <w:t>第一季度</w:t>
            </w:r>
            <w:r>
              <w:rPr>
                <w:rFonts w:hint="eastAsia" w:cs="Times New Roman"/>
                <w:color w:val="auto"/>
                <w:kern w:val="0"/>
                <w:sz w:val="24"/>
                <w:szCs w:val="24"/>
                <w:highlight w:val="none"/>
                <w:lang w:val="en-US" w:eastAsia="zh-CN" w:bidi="ar"/>
              </w:rPr>
              <w:t>至第四季度</w:t>
            </w:r>
            <w:r>
              <w:rPr>
                <w:rFonts w:hint="default" w:ascii="Times New Roman" w:hAnsi="Times New Roman" w:eastAsia="宋体" w:cs="Times New Roman"/>
                <w:color w:val="auto"/>
                <w:kern w:val="0"/>
                <w:sz w:val="24"/>
                <w:szCs w:val="24"/>
                <w:highlight w:val="none"/>
                <w:lang w:val="en-US" w:eastAsia="zh-CN" w:bidi="ar"/>
              </w:rPr>
              <w:t>木板河新民村断面水质类别</w:t>
            </w:r>
            <w:r>
              <w:rPr>
                <w:rFonts w:hint="eastAsia" w:cs="Times New Roman"/>
                <w:color w:val="auto"/>
                <w:kern w:val="0"/>
                <w:sz w:val="24"/>
                <w:szCs w:val="24"/>
                <w:highlight w:val="none"/>
                <w:lang w:val="en-US" w:eastAsia="zh-CN" w:bidi="ar"/>
              </w:rPr>
              <w:t>分别</w:t>
            </w:r>
            <w:r>
              <w:rPr>
                <w:rFonts w:hint="default" w:ascii="Times New Roman" w:hAnsi="Times New Roman" w:eastAsia="宋体" w:cs="Times New Roman"/>
                <w:color w:val="auto"/>
                <w:kern w:val="0"/>
                <w:sz w:val="24"/>
                <w:szCs w:val="24"/>
                <w:highlight w:val="none"/>
                <w:lang w:val="en-US" w:eastAsia="zh-CN" w:bidi="ar"/>
              </w:rPr>
              <w:t>为Ⅱ类水</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Ⅱ类水</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Ⅳ类水</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Ⅲ类水</w:t>
            </w:r>
            <w:r>
              <w:rPr>
                <w:rFonts w:hint="eastAsia" w:cs="Times New Roman"/>
                <w:color w:val="auto"/>
                <w:kern w:val="0"/>
                <w:sz w:val="24"/>
                <w:szCs w:val="24"/>
                <w:highlight w:val="none"/>
                <w:lang w:val="en-US" w:eastAsia="zh-CN" w:bidi="ar"/>
              </w:rPr>
              <w:t>，2026年</w:t>
            </w:r>
            <w:r>
              <w:rPr>
                <w:rFonts w:hint="default" w:ascii="Times New Roman" w:hAnsi="Times New Roman" w:eastAsia="宋体" w:cs="Times New Roman"/>
                <w:color w:val="auto"/>
                <w:kern w:val="0"/>
                <w:sz w:val="24"/>
                <w:szCs w:val="24"/>
                <w:highlight w:val="none"/>
                <w:lang w:val="en-US" w:eastAsia="zh-CN" w:bidi="ar"/>
              </w:rPr>
              <w:t>第一季度木板河新民村断面水质类别为Ⅱ类水</w:t>
            </w:r>
            <w:r>
              <w:rPr>
                <w:rFonts w:hint="eastAsia"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木板河新民村断面属于本项目下游断面</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项目区距木板河新民村</w:t>
            </w:r>
            <w:r>
              <w:rPr>
                <w:rFonts w:hint="eastAsia" w:cs="Times New Roman"/>
                <w:color w:val="auto"/>
                <w:kern w:val="0"/>
                <w:sz w:val="24"/>
                <w:szCs w:val="24"/>
                <w:highlight w:val="none"/>
                <w:lang w:val="en-US" w:eastAsia="zh-CN" w:bidi="ar"/>
              </w:rPr>
              <w:t>段</w:t>
            </w:r>
            <w:r>
              <w:rPr>
                <w:rFonts w:hint="default" w:ascii="Times New Roman" w:hAnsi="Times New Roman" w:eastAsia="宋体" w:cs="Times New Roman"/>
                <w:color w:val="auto"/>
                <w:kern w:val="0"/>
                <w:sz w:val="24"/>
                <w:szCs w:val="24"/>
                <w:highlight w:val="none"/>
                <w:lang w:val="en-US" w:eastAsia="zh-CN" w:bidi="ar"/>
              </w:rPr>
              <w:t>直线距离约3km。</w:t>
            </w:r>
          </w:p>
          <w:p w14:paraId="1A6AD884">
            <w:pPr>
              <w:adjustRightInd w:val="0"/>
              <w:snapToGrid w:val="0"/>
              <w:spacing w:line="360" w:lineRule="auto"/>
              <w:ind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综上，本项目区地表水体能满足水环境功能要求，为达标区。</w:t>
            </w:r>
          </w:p>
          <w:p w14:paraId="10DAC560">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五、声环境质量现状</w:t>
            </w:r>
          </w:p>
          <w:p w14:paraId="33D2B357">
            <w:pPr>
              <w:adjustRightInd w:val="0"/>
              <w:snapToGrid w:val="0"/>
              <w:spacing w:line="360" w:lineRule="auto"/>
              <w:ind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本项目位于寻甸县柯渡镇乐</w:t>
            </w:r>
            <w:r>
              <w:rPr>
                <w:rFonts w:hint="default" w:ascii="Times New Roman" w:hAnsi="Times New Roman" w:cs="Times New Roman"/>
                <w:color w:val="auto"/>
                <w:kern w:val="0"/>
                <w:sz w:val="24"/>
                <w:szCs w:val="24"/>
                <w:highlight w:val="none"/>
                <w:lang w:val="en-US" w:eastAsia="zh-CN" w:bidi="ar"/>
              </w:rPr>
              <w:t>朗</w:t>
            </w:r>
            <w:r>
              <w:rPr>
                <w:rFonts w:hint="default" w:ascii="Times New Roman" w:hAnsi="Times New Roman" w:eastAsia="宋体" w:cs="Times New Roman"/>
                <w:color w:val="auto"/>
                <w:kern w:val="0"/>
                <w:sz w:val="24"/>
                <w:szCs w:val="24"/>
                <w:highlight w:val="none"/>
                <w:lang w:val="en-US" w:eastAsia="zh-CN" w:bidi="ar"/>
              </w:rPr>
              <w:t>村委会稗子田村境内，项目所在区域属于农村地区，根据《声环境功能区划分技术规范》（GB/T 15190-2014），项目所在区域为2类声环境功能区。根据《声环境质量标准》（GB3096-2008</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声环境功能区分类的要求，执行《声环境质量标准》（GB3096-2008）中的2类标准。</w:t>
            </w:r>
          </w:p>
          <w:p w14:paraId="3536E4AD">
            <w:pPr>
              <w:adjustRightInd w:val="0"/>
              <w:ind w:firstLine="480"/>
              <w:rPr>
                <w:rFonts w:hint="default" w:ascii="Times New Roman" w:hAnsi="Times New Roman" w:cs="Times New Roman"/>
                <w:bCs/>
                <w:color w:val="auto"/>
                <w:szCs w:val="24"/>
                <w:highlight w:val="none"/>
              </w:rPr>
            </w:pPr>
            <w:r>
              <w:rPr>
                <w:rFonts w:hint="default" w:ascii="Times New Roman" w:hAnsi="Times New Roman" w:cs="Times New Roman"/>
                <w:bCs/>
                <w:color w:val="auto"/>
                <w:szCs w:val="24"/>
                <w:highlight w:val="none"/>
              </w:rPr>
              <w:t>根据</w:t>
            </w:r>
            <w:r>
              <w:rPr>
                <w:rFonts w:hint="default" w:ascii="Times New Roman" w:hAnsi="Times New Roman" w:eastAsia="宋体" w:cs="Times New Roman"/>
                <w:color w:val="auto"/>
                <w:kern w:val="0"/>
                <w:sz w:val="24"/>
                <w:szCs w:val="24"/>
                <w:highlight w:val="none"/>
                <w:lang w:val="en-US" w:eastAsia="zh-CN" w:bidi="ar"/>
              </w:rPr>
              <w:t>寻甸回族彝族自治县人民政府网发布的寻甸县2025年第一季度</w:t>
            </w:r>
            <w:r>
              <w:rPr>
                <w:rFonts w:hint="eastAsia" w:cs="Times New Roman"/>
                <w:color w:val="auto"/>
                <w:kern w:val="0"/>
                <w:sz w:val="24"/>
                <w:szCs w:val="24"/>
                <w:highlight w:val="none"/>
                <w:lang w:val="en-US" w:eastAsia="zh-CN" w:bidi="ar"/>
              </w:rPr>
              <w:t>至</w:t>
            </w:r>
            <w:r>
              <w:rPr>
                <w:rFonts w:hint="default" w:ascii="Times New Roman" w:hAnsi="Times New Roman" w:eastAsia="宋体" w:cs="Times New Roman"/>
                <w:color w:val="auto"/>
                <w:kern w:val="0"/>
                <w:sz w:val="24"/>
                <w:szCs w:val="24"/>
                <w:highlight w:val="none"/>
                <w:lang w:val="en-US" w:eastAsia="zh-CN" w:bidi="ar"/>
              </w:rPr>
              <w:t>第四季度环境质量公报</w:t>
            </w:r>
            <w:r>
              <w:rPr>
                <w:rFonts w:hint="default" w:ascii="Times New Roman" w:hAnsi="Times New Roman" w:cs="Times New Roman"/>
                <w:bCs/>
                <w:color w:val="auto"/>
                <w:szCs w:val="24"/>
                <w:highlight w:val="none"/>
              </w:rPr>
              <w:t>，2025</w:t>
            </w:r>
            <w:r>
              <w:rPr>
                <w:rFonts w:hint="eastAsia" w:cs="Times New Roman"/>
                <w:bCs/>
                <w:color w:val="auto"/>
                <w:szCs w:val="24"/>
                <w:highlight w:val="none"/>
                <w:lang w:val="en-US" w:eastAsia="zh-CN"/>
              </w:rPr>
              <w:t>年</w:t>
            </w:r>
            <w:r>
              <w:rPr>
                <w:rFonts w:hint="default" w:ascii="Times New Roman" w:hAnsi="Times New Roman" w:cs="Times New Roman"/>
                <w:bCs/>
                <w:color w:val="auto"/>
                <w:szCs w:val="24"/>
                <w:highlight w:val="none"/>
              </w:rPr>
              <w:t>寻甸县城</w:t>
            </w:r>
            <w:r>
              <w:rPr>
                <w:rFonts w:hint="default" w:ascii="Times New Roman" w:hAnsi="Times New Roman" w:eastAsia="宋体" w:cs="Times New Roman"/>
                <w:color w:val="auto"/>
                <w:kern w:val="0"/>
                <w:sz w:val="24"/>
                <w:szCs w:val="24"/>
                <w:highlight w:val="none"/>
                <w:lang w:val="en-US" w:eastAsia="zh-CN" w:bidi="ar"/>
              </w:rPr>
              <w:t>第一季度</w:t>
            </w:r>
            <w:r>
              <w:rPr>
                <w:rFonts w:hint="eastAsia" w:cs="Times New Roman"/>
                <w:color w:val="auto"/>
                <w:kern w:val="0"/>
                <w:sz w:val="24"/>
                <w:szCs w:val="24"/>
                <w:highlight w:val="none"/>
                <w:lang w:val="en-US" w:eastAsia="zh-CN" w:bidi="ar"/>
              </w:rPr>
              <w:t>至</w:t>
            </w:r>
            <w:r>
              <w:rPr>
                <w:rFonts w:hint="default" w:ascii="Times New Roman" w:hAnsi="Times New Roman" w:eastAsia="宋体" w:cs="Times New Roman"/>
                <w:color w:val="auto"/>
                <w:kern w:val="0"/>
                <w:sz w:val="24"/>
                <w:szCs w:val="24"/>
                <w:highlight w:val="none"/>
                <w:lang w:val="en-US" w:eastAsia="zh-CN" w:bidi="ar"/>
              </w:rPr>
              <w:t>第四季度</w:t>
            </w:r>
            <w:r>
              <w:rPr>
                <w:rFonts w:hint="eastAsia" w:ascii="Times New Roman" w:hAnsi="Times New Roman" w:eastAsia="宋体" w:cs="Times New Roman"/>
                <w:color w:val="auto"/>
                <w:kern w:val="0"/>
                <w:sz w:val="24"/>
                <w:szCs w:val="24"/>
                <w:highlight w:val="none"/>
                <w:lang w:val="en-US" w:eastAsia="zh-CN" w:bidi="ar"/>
              </w:rPr>
              <w:t>2类区</w:t>
            </w:r>
            <w:r>
              <w:rPr>
                <w:rFonts w:hint="default" w:ascii="Times New Roman" w:hAnsi="Times New Roman" w:cs="Times New Roman"/>
                <w:bCs/>
                <w:color w:val="auto"/>
                <w:szCs w:val="24"/>
                <w:highlight w:val="none"/>
              </w:rPr>
              <w:t>噪声</w:t>
            </w:r>
            <w:r>
              <w:rPr>
                <w:rFonts w:hint="eastAsia" w:cs="Times New Roman"/>
                <w:bCs/>
                <w:color w:val="auto"/>
                <w:szCs w:val="24"/>
                <w:highlight w:val="none"/>
                <w:lang w:val="en-US" w:eastAsia="zh-CN"/>
              </w:rPr>
              <w:t>昼夜最大值分别为50.1分贝、40.0分贝，</w:t>
            </w:r>
            <w:r>
              <w:rPr>
                <w:rFonts w:hint="default" w:ascii="Times New Roman" w:hAnsi="Times New Roman" w:cs="Times New Roman"/>
                <w:bCs/>
                <w:color w:val="auto"/>
                <w:szCs w:val="24"/>
                <w:highlight w:val="none"/>
              </w:rPr>
              <w:t>202</w:t>
            </w:r>
            <w:r>
              <w:rPr>
                <w:rFonts w:hint="eastAsia" w:ascii="Times New Roman" w:hAnsi="Times New Roman" w:cs="Times New Roman"/>
                <w:bCs/>
                <w:color w:val="auto"/>
                <w:szCs w:val="24"/>
                <w:highlight w:val="none"/>
                <w:lang w:val="en-US" w:eastAsia="zh-CN"/>
              </w:rPr>
              <w:t>6</w:t>
            </w:r>
            <w:r>
              <w:rPr>
                <w:rFonts w:hint="eastAsia" w:cs="Times New Roman"/>
                <w:bCs/>
                <w:color w:val="auto"/>
                <w:szCs w:val="24"/>
                <w:highlight w:val="none"/>
                <w:lang w:val="en-US" w:eastAsia="zh-CN"/>
              </w:rPr>
              <w:t>年</w:t>
            </w:r>
            <w:r>
              <w:rPr>
                <w:rFonts w:hint="default" w:ascii="Times New Roman" w:hAnsi="Times New Roman" w:cs="Times New Roman"/>
                <w:bCs/>
                <w:color w:val="auto"/>
                <w:szCs w:val="24"/>
                <w:highlight w:val="none"/>
              </w:rPr>
              <w:t>寻甸县城</w:t>
            </w:r>
            <w:r>
              <w:rPr>
                <w:rFonts w:hint="default" w:ascii="Times New Roman" w:hAnsi="Times New Roman" w:eastAsia="宋体" w:cs="Times New Roman"/>
                <w:color w:val="auto"/>
                <w:kern w:val="0"/>
                <w:sz w:val="24"/>
                <w:szCs w:val="24"/>
                <w:highlight w:val="none"/>
                <w:lang w:val="en-US" w:eastAsia="zh-CN" w:bidi="ar"/>
              </w:rPr>
              <w:t>第一季度</w:t>
            </w:r>
            <w:r>
              <w:rPr>
                <w:rFonts w:hint="eastAsia" w:ascii="Times New Roman" w:hAnsi="Times New Roman" w:eastAsia="宋体" w:cs="Times New Roman"/>
                <w:color w:val="auto"/>
                <w:kern w:val="0"/>
                <w:sz w:val="24"/>
                <w:szCs w:val="24"/>
                <w:highlight w:val="none"/>
                <w:lang w:val="en-US" w:eastAsia="zh-CN" w:bidi="ar"/>
              </w:rPr>
              <w:t>2类区</w:t>
            </w:r>
            <w:r>
              <w:rPr>
                <w:rFonts w:hint="default" w:ascii="Times New Roman" w:hAnsi="Times New Roman" w:cs="Times New Roman"/>
                <w:bCs/>
                <w:color w:val="auto"/>
                <w:szCs w:val="24"/>
                <w:highlight w:val="none"/>
              </w:rPr>
              <w:t>噪声</w:t>
            </w:r>
            <w:r>
              <w:rPr>
                <w:rFonts w:hint="eastAsia" w:cs="Times New Roman"/>
                <w:bCs/>
                <w:color w:val="auto"/>
                <w:szCs w:val="24"/>
                <w:highlight w:val="none"/>
                <w:lang w:val="en-US" w:eastAsia="zh-CN"/>
              </w:rPr>
              <w:t>昼夜分别为51.2分贝、49.2分贝，达标率100%</w:t>
            </w:r>
            <w:r>
              <w:rPr>
                <w:rFonts w:hint="default" w:ascii="Times New Roman" w:hAnsi="Times New Roman" w:cs="Times New Roman"/>
                <w:bCs/>
                <w:color w:val="auto"/>
                <w:szCs w:val="24"/>
                <w:highlight w:val="none"/>
              </w:rPr>
              <w:t>。</w:t>
            </w:r>
          </w:p>
          <w:p w14:paraId="786B44C9">
            <w:pPr>
              <w:adjustRightInd w:val="0"/>
              <w:ind w:firstLine="480"/>
              <w:rPr>
                <w:rFonts w:hint="default" w:ascii="Times New Roman" w:hAnsi="Times New Roman" w:cs="Times New Roman"/>
                <w:bCs/>
                <w:color w:val="auto"/>
                <w:szCs w:val="24"/>
                <w:highlight w:val="none"/>
              </w:rPr>
            </w:pPr>
            <w:r>
              <w:rPr>
                <w:rFonts w:hint="default" w:ascii="Times New Roman" w:hAnsi="Times New Roman" w:cs="Times New Roman"/>
                <w:bCs/>
                <w:color w:val="auto"/>
                <w:szCs w:val="24"/>
                <w:highlight w:val="none"/>
              </w:rPr>
              <w:t>按照《建设项目环境影响报告表编制技术指南》（试行）的相关要求，厂界周边50m范围内存在声环境保护目标的建设项目，应监测保护目标声环境质量现状并评价达标情况。经现场勘查，项目区域周边50m范围内无声环境保护目标。</w:t>
            </w:r>
          </w:p>
          <w:p w14:paraId="22E8F0CD">
            <w:pPr>
              <w:adjustRightInd w:val="0"/>
              <w:ind w:firstLine="480"/>
              <w:rPr>
                <w:rFonts w:hint="default" w:ascii="Times New Roman" w:hAnsi="Times New Roman" w:cs="Times New Roman"/>
                <w:bCs/>
                <w:color w:val="auto"/>
                <w:szCs w:val="24"/>
                <w:highlight w:val="none"/>
              </w:rPr>
            </w:pPr>
            <w:r>
              <w:rPr>
                <w:rFonts w:hint="default" w:ascii="Times New Roman" w:hAnsi="Times New Roman" w:cs="Times New Roman"/>
                <w:bCs/>
                <w:color w:val="auto"/>
                <w:szCs w:val="24"/>
                <w:highlight w:val="none"/>
              </w:rPr>
              <w:t>综上，项目所在区域声环境能满足《声环境质量标准》（GB3096-2008）中2类标准。</w:t>
            </w:r>
          </w:p>
          <w:p w14:paraId="1482F44F">
            <w:pPr>
              <w:ind w:firstLine="482"/>
              <w:rPr>
                <w:rFonts w:hint="eastAsia" w:cs="Times New Roman"/>
                <w:color w:val="auto"/>
                <w:sz w:val="24"/>
                <w:highlight w:val="none"/>
                <w:lang w:eastAsia="zh-CN" w:bidi="ar"/>
              </w:rPr>
            </w:pPr>
            <w:r>
              <w:rPr>
                <w:rFonts w:hint="default" w:ascii="Times New Roman" w:hAnsi="Times New Roman" w:cs="Times New Roman"/>
                <w:b/>
                <w:bCs/>
                <w:color w:val="auto"/>
                <w:highlight w:val="none"/>
              </w:rPr>
              <w:t>六、地下水及土壤</w:t>
            </w:r>
            <w:r>
              <w:rPr>
                <w:rFonts w:hint="eastAsia" w:cs="Times New Roman"/>
                <w:b/>
                <w:bCs/>
                <w:color w:val="auto"/>
                <w:highlight w:val="none"/>
                <w:lang w:val="en-US" w:eastAsia="zh-CN"/>
              </w:rPr>
              <w:t>环境</w:t>
            </w:r>
            <w:r>
              <w:rPr>
                <w:rFonts w:hint="default" w:ascii="Times New Roman" w:hAnsi="Times New Roman" w:cs="Times New Roman"/>
                <w:b/>
                <w:bCs/>
                <w:color w:val="auto"/>
                <w:highlight w:val="none"/>
              </w:rPr>
              <w:t>现状</w:t>
            </w:r>
          </w:p>
          <w:p w14:paraId="7D6FEC3D">
            <w:pPr>
              <w:ind w:firstLine="480"/>
              <w:jc w:val="left"/>
              <w:rPr>
                <w:color w:val="auto"/>
              </w:rPr>
            </w:pPr>
            <w:r>
              <w:rPr>
                <w:color w:val="auto"/>
                <w:lang w:bidi="ar"/>
              </w:rPr>
              <w:t>根据《环境影响评价技术导则 地下水环境》（HJ610-2016）附录A可知，本项目属于</w:t>
            </w:r>
            <w:r>
              <w:rPr>
                <w:rFonts w:hint="eastAsia" w:ascii="宋体" w:hAnsi="宋体" w:cs="宋体"/>
                <w:color w:val="auto"/>
                <w:lang w:bidi="ar"/>
              </w:rPr>
              <w:t>“非</w:t>
            </w:r>
            <w:r>
              <w:rPr>
                <w:color w:val="auto"/>
                <w:lang w:bidi="ar"/>
              </w:rPr>
              <w:t>金属矿采选及制品</w:t>
            </w:r>
            <w:r>
              <w:rPr>
                <w:rFonts w:hint="eastAsia" w:ascii="宋体" w:hAnsi="宋体" w:cs="宋体"/>
                <w:color w:val="auto"/>
                <w:lang w:bidi="ar"/>
              </w:rPr>
              <w:t>制造”大类中“</w:t>
            </w:r>
            <w:r>
              <w:rPr>
                <w:color w:val="auto"/>
                <w:lang w:bidi="ar"/>
              </w:rPr>
              <w:t>54土砂石开采—其</w:t>
            </w:r>
            <w:r>
              <w:rPr>
                <w:rFonts w:hint="eastAsia" w:ascii="宋体" w:hAnsi="宋体" w:cs="宋体"/>
                <w:color w:val="auto"/>
                <w:lang w:bidi="ar"/>
              </w:rPr>
              <w:t>他”小</w:t>
            </w:r>
            <w:r>
              <w:rPr>
                <w:color w:val="auto"/>
                <w:lang w:bidi="ar"/>
              </w:rPr>
              <w:t>类，地下水环境影响评价项目类别为Ⅳ类</w:t>
            </w:r>
            <w:r>
              <w:rPr>
                <w:rFonts w:hint="eastAsia"/>
                <w:color w:val="auto"/>
                <w:lang w:bidi="ar"/>
              </w:rPr>
              <w:t>。</w:t>
            </w:r>
            <w:r>
              <w:rPr>
                <w:color w:val="auto"/>
                <w:lang w:bidi="ar"/>
              </w:rPr>
              <w:t>根据《环境影响评价技术导则 地下水环境》（HJ610-2016）4.1可知，Ⅳ类建设项目不开展地下水环境影响评价。</w:t>
            </w:r>
          </w:p>
          <w:p w14:paraId="692D12BF">
            <w:pPr>
              <w:ind w:firstLine="480"/>
              <w:rPr>
                <w:rFonts w:hint="eastAsia" w:cs="Times New Roman"/>
                <w:color w:val="auto"/>
                <w:sz w:val="24"/>
                <w:highlight w:val="none"/>
                <w:lang w:eastAsia="zh-CN" w:bidi="ar"/>
              </w:rPr>
            </w:pPr>
            <w:r>
              <w:rPr>
                <w:color w:val="auto"/>
                <w:kern w:val="2"/>
                <w:sz w:val="24"/>
                <w:szCs w:val="22"/>
                <w:lang w:bidi="ar"/>
              </w:rPr>
              <w:t>根据《环境影响评价技术导则土壤环境（试行）》（HJ964-2018）附录A，本项目属于土壤环境影响评价项目类别中的</w:t>
            </w:r>
            <w:r>
              <w:rPr>
                <w:rFonts w:hint="eastAsia" w:ascii="宋体" w:hAnsi="宋体" w:cs="宋体"/>
                <w:color w:val="auto"/>
                <w:kern w:val="2"/>
                <w:sz w:val="24"/>
                <w:szCs w:val="22"/>
                <w:lang w:bidi="ar"/>
              </w:rPr>
              <w:t>“采矿业—其他”</w:t>
            </w:r>
            <w:r>
              <w:rPr>
                <w:color w:val="auto"/>
                <w:kern w:val="2"/>
                <w:sz w:val="24"/>
                <w:szCs w:val="22"/>
                <w:lang w:bidi="ar"/>
              </w:rPr>
              <w:t>，为Ⅲ类建设项目，根据《环境影响评价技术导则 土壤环境（试行）》（HJ964-2018）</w:t>
            </w:r>
            <w:r>
              <w:rPr>
                <w:rFonts w:hint="eastAsia"/>
                <w:color w:val="auto"/>
                <w:kern w:val="2"/>
                <w:sz w:val="24"/>
                <w:szCs w:val="22"/>
                <w:lang w:bidi="ar"/>
              </w:rPr>
              <w:t>6.2.1</w:t>
            </w:r>
            <w:r>
              <w:rPr>
                <w:color w:val="auto"/>
                <w:kern w:val="2"/>
                <w:sz w:val="24"/>
                <w:szCs w:val="22"/>
                <w:lang w:bidi="ar"/>
              </w:rPr>
              <w:t>可</w:t>
            </w:r>
            <w:r>
              <w:rPr>
                <w:rFonts w:hint="eastAsia"/>
                <w:color w:val="auto"/>
                <w:kern w:val="2"/>
                <w:sz w:val="24"/>
                <w:szCs w:val="22"/>
                <w:lang w:bidi="ar"/>
              </w:rPr>
              <w:t>判定建设项目所在地土壤环境敏感程度为不敏感，可不开展土壤环境影响评价。</w:t>
            </w:r>
          </w:p>
          <w:p w14:paraId="38DA67B5">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因此本次评价不做地下水、土壤环境质量现状评价。</w:t>
            </w:r>
          </w:p>
        </w:tc>
      </w:tr>
      <w:tr w14:paraId="7900D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47" w:type="dxa"/>
            <w:vAlign w:val="center"/>
          </w:tcPr>
          <w:p w14:paraId="111393AE">
            <w:pPr>
              <w:spacing w:line="240" w:lineRule="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与项目有关的原有环境污染和生态破坏问题</w:t>
            </w:r>
          </w:p>
        </w:tc>
        <w:tc>
          <w:tcPr>
            <w:tcW w:w="8075" w:type="dxa"/>
            <w:vAlign w:val="center"/>
          </w:tcPr>
          <w:p w14:paraId="362A9FF0">
            <w:pPr>
              <w:numPr>
                <w:ilvl w:val="0"/>
                <w:numId w:val="2"/>
              </w:numPr>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原有项目环保手续办理情况</w:t>
            </w:r>
          </w:p>
          <w:p w14:paraId="216BCF2B">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2021年1月委托北京文华东方环境科技有限公司编制完成《</w:t>
            </w:r>
            <w:r>
              <w:rPr>
                <w:rFonts w:hint="default" w:ascii="Times New Roman" w:hAnsi="Times New Roman" w:eastAsia="宋体" w:cs="Times New Roman"/>
                <w:color w:val="auto"/>
                <w:highlight w:val="none"/>
              </w:rPr>
              <w:t>昆明达泽商贸有限公司寻甸县柯渡黄龙溏采砂场新建项目</w:t>
            </w:r>
            <w:r>
              <w:rPr>
                <w:rFonts w:hint="default" w:ascii="Times New Roman" w:hAnsi="Times New Roman" w:eastAsia="宋体" w:cs="Times New Roman"/>
                <w:color w:val="auto"/>
                <w:highlight w:val="none"/>
                <w:lang w:val="en-US" w:eastAsia="zh-CN"/>
              </w:rPr>
              <w:t>环境影响评价报告书》，并于2021年2月5日取得昆明市生态环境局寻甸分局关于对《</w:t>
            </w:r>
            <w:r>
              <w:rPr>
                <w:rFonts w:hint="default" w:ascii="Times New Roman" w:hAnsi="Times New Roman" w:eastAsia="宋体" w:cs="Times New Roman"/>
                <w:color w:val="auto"/>
                <w:highlight w:val="none"/>
              </w:rPr>
              <w:t>昆明达泽商贸有限公司寻甸县柯渡黄龙溏采砂场新建项目</w:t>
            </w:r>
            <w:r>
              <w:rPr>
                <w:rFonts w:hint="default" w:ascii="Times New Roman" w:hAnsi="Times New Roman" w:eastAsia="宋体" w:cs="Times New Roman"/>
                <w:color w:val="auto"/>
                <w:highlight w:val="none"/>
                <w:lang w:val="en-US" w:eastAsia="zh-CN"/>
              </w:rPr>
              <w:t>环境影响评价报告书》的批复（昆生环寻[2021]23号）。</w:t>
            </w:r>
          </w:p>
          <w:p w14:paraId="03DDED22">
            <w:pPr>
              <w:ind w:firstLine="48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lang w:val="en-US" w:eastAsia="zh-CN"/>
              </w:rPr>
              <w:t>矿山</w:t>
            </w:r>
            <w:r>
              <w:rPr>
                <w:rFonts w:hint="default" w:ascii="Times New Roman" w:hAnsi="Times New Roman" w:cs="Times New Roman"/>
                <w:color w:val="auto"/>
                <w:highlight w:val="none"/>
                <w:lang w:val="en-US" w:eastAsia="zh-CN"/>
              </w:rPr>
              <w:t>取得环评批复后</w:t>
            </w:r>
            <w:r>
              <w:rPr>
                <w:rFonts w:hint="default" w:ascii="Times New Roman" w:hAnsi="Times New Roman" w:eastAsia="宋体" w:cs="Times New Roman"/>
                <w:color w:val="auto"/>
                <w:highlight w:val="none"/>
                <w:lang w:val="en-US" w:eastAsia="zh-CN"/>
              </w:rPr>
              <w:t>至2025年8月一直未进行相关基建</w:t>
            </w:r>
            <w:r>
              <w:rPr>
                <w:rFonts w:hint="default" w:ascii="Times New Roman" w:hAnsi="Times New Roman" w:cs="Times New Roman"/>
                <w:color w:val="auto"/>
                <w:highlight w:val="none"/>
                <w:lang w:val="en-US" w:eastAsia="zh-CN"/>
              </w:rPr>
              <w:t>及开采</w:t>
            </w:r>
            <w:r>
              <w:rPr>
                <w:rFonts w:hint="default" w:ascii="Times New Roman" w:hAnsi="Times New Roman" w:eastAsia="宋体" w:cs="Times New Roman"/>
                <w:color w:val="auto"/>
                <w:highlight w:val="none"/>
                <w:lang w:val="en-US" w:eastAsia="zh-CN"/>
              </w:rPr>
              <w:t>工作，建设单位于2025年8月完善林地手续的办理后，在矿权范围内进行了局部的剥离工作，</w:t>
            </w:r>
            <w:r>
              <w:rPr>
                <w:rFonts w:hint="default" w:ascii="Times New Roman" w:hAnsi="Times New Roman" w:cs="Times New Roman"/>
                <w:color w:val="auto"/>
                <w:highlight w:val="none"/>
                <w:lang w:val="en-US" w:eastAsia="zh-CN"/>
              </w:rPr>
              <w:t>矿山</w:t>
            </w:r>
            <w:r>
              <w:rPr>
                <w:rFonts w:hint="default" w:ascii="Times New Roman" w:hAnsi="Times New Roman" w:eastAsia="宋体" w:cs="Times New Roman"/>
                <w:color w:val="auto"/>
                <w:highlight w:val="none"/>
                <w:lang w:val="en-US" w:eastAsia="zh-CN"/>
              </w:rPr>
              <w:t>现</w:t>
            </w:r>
            <w:r>
              <w:rPr>
                <w:rFonts w:hint="default" w:ascii="Times New Roman" w:hAnsi="Times New Roman" w:cs="Times New Roman"/>
                <w:color w:val="auto"/>
                <w:highlight w:val="none"/>
                <w:lang w:val="en-US" w:eastAsia="zh-CN"/>
              </w:rPr>
              <w:t>在已剥离表土</w:t>
            </w:r>
            <w:r>
              <w:rPr>
                <w:rFonts w:hint="default" w:ascii="Times New Roman" w:hAnsi="Times New Roman" w:eastAsia="宋体" w:cs="Times New Roman"/>
                <w:color w:val="auto"/>
                <w:highlight w:val="none"/>
                <w:lang w:val="en-US" w:eastAsia="zh-CN"/>
              </w:rPr>
              <w:t>形成220</w:t>
            </w:r>
            <w:r>
              <w:rPr>
                <w:rFonts w:hint="default" w:ascii="Times New Roman" w:hAnsi="Times New Roman" w:cs="Times New Roman"/>
                <w:color w:val="auto"/>
                <w:highlight w:val="none"/>
                <w:lang w:val="en-US" w:eastAsia="zh-CN"/>
              </w:rPr>
              <w:t>0</w:t>
            </w:r>
            <w:r>
              <w:rPr>
                <w:rFonts w:hint="default" w:ascii="Times New Roman" w:hAnsi="Times New Roman" w:eastAsia="宋体" w:cs="Times New Roman"/>
                <w:color w:val="auto"/>
                <w:highlight w:val="none"/>
                <w:lang w:val="en-US" w:eastAsia="zh-CN"/>
              </w:rPr>
              <w:t>m、2</w:t>
            </w:r>
            <w:r>
              <w:rPr>
                <w:rFonts w:hint="default" w:ascii="Times New Roman" w:hAnsi="Times New Roman" w:cs="Times New Roman"/>
                <w:color w:val="auto"/>
                <w:highlight w:val="none"/>
                <w:lang w:val="en-US" w:eastAsia="zh-CN"/>
              </w:rPr>
              <w:t>192</w:t>
            </w:r>
            <w:r>
              <w:rPr>
                <w:rFonts w:hint="default" w:ascii="Times New Roman" w:hAnsi="Times New Roman" w:eastAsia="宋体" w:cs="Times New Roman"/>
                <w:color w:val="auto"/>
                <w:highlight w:val="none"/>
                <w:lang w:val="en-US" w:eastAsia="zh-CN"/>
              </w:rPr>
              <w:t>m开采平台。项目还未进行工业场地、</w:t>
            </w:r>
            <w:r>
              <w:rPr>
                <w:rFonts w:hint="eastAsia" w:cs="Times New Roman"/>
                <w:color w:val="auto"/>
                <w:highlight w:val="none"/>
                <w:lang w:val="en-US" w:eastAsia="zh-CN"/>
              </w:rPr>
              <w:t>办公生活区</w:t>
            </w:r>
            <w:r>
              <w:rPr>
                <w:rFonts w:hint="default" w:ascii="Times New Roman" w:hAnsi="Times New Roman" w:eastAsia="宋体" w:cs="Times New Roman"/>
                <w:color w:val="auto"/>
                <w:highlight w:val="none"/>
                <w:lang w:val="en-US" w:eastAsia="zh-CN"/>
              </w:rPr>
              <w:t>等建设，原有项目现未进行生产。</w:t>
            </w:r>
          </w:p>
          <w:p w14:paraId="466BFDBC">
            <w:pPr>
              <w:ind w:firstLine="482"/>
              <w:outlineLvl w:val="3"/>
              <w:rPr>
                <w:rFonts w:hint="default" w:ascii="Times New Roman" w:hAnsi="Times New Roman" w:cs="Times New Roman"/>
                <w:b/>
                <w:color w:val="auto"/>
                <w:szCs w:val="25"/>
                <w:highlight w:val="none"/>
              </w:rPr>
            </w:pPr>
            <w:r>
              <w:rPr>
                <w:rFonts w:hint="default" w:ascii="Times New Roman" w:hAnsi="Times New Roman" w:cs="Times New Roman"/>
                <w:b/>
                <w:color w:val="auto"/>
                <w:szCs w:val="25"/>
                <w:highlight w:val="none"/>
                <w:lang w:val="en-US" w:eastAsia="zh-CN"/>
              </w:rPr>
              <w:t>2.</w:t>
            </w:r>
            <w:r>
              <w:rPr>
                <w:rFonts w:hint="default" w:ascii="Times New Roman" w:hAnsi="Times New Roman" w:cs="Times New Roman"/>
                <w:b/>
                <w:color w:val="auto"/>
                <w:szCs w:val="25"/>
                <w:highlight w:val="none"/>
              </w:rPr>
              <w:t>与项目有关的原有环境污染及治理措施情况</w:t>
            </w:r>
          </w:p>
          <w:p w14:paraId="37F1E41F">
            <w:pPr>
              <w:ind w:firstLine="482"/>
              <w:outlineLvl w:val="3"/>
              <w:rPr>
                <w:rFonts w:hint="default" w:ascii="Times New Roman" w:hAnsi="Times New Roman" w:cs="Times New Roman"/>
                <w:b/>
                <w:color w:val="auto"/>
                <w:szCs w:val="25"/>
                <w:highlight w:val="none"/>
              </w:rPr>
            </w:pPr>
            <w:r>
              <w:rPr>
                <w:rFonts w:hint="default" w:ascii="Times New Roman" w:hAnsi="Times New Roman" w:cs="Times New Roman"/>
                <w:b/>
                <w:color w:val="auto"/>
                <w:szCs w:val="25"/>
                <w:highlight w:val="none"/>
              </w:rPr>
              <w:t>（1）废气</w:t>
            </w:r>
          </w:p>
          <w:p w14:paraId="5AA9CB33">
            <w:pPr>
              <w:ind w:firstLine="480"/>
              <w:outlineLvl w:val="3"/>
              <w:rPr>
                <w:rFonts w:hint="default" w:ascii="Times New Roman" w:hAnsi="Times New Roman" w:cs="Times New Roman"/>
                <w:bCs/>
                <w:color w:val="auto"/>
                <w:szCs w:val="25"/>
                <w:highlight w:val="none"/>
                <w:lang w:val="en-US" w:eastAsia="zh-CN"/>
              </w:rPr>
            </w:pPr>
            <w:r>
              <w:rPr>
                <w:rFonts w:hint="default" w:ascii="Times New Roman" w:hAnsi="Times New Roman" w:cs="Times New Roman"/>
                <w:bCs/>
                <w:color w:val="auto"/>
                <w:szCs w:val="25"/>
                <w:highlight w:val="none"/>
              </w:rPr>
              <w:t>根据现场踏勘，</w:t>
            </w:r>
            <w:r>
              <w:rPr>
                <w:rFonts w:hint="default" w:ascii="Times New Roman" w:hAnsi="Times New Roman" w:cs="Times New Roman"/>
                <w:bCs/>
                <w:color w:val="auto"/>
                <w:szCs w:val="25"/>
                <w:highlight w:val="none"/>
                <w:lang w:val="en-US" w:eastAsia="zh-CN"/>
              </w:rPr>
              <w:t>矿区现已完成</w:t>
            </w:r>
            <w:r>
              <w:rPr>
                <w:rFonts w:hint="default" w:ascii="Times New Roman" w:hAnsi="Times New Roman" w:eastAsia="宋体" w:cs="Times New Roman"/>
                <w:color w:val="auto"/>
                <w:highlight w:val="none"/>
                <w:lang w:val="en-US" w:eastAsia="zh-CN"/>
              </w:rPr>
              <w:t>220</w:t>
            </w:r>
            <w:r>
              <w:rPr>
                <w:rFonts w:hint="default" w:ascii="Times New Roman" w:hAnsi="Times New Roman" w:cs="Times New Roman"/>
                <w:color w:val="auto"/>
                <w:highlight w:val="none"/>
                <w:lang w:val="en-US" w:eastAsia="zh-CN"/>
              </w:rPr>
              <w:t>0</w:t>
            </w:r>
            <w:r>
              <w:rPr>
                <w:rFonts w:hint="default" w:ascii="Times New Roman" w:hAnsi="Times New Roman" w:eastAsia="宋体" w:cs="Times New Roman"/>
                <w:color w:val="auto"/>
                <w:highlight w:val="none"/>
                <w:lang w:val="en-US" w:eastAsia="zh-CN"/>
              </w:rPr>
              <w:t>m、2</w:t>
            </w:r>
            <w:r>
              <w:rPr>
                <w:rFonts w:hint="default" w:ascii="Times New Roman" w:hAnsi="Times New Roman" w:cs="Times New Roman"/>
                <w:color w:val="auto"/>
                <w:highlight w:val="none"/>
                <w:lang w:val="en-US" w:eastAsia="zh-CN"/>
              </w:rPr>
              <w:t>192</w:t>
            </w:r>
            <w:r>
              <w:rPr>
                <w:rFonts w:hint="default" w:ascii="Times New Roman" w:hAnsi="Times New Roman" w:eastAsia="宋体" w:cs="Times New Roman"/>
                <w:color w:val="auto"/>
                <w:highlight w:val="none"/>
                <w:lang w:val="en-US" w:eastAsia="zh-CN"/>
              </w:rPr>
              <w:t>m开采平台的表土剥离，剥离的表土</w:t>
            </w:r>
            <w:r>
              <w:rPr>
                <w:rFonts w:hint="eastAsia" w:cs="Times New Roman"/>
                <w:color w:val="auto"/>
                <w:highlight w:val="none"/>
                <w:lang w:val="en-US" w:eastAsia="zh-CN"/>
              </w:rPr>
              <w:t>堆放于矿界西侧的临时表土堆场</w:t>
            </w:r>
            <w:r>
              <w:rPr>
                <w:rFonts w:hint="default" w:ascii="Times New Roman" w:hAnsi="Times New Roman" w:eastAsia="宋体" w:cs="Times New Roman"/>
                <w:color w:val="auto"/>
                <w:highlight w:val="none"/>
                <w:lang w:val="en-US" w:eastAsia="zh-CN"/>
              </w:rPr>
              <w:t>。</w:t>
            </w:r>
          </w:p>
          <w:p w14:paraId="1EE7687E">
            <w:pPr>
              <w:ind w:firstLine="480"/>
              <w:outlineLvl w:val="3"/>
              <w:rPr>
                <w:rFonts w:hint="default" w:ascii="Times New Roman" w:hAnsi="Times New Roman" w:cs="Times New Roman"/>
                <w:bCs/>
                <w:color w:val="auto"/>
                <w:szCs w:val="25"/>
                <w:highlight w:val="none"/>
                <w:lang w:eastAsia="zh-CN"/>
              </w:rPr>
            </w:pPr>
            <w:r>
              <w:rPr>
                <w:rFonts w:hint="default" w:ascii="Times New Roman" w:hAnsi="Times New Roman" w:cs="Times New Roman"/>
                <w:bCs/>
                <w:color w:val="auto"/>
                <w:szCs w:val="25"/>
                <w:highlight w:val="none"/>
                <w:lang w:val="en-US" w:eastAsia="zh-CN"/>
              </w:rPr>
              <w:t>根据调查，原</w:t>
            </w:r>
            <w:r>
              <w:rPr>
                <w:rFonts w:hint="default" w:ascii="Times New Roman" w:hAnsi="Times New Roman" w:cs="Times New Roman"/>
                <w:bCs/>
                <w:color w:val="auto"/>
                <w:szCs w:val="25"/>
                <w:highlight w:val="none"/>
              </w:rPr>
              <w:t>有项目废气主要</w:t>
            </w:r>
            <w:r>
              <w:rPr>
                <w:rFonts w:hint="default" w:ascii="Times New Roman" w:hAnsi="Times New Roman" w:eastAsia="宋体" w:cs="Times New Roman"/>
                <w:bCs/>
                <w:color w:val="auto"/>
                <w:szCs w:val="25"/>
                <w:highlight w:val="none"/>
              </w:rPr>
              <w:t>为矿山开采区表土剥离粉尘及道路运输扬尘</w:t>
            </w:r>
            <w:r>
              <w:rPr>
                <w:rFonts w:hint="default" w:ascii="Times New Roman" w:hAnsi="Times New Roman" w:eastAsia="宋体" w:cs="Times New Roman"/>
                <w:bCs/>
                <w:color w:val="auto"/>
                <w:szCs w:val="25"/>
                <w:highlight w:val="none"/>
                <w:lang w:eastAsia="zh-CN"/>
              </w:rPr>
              <w:t>。</w:t>
            </w:r>
            <w:r>
              <w:rPr>
                <w:rFonts w:hint="default" w:ascii="Times New Roman" w:hAnsi="Times New Roman" w:eastAsia="宋体" w:cs="Times New Roman"/>
                <w:bCs/>
                <w:color w:val="auto"/>
                <w:szCs w:val="25"/>
                <w:highlight w:val="none"/>
                <w:lang w:val="en-US" w:eastAsia="zh-CN"/>
              </w:rPr>
              <w:t>项目已</w:t>
            </w:r>
            <w:r>
              <w:rPr>
                <w:rFonts w:hint="default" w:ascii="Times New Roman" w:hAnsi="Times New Roman" w:eastAsia="宋体" w:cs="Times New Roman"/>
                <w:bCs/>
                <w:color w:val="auto"/>
                <w:szCs w:val="25"/>
                <w:highlight w:val="none"/>
              </w:rPr>
              <w:t>设置</w:t>
            </w:r>
            <w:r>
              <w:rPr>
                <w:rFonts w:hint="default" w:ascii="Times New Roman" w:hAnsi="Times New Roman" w:eastAsia="宋体" w:cs="Times New Roman"/>
                <w:bCs/>
                <w:color w:val="auto"/>
                <w:szCs w:val="25"/>
                <w:highlight w:val="none"/>
                <w:lang w:val="en-US" w:eastAsia="zh-CN"/>
              </w:rPr>
              <w:t>1台</w:t>
            </w:r>
            <w:r>
              <w:rPr>
                <w:rFonts w:hint="default" w:ascii="Times New Roman" w:hAnsi="Times New Roman" w:eastAsia="宋体" w:cs="Times New Roman"/>
                <w:bCs/>
                <w:color w:val="auto"/>
                <w:szCs w:val="25"/>
                <w:highlight w:val="none"/>
              </w:rPr>
              <w:t>洒水车</w:t>
            </w:r>
            <w:r>
              <w:rPr>
                <w:rFonts w:hint="default" w:ascii="Times New Roman" w:hAnsi="Times New Roman" w:eastAsia="宋体" w:cs="Times New Roman"/>
                <w:bCs/>
                <w:color w:val="auto"/>
                <w:szCs w:val="25"/>
                <w:highlight w:val="none"/>
                <w:lang w:val="en-US" w:eastAsia="zh-CN"/>
              </w:rPr>
              <w:t>对</w:t>
            </w:r>
            <w:r>
              <w:rPr>
                <w:rFonts w:hint="default" w:ascii="Times New Roman" w:hAnsi="Times New Roman" w:eastAsia="宋体" w:cs="Times New Roman"/>
                <w:bCs/>
                <w:color w:val="auto"/>
                <w:szCs w:val="25"/>
                <w:highlight w:val="none"/>
              </w:rPr>
              <w:t>开采</w:t>
            </w:r>
            <w:r>
              <w:rPr>
                <w:rFonts w:hint="default" w:ascii="Times New Roman" w:hAnsi="Times New Roman" w:cs="Times New Roman"/>
                <w:bCs/>
                <w:color w:val="auto"/>
                <w:szCs w:val="25"/>
                <w:highlight w:val="none"/>
              </w:rPr>
              <w:t>区及运输道路区</w:t>
            </w:r>
            <w:r>
              <w:rPr>
                <w:rFonts w:hint="default" w:ascii="Times New Roman" w:hAnsi="Times New Roman" w:cs="Times New Roman"/>
                <w:bCs/>
                <w:color w:val="auto"/>
                <w:szCs w:val="25"/>
                <w:highlight w:val="none"/>
                <w:lang w:val="en-US" w:eastAsia="zh-CN"/>
              </w:rPr>
              <w:t>进行</w:t>
            </w:r>
            <w:r>
              <w:rPr>
                <w:rFonts w:hint="default" w:ascii="Times New Roman" w:hAnsi="Times New Roman" w:cs="Times New Roman"/>
                <w:bCs/>
                <w:color w:val="auto"/>
                <w:szCs w:val="25"/>
                <w:highlight w:val="none"/>
              </w:rPr>
              <w:t>洒水降尘，</w:t>
            </w:r>
            <w:r>
              <w:rPr>
                <w:rFonts w:hint="default" w:ascii="Times New Roman" w:hAnsi="Times New Roman" w:cs="Times New Roman"/>
                <w:bCs/>
                <w:color w:val="auto"/>
                <w:szCs w:val="25"/>
                <w:highlight w:val="none"/>
                <w:lang w:val="en-US" w:eastAsia="zh-CN"/>
              </w:rPr>
              <w:t>粉尘呈</w:t>
            </w:r>
            <w:r>
              <w:rPr>
                <w:rFonts w:hint="default" w:ascii="Times New Roman" w:hAnsi="Times New Roman" w:cs="Times New Roman"/>
                <w:bCs/>
                <w:color w:val="auto"/>
                <w:szCs w:val="25"/>
                <w:highlight w:val="none"/>
              </w:rPr>
              <w:t>无组织排放</w:t>
            </w:r>
            <w:r>
              <w:rPr>
                <w:rFonts w:hint="default" w:ascii="Times New Roman" w:hAnsi="Times New Roman" w:cs="Times New Roman"/>
                <w:bCs/>
                <w:color w:val="auto"/>
                <w:szCs w:val="25"/>
                <w:highlight w:val="none"/>
                <w:lang w:eastAsia="zh-CN"/>
              </w:rPr>
              <w:t>。</w:t>
            </w:r>
          </w:p>
          <w:p w14:paraId="13F0AF8A">
            <w:pPr>
              <w:ind w:firstLine="480"/>
              <w:outlineLvl w:val="3"/>
              <w:rPr>
                <w:rFonts w:hint="default" w:ascii="Times New Roman" w:hAnsi="Times New Roman" w:cs="Times New Roman"/>
                <w:b/>
                <w:bCs w:val="0"/>
                <w:color w:val="auto"/>
                <w:szCs w:val="25"/>
                <w:highlight w:val="none"/>
              </w:rPr>
            </w:pPr>
            <w:r>
              <w:rPr>
                <w:rFonts w:hint="default" w:ascii="Times New Roman" w:hAnsi="Times New Roman" w:cs="Times New Roman"/>
                <w:b/>
                <w:bCs w:val="0"/>
                <w:color w:val="auto"/>
                <w:szCs w:val="25"/>
                <w:highlight w:val="none"/>
              </w:rPr>
              <w:t>（2）废水</w:t>
            </w:r>
          </w:p>
          <w:p w14:paraId="138B009A">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lang w:val="en-US" w:eastAsia="zh-CN"/>
              </w:rPr>
              <w:t>原有</w:t>
            </w:r>
            <w:r>
              <w:rPr>
                <w:rFonts w:hint="default" w:ascii="Times New Roman" w:hAnsi="Times New Roman" w:cs="Times New Roman"/>
                <w:color w:val="auto"/>
                <w:szCs w:val="24"/>
                <w:highlight w:val="none"/>
              </w:rPr>
              <w:t>项目废水主要为</w:t>
            </w:r>
            <w:r>
              <w:rPr>
                <w:rFonts w:hint="default" w:ascii="Times New Roman" w:hAnsi="Times New Roman" w:cs="Times New Roman"/>
                <w:color w:val="auto"/>
                <w:szCs w:val="24"/>
                <w:highlight w:val="none"/>
                <w:lang w:val="en-US" w:eastAsia="zh-CN"/>
              </w:rPr>
              <w:t>生活污水</w:t>
            </w:r>
            <w:r>
              <w:rPr>
                <w:rFonts w:hint="default" w:ascii="Times New Roman" w:hAnsi="Times New Roman" w:cs="Times New Roman"/>
                <w:color w:val="auto"/>
                <w:szCs w:val="24"/>
                <w:highlight w:val="none"/>
              </w:rPr>
              <w:t>。</w:t>
            </w:r>
          </w:p>
          <w:p w14:paraId="284CFF65">
            <w:pPr>
              <w:pStyle w:val="87"/>
              <w:ind w:firstLine="480"/>
              <w:rPr>
                <w:rFonts w:hint="default" w:ascii="Times New Roman" w:hAnsi="Times New Roman" w:cs="Times New Roman"/>
                <w:color w:val="auto"/>
                <w:szCs w:val="28"/>
                <w:highlight w:val="none"/>
                <w:lang w:val="en-US" w:eastAsia="zh-CN"/>
              </w:rPr>
            </w:pPr>
            <w:r>
              <w:rPr>
                <w:rFonts w:hint="default" w:ascii="Times New Roman" w:hAnsi="Times New Roman" w:cs="Times New Roman"/>
                <w:color w:val="auto"/>
                <w:szCs w:val="28"/>
                <w:highlight w:val="none"/>
                <w:lang w:val="en-US" w:eastAsia="zh-CN"/>
              </w:rPr>
              <w:t>根据调查，项目表土剥离时劳动定员为</w:t>
            </w:r>
            <w:r>
              <w:rPr>
                <w:rFonts w:hint="eastAsia" w:cs="Times New Roman"/>
                <w:color w:val="auto"/>
                <w:szCs w:val="28"/>
                <w:highlight w:val="none"/>
                <w:lang w:val="en-US" w:eastAsia="zh-CN"/>
              </w:rPr>
              <w:t>4</w:t>
            </w:r>
            <w:r>
              <w:rPr>
                <w:rFonts w:hint="default" w:ascii="Times New Roman" w:hAnsi="Times New Roman" w:cs="Times New Roman"/>
                <w:color w:val="auto"/>
                <w:szCs w:val="28"/>
                <w:highlight w:val="none"/>
                <w:lang w:val="en-US" w:eastAsia="zh-CN"/>
              </w:rPr>
              <w:t>人，员工均为附近村民，不在项目区食宿，日常产生的洗手废水经收集后用于</w:t>
            </w:r>
            <w:r>
              <w:rPr>
                <w:rFonts w:hint="eastAsia" w:cs="Times New Roman"/>
                <w:color w:val="auto"/>
                <w:szCs w:val="28"/>
                <w:highlight w:val="none"/>
                <w:lang w:val="en-US" w:eastAsia="zh-CN"/>
              </w:rPr>
              <w:t>采区</w:t>
            </w:r>
            <w:r>
              <w:rPr>
                <w:rFonts w:hint="default" w:ascii="Times New Roman" w:hAnsi="Times New Roman" w:cs="Times New Roman"/>
                <w:color w:val="auto"/>
                <w:szCs w:val="28"/>
                <w:highlight w:val="none"/>
                <w:lang w:val="en-US" w:eastAsia="zh-CN"/>
              </w:rPr>
              <w:t>洒水降尘。</w:t>
            </w:r>
          </w:p>
          <w:p w14:paraId="43440317">
            <w:pPr>
              <w:ind w:firstLine="480"/>
              <w:outlineLvl w:val="3"/>
              <w:rPr>
                <w:rFonts w:hint="default" w:ascii="Times New Roman" w:hAnsi="Times New Roman" w:eastAsia="宋体" w:cs="Times New Roman"/>
                <w:b/>
                <w:bCs w:val="0"/>
                <w:color w:val="auto"/>
                <w:kern w:val="2"/>
                <w:sz w:val="24"/>
                <w:szCs w:val="25"/>
                <w:highlight w:val="none"/>
                <w:lang w:val="en-US" w:eastAsia="zh-CN" w:bidi="ar-SA"/>
              </w:rPr>
            </w:pPr>
            <w:r>
              <w:rPr>
                <w:rFonts w:hint="default" w:ascii="Times New Roman" w:hAnsi="Times New Roman" w:eastAsia="宋体" w:cs="Times New Roman"/>
                <w:b/>
                <w:bCs w:val="0"/>
                <w:color w:val="auto"/>
                <w:kern w:val="2"/>
                <w:sz w:val="24"/>
                <w:szCs w:val="25"/>
                <w:highlight w:val="none"/>
                <w:lang w:val="en-US" w:eastAsia="zh-CN" w:bidi="ar-SA"/>
              </w:rPr>
              <w:t>（3）噪声</w:t>
            </w:r>
          </w:p>
          <w:p w14:paraId="5626A61E">
            <w:pPr>
              <w:adjustRightInd w:val="0"/>
              <w:ind w:firstLine="480"/>
              <w:rPr>
                <w:rFonts w:hint="default" w:ascii="Times New Roman" w:hAnsi="Times New Roman" w:eastAsia="宋体" w:cs="Times New Roman"/>
                <w:bCs/>
                <w:color w:val="auto"/>
                <w:kern w:val="2"/>
                <w:sz w:val="24"/>
                <w:szCs w:val="25"/>
                <w:highlight w:val="none"/>
                <w:lang w:val="en-US" w:eastAsia="zh-CN" w:bidi="ar-SA"/>
              </w:rPr>
            </w:pPr>
            <w:r>
              <w:rPr>
                <w:rFonts w:hint="default" w:ascii="Times New Roman" w:hAnsi="Times New Roman" w:eastAsia="宋体" w:cs="Times New Roman"/>
                <w:bCs/>
                <w:color w:val="auto"/>
                <w:kern w:val="2"/>
                <w:sz w:val="24"/>
                <w:szCs w:val="25"/>
                <w:highlight w:val="none"/>
                <w:lang w:val="en-US" w:eastAsia="zh-CN" w:bidi="ar-SA"/>
              </w:rPr>
              <w:t>原有项目噪声主要来自表土剥离时生产设备运行时产生的机械噪声以及剥离表土运输车辆产生的噪声，夜间不生产。通过做好生产设备日常维护和保养工作，合理安排各设备运行时间，运输车辆低速行驶，减少鸣笛，降低项目设备噪声对周围环境的影响。</w:t>
            </w:r>
          </w:p>
          <w:p w14:paraId="077FD129">
            <w:pPr>
              <w:ind w:firstLine="480"/>
              <w:outlineLvl w:val="3"/>
              <w:rPr>
                <w:rFonts w:hint="default" w:ascii="Times New Roman" w:hAnsi="Times New Roman" w:cs="Times New Roman"/>
                <w:b/>
                <w:bCs w:val="0"/>
                <w:color w:val="auto"/>
                <w:szCs w:val="25"/>
                <w:highlight w:val="none"/>
              </w:rPr>
            </w:pPr>
            <w:r>
              <w:rPr>
                <w:rFonts w:hint="default" w:ascii="Times New Roman" w:hAnsi="Times New Roman" w:cs="Times New Roman"/>
                <w:b/>
                <w:bCs w:val="0"/>
                <w:color w:val="auto"/>
                <w:szCs w:val="25"/>
                <w:highlight w:val="none"/>
              </w:rPr>
              <w:t>（4）固体废物</w:t>
            </w:r>
          </w:p>
          <w:p w14:paraId="773B0DD7">
            <w:pPr>
              <w:ind w:firstLine="480"/>
              <w:outlineLvl w:val="3"/>
              <w:rPr>
                <w:rFonts w:hint="default" w:ascii="Times New Roman" w:hAnsi="Times New Roman" w:eastAsia="宋体" w:cs="Times New Roman"/>
                <w:bCs/>
                <w:color w:val="auto"/>
                <w:szCs w:val="25"/>
                <w:highlight w:val="none"/>
                <w:lang w:val="en-US" w:eastAsia="zh-CN"/>
              </w:rPr>
            </w:pPr>
            <w:r>
              <w:rPr>
                <w:rFonts w:hint="default" w:ascii="Times New Roman" w:hAnsi="Times New Roman" w:eastAsia="宋体" w:cs="Times New Roman"/>
                <w:bCs/>
                <w:color w:val="auto"/>
                <w:kern w:val="2"/>
                <w:sz w:val="24"/>
                <w:szCs w:val="25"/>
                <w:highlight w:val="none"/>
                <w:lang w:val="en-US" w:eastAsia="zh-CN" w:bidi="ar-SA"/>
              </w:rPr>
              <w:t>原有项目</w:t>
            </w:r>
            <w:r>
              <w:rPr>
                <w:rFonts w:hint="default" w:ascii="Times New Roman" w:hAnsi="Times New Roman" w:cs="Times New Roman"/>
                <w:bCs/>
                <w:color w:val="auto"/>
                <w:szCs w:val="25"/>
                <w:highlight w:val="none"/>
              </w:rPr>
              <w:t>固体废物主要为剥离表土</w:t>
            </w:r>
            <w:r>
              <w:rPr>
                <w:rFonts w:hint="default" w:ascii="Times New Roman" w:hAnsi="Times New Roman" w:cs="Times New Roman"/>
                <w:bCs/>
                <w:color w:val="auto"/>
                <w:szCs w:val="25"/>
                <w:highlight w:val="none"/>
                <w:lang w:eastAsia="zh-CN"/>
              </w:rPr>
              <w:t>，</w:t>
            </w:r>
            <w:r>
              <w:rPr>
                <w:rFonts w:hint="default" w:ascii="Times New Roman" w:hAnsi="Times New Roman" w:cs="Times New Roman"/>
                <w:bCs/>
                <w:color w:val="auto"/>
                <w:szCs w:val="25"/>
                <w:highlight w:val="none"/>
              </w:rPr>
              <w:t>根据现场踏勘，</w:t>
            </w:r>
            <w:r>
              <w:rPr>
                <w:rFonts w:hint="default" w:ascii="Times New Roman" w:hAnsi="Times New Roman" w:cs="Times New Roman"/>
                <w:color w:val="auto"/>
                <w:szCs w:val="24"/>
                <w:highlight w:val="none"/>
              </w:rPr>
              <w:t>矿区矿体多数裸露地表，仅有少量的表土需要剥离，</w:t>
            </w:r>
            <w:r>
              <w:rPr>
                <w:rFonts w:hint="default" w:ascii="Times New Roman" w:hAnsi="Times New Roman" w:cs="Times New Roman"/>
                <w:color w:val="auto"/>
                <w:szCs w:val="24"/>
                <w:highlight w:val="none"/>
                <w:lang w:val="en-US" w:eastAsia="zh-CN"/>
              </w:rPr>
              <w:t>剥离的</w:t>
            </w:r>
            <w:r>
              <w:rPr>
                <w:rFonts w:hint="eastAsia" w:cs="Times New Roman"/>
                <w:color w:val="auto"/>
                <w:szCs w:val="24"/>
                <w:highlight w:val="none"/>
                <w:lang w:val="en-US" w:eastAsia="zh-CN"/>
              </w:rPr>
              <w:t>0.33万m</w:t>
            </w:r>
            <w:r>
              <w:rPr>
                <w:rFonts w:hint="eastAsia" w:cs="Times New Roman"/>
                <w:color w:val="auto"/>
                <w:szCs w:val="24"/>
                <w:highlight w:val="none"/>
                <w:vertAlign w:val="superscript"/>
                <w:lang w:val="en-US" w:eastAsia="zh-CN"/>
              </w:rPr>
              <w:t>3</w:t>
            </w:r>
            <w:r>
              <w:rPr>
                <w:rFonts w:hint="default" w:ascii="Times New Roman" w:hAnsi="Times New Roman" w:cs="Times New Roman"/>
                <w:color w:val="auto"/>
                <w:szCs w:val="24"/>
                <w:highlight w:val="none"/>
                <w:lang w:val="en-US" w:eastAsia="zh-CN"/>
              </w:rPr>
              <w:t>表土</w:t>
            </w:r>
            <w:r>
              <w:rPr>
                <w:rFonts w:hint="eastAsia" w:cs="Times New Roman"/>
                <w:color w:val="auto"/>
                <w:szCs w:val="24"/>
                <w:highlight w:val="none"/>
                <w:lang w:val="en-US" w:eastAsia="zh-CN"/>
              </w:rPr>
              <w:t>堆放于矿界西侧的临时表土堆场</w:t>
            </w:r>
            <w:r>
              <w:rPr>
                <w:rFonts w:hint="default" w:ascii="Times New Roman" w:hAnsi="Times New Roman" w:eastAsia="宋体" w:cs="Times New Roman"/>
                <w:bCs/>
                <w:color w:val="auto"/>
                <w:szCs w:val="25"/>
                <w:highlight w:val="none"/>
                <w:lang w:eastAsia="zh-CN"/>
              </w:rPr>
              <w:t>，</w:t>
            </w:r>
            <w:r>
              <w:rPr>
                <w:rFonts w:hint="eastAsia" w:cs="宋体"/>
                <w:color w:val="auto"/>
                <w:highlight w:val="none"/>
                <w:lang w:val="en-US" w:eastAsia="zh-CN"/>
              </w:rPr>
              <w:t>用于本项目基建期</w:t>
            </w:r>
            <w:r>
              <w:rPr>
                <w:rFonts w:hint="eastAsia" w:ascii="Times New Roman" w:hAnsi="Times New Roman" w:eastAsia="宋体" w:cs="宋体"/>
                <w:color w:val="auto"/>
                <w:highlight w:val="none"/>
                <w:lang w:val="en-US" w:eastAsia="zh-CN"/>
              </w:rPr>
              <w:t>工业场地</w:t>
            </w:r>
            <w:r>
              <w:rPr>
                <w:rFonts w:hint="eastAsia" w:cs="宋体"/>
                <w:color w:val="auto"/>
                <w:highlight w:val="none"/>
                <w:lang w:val="en-US" w:eastAsia="zh-CN"/>
              </w:rPr>
              <w:t>区、办公生活区</w:t>
            </w:r>
            <w:r>
              <w:rPr>
                <w:rFonts w:hint="eastAsia" w:ascii="Times New Roman" w:hAnsi="Times New Roman" w:eastAsia="宋体" w:cs="宋体"/>
                <w:color w:val="auto"/>
                <w:highlight w:val="none"/>
                <w:lang w:val="en-US" w:eastAsia="zh-CN"/>
              </w:rPr>
              <w:t>平整及运输公路的铺垫</w:t>
            </w:r>
            <w:r>
              <w:rPr>
                <w:rFonts w:hint="default" w:ascii="Times New Roman" w:hAnsi="Times New Roman" w:eastAsia="宋体" w:cs="Times New Roman"/>
                <w:bCs/>
                <w:color w:val="auto"/>
                <w:szCs w:val="25"/>
                <w:highlight w:val="none"/>
                <w:lang w:val="en-US" w:eastAsia="zh-CN"/>
              </w:rPr>
              <w:t>。</w:t>
            </w:r>
          </w:p>
          <w:p w14:paraId="59CC4814">
            <w:pPr>
              <w:ind w:firstLine="480"/>
              <w:outlineLvl w:val="3"/>
              <w:rPr>
                <w:rFonts w:hint="default" w:ascii="Times New Roman" w:hAnsi="Times New Roman" w:cs="Times New Roman"/>
                <w:bCs/>
                <w:color w:val="auto"/>
                <w:szCs w:val="25"/>
                <w:highlight w:val="none"/>
              </w:rPr>
            </w:pPr>
            <w:r>
              <w:rPr>
                <w:rFonts w:hint="default" w:ascii="Times New Roman" w:hAnsi="Times New Roman" w:cs="Times New Roman"/>
                <w:b/>
                <w:bCs w:val="0"/>
                <w:color w:val="auto"/>
                <w:szCs w:val="25"/>
                <w:highlight w:val="none"/>
              </w:rPr>
              <w:t>（5）生态</w:t>
            </w:r>
          </w:p>
          <w:p w14:paraId="0CF60587">
            <w:pPr>
              <w:ind w:firstLine="480"/>
              <w:outlineLvl w:val="3"/>
              <w:rPr>
                <w:rFonts w:hint="default" w:ascii="Times New Roman" w:hAnsi="Times New Roman" w:cs="Times New Roman"/>
                <w:bCs/>
                <w:color w:val="auto"/>
                <w:szCs w:val="25"/>
                <w:highlight w:val="none"/>
              </w:rPr>
            </w:pPr>
            <w:r>
              <w:rPr>
                <w:rFonts w:hint="default" w:ascii="Times New Roman" w:hAnsi="Times New Roman" w:cs="Times New Roman"/>
                <w:bCs/>
                <w:color w:val="auto"/>
                <w:szCs w:val="25"/>
                <w:highlight w:val="none"/>
              </w:rPr>
              <w:t>根据现场踏勘，矿区</w:t>
            </w:r>
            <w:r>
              <w:rPr>
                <w:rFonts w:hint="default" w:ascii="Times New Roman" w:hAnsi="Times New Roman" w:eastAsia="宋体" w:cs="Times New Roman"/>
                <w:color w:val="auto"/>
                <w:highlight w:val="none"/>
                <w:lang w:val="en-US" w:eastAsia="zh-CN"/>
              </w:rPr>
              <w:t>220</w:t>
            </w:r>
            <w:r>
              <w:rPr>
                <w:rFonts w:hint="default" w:ascii="Times New Roman" w:hAnsi="Times New Roman" w:cs="Times New Roman"/>
                <w:color w:val="auto"/>
                <w:highlight w:val="none"/>
                <w:lang w:val="en-US" w:eastAsia="zh-CN"/>
              </w:rPr>
              <w:t>0</w:t>
            </w:r>
            <w:r>
              <w:rPr>
                <w:rFonts w:hint="default" w:ascii="Times New Roman" w:hAnsi="Times New Roman" w:eastAsia="宋体" w:cs="Times New Roman"/>
                <w:color w:val="auto"/>
                <w:highlight w:val="none"/>
                <w:lang w:val="en-US" w:eastAsia="zh-CN"/>
              </w:rPr>
              <w:t>m、2</w:t>
            </w:r>
            <w:r>
              <w:rPr>
                <w:rFonts w:hint="default" w:ascii="Times New Roman" w:hAnsi="Times New Roman" w:cs="Times New Roman"/>
                <w:color w:val="auto"/>
                <w:highlight w:val="none"/>
                <w:lang w:val="en-US" w:eastAsia="zh-CN"/>
              </w:rPr>
              <w:t>192</w:t>
            </w:r>
            <w:r>
              <w:rPr>
                <w:rFonts w:hint="default" w:ascii="Times New Roman" w:hAnsi="Times New Roman" w:eastAsia="宋体" w:cs="Times New Roman"/>
                <w:color w:val="auto"/>
                <w:highlight w:val="none"/>
                <w:lang w:val="en-US" w:eastAsia="zh-CN"/>
              </w:rPr>
              <w:t>m开采平台</w:t>
            </w:r>
            <w:r>
              <w:rPr>
                <w:rFonts w:hint="default" w:ascii="Times New Roman" w:hAnsi="Times New Roman" w:cs="Times New Roman"/>
                <w:bCs/>
                <w:color w:val="auto"/>
                <w:szCs w:val="25"/>
                <w:highlight w:val="none"/>
              </w:rPr>
              <w:t>已</w:t>
            </w:r>
            <w:r>
              <w:rPr>
                <w:rFonts w:hint="default" w:ascii="Times New Roman" w:hAnsi="Times New Roman" w:cs="Times New Roman"/>
                <w:bCs/>
                <w:color w:val="auto"/>
                <w:szCs w:val="25"/>
                <w:highlight w:val="none"/>
                <w:lang w:val="en-US" w:eastAsia="zh-CN"/>
              </w:rPr>
              <w:t>剥离表土</w:t>
            </w:r>
            <w:r>
              <w:rPr>
                <w:rFonts w:hint="default" w:ascii="Times New Roman" w:hAnsi="Times New Roman" w:cs="Times New Roman"/>
                <w:bCs/>
                <w:color w:val="auto"/>
                <w:szCs w:val="25"/>
                <w:highlight w:val="none"/>
              </w:rPr>
              <w:t>，目前项目</w:t>
            </w:r>
            <w:r>
              <w:rPr>
                <w:rFonts w:hint="default" w:ascii="Times New Roman" w:hAnsi="Times New Roman" w:cs="Times New Roman"/>
                <w:bCs/>
                <w:color w:val="auto"/>
                <w:szCs w:val="25"/>
                <w:highlight w:val="none"/>
                <w:lang w:val="en-US" w:eastAsia="zh-CN"/>
              </w:rPr>
              <w:t>还未进行开采</w:t>
            </w:r>
            <w:r>
              <w:rPr>
                <w:rFonts w:hint="default" w:ascii="Times New Roman" w:hAnsi="Times New Roman" w:cs="Times New Roman"/>
                <w:bCs/>
                <w:color w:val="auto"/>
                <w:szCs w:val="25"/>
                <w:highlight w:val="none"/>
              </w:rPr>
              <w:t>，</w:t>
            </w:r>
            <w:r>
              <w:rPr>
                <w:rFonts w:hint="eastAsia" w:cs="Times New Roman"/>
                <w:bCs/>
                <w:color w:val="auto"/>
                <w:szCs w:val="25"/>
                <w:highlight w:val="none"/>
                <w:lang w:val="en-US" w:eastAsia="zh-CN"/>
              </w:rPr>
              <w:t>项目范围</w:t>
            </w:r>
            <w:r>
              <w:rPr>
                <w:rFonts w:hint="default" w:ascii="Times New Roman" w:hAnsi="Times New Roman" w:cs="Times New Roman"/>
                <w:bCs/>
                <w:color w:val="auto"/>
                <w:szCs w:val="25"/>
                <w:highlight w:val="none"/>
                <w:lang w:val="en-US" w:eastAsia="zh-CN"/>
              </w:rPr>
              <w:t>植被</w:t>
            </w:r>
            <w:r>
              <w:rPr>
                <w:rFonts w:hint="eastAsia" w:cs="Times New Roman"/>
                <w:bCs/>
                <w:color w:val="auto"/>
                <w:szCs w:val="25"/>
                <w:highlight w:val="none"/>
                <w:lang w:val="en-US" w:eastAsia="zh-CN"/>
              </w:rPr>
              <w:t>已被</w:t>
            </w:r>
            <w:r>
              <w:rPr>
                <w:rFonts w:hint="default" w:ascii="Times New Roman" w:hAnsi="Times New Roman" w:cs="Times New Roman"/>
                <w:bCs/>
                <w:color w:val="auto"/>
                <w:szCs w:val="25"/>
                <w:highlight w:val="none"/>
                <w:lang w:val="en-US" w:eastAsia="zh-CN"/>
              </w:rPr>
              <w:t>清除，</w:t>
            </w:r>
            <w:r>
              <w:rPr>
                <w:rFonts w:hint="default" w:ascii="Times New Roman" w:hAnsi="Times New Roman" w:cs="Times New Roman"/>
                <w:bCs/>
                <w:color w:val="auto"/>
                <w:szCs w:val="25"/>
                <w:highlight w:val="none"/>
              </w:rPr>
              <w:t>现场无水土流失造成的滑坡、泥石流等灾害发生。</w:t>
            </w:r>
          </w:p>
          <w:p w14:paraId="553ED2D9">
            <w:pPr>
              <w:ind w:firstLine="482"/>
              <w:rPr>
                <w:rFonts w:hint="default" w:ascii="Times New Roman" w:hAnsi="Times New Roman" w:cs="Times New Roman"/>
                <w:b/>
                <w:color w:val="auto"/>
                <w:highlight w:val="none"/>
              </w:rPr>
            </w:pPr>
            <w:r>
              <w:rPr>
                <w:rFonts w:hint="default" w:ascii="Times New Roman" w:hAnsi="Times New Roman" w:cs="Times New Roman"/>
                <w:b/>
                <w:color w:val="auto"/>
                <w:highlight w:val="none"/>
              </w:rPr>
              <w:t>2、存在的主要环境问题</w:t>
            </w:r>
          </w:p>
          <w:p w14:paraId="662BC19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原</w:t>
            </w:r>
            <w:r>
              <w:rPr>
                <w:rFonts w:hint="default" w:ascii="Times New Roman" w:hAnsi="Times New Roman" w:cs="Times New Roman"/>
                <w:color w:val="auto"/>
                <w:highlight w:val="none"/>
              </w:rPr>
              <w:t>有项目存在的主要环境问题：</w:t>
            </w:r>
          </w:p>
          <w:p w14:paraId="6F8EB582">
            <w:pPr>
              <w:numPr>
                <w:ilvl w:val="0"/>
                <w:numId w:val="3"/>
              </w:numPr>
              <w:ind w:firstLine="480"/>
              <w:rPr>
                <w:rFonts w:hint="eastAsia" w:cs="Times New Roman"/>
                <w:color w:val="auto"/>
                <w:highlight w:val="none"/>
                <w:lang w:eastAsia="zh-CN"/>
              </w:rPr>
            </w:pPr>
            <w:r>
              <w:rPr>
                <w:rFonts w:hint="default" w:ascii="Times New Roman" w:hAnsi="Times New Roman" w:cs="Times New Roman"/>
                <w:color w:val="auto"/>
                <w:highlight w:val="none"/>
              </w:rPr>
              <w:t>现有矿山</w:t>
            </w:r>
            <w:r>
              <w:rPr>
                <w:rFonts w:hint="default" w:ascii="Times New Roman" w:hAnsi="Times New Roman" w:cs="Times New Roman"/>
                <w:color w:val="auto"/>
                <w:highlight w:val="none"/>
                <w:lang w:val="en-US" w:eastAsia="zh-CN"/>
              </w:rPr>
              <w:t>大</w:t>
            </w:r>
            <w:r>
              <w:rPr>
                <w:rFonts w:hint="default" w:ascii="Times New Roman" w:hAnsi="Times New Roman" w:cs="Times New Roman"/>
                <w:color w:val="auto"/>
                <w:highlight w:val="none"/>
              </w:rPr>
              <w:t>部分植被全部破坏</w:t>
            </w:r>
            <w:r>
              <w:rPr>
                <w:rFonts w:hint="eastAsia" w:cs="Times New Roman"/>
                <w:color w:val="auto"/>
                <w:highlight w:val="none"/>
                <w:lang w:eastAsia="zh-CN"/>
              </w:rPr>
              <w:t>；</w:t>
            </w:r>
          </w:p>
          <w:p w14:paraId="785A263A">
            <w:pPr>
              <w:numPr>
                <w:ilvl w:val="0"/>
                <w:numId w:val="3"/>
              </w:numPr>
              <w:ind w:firstLine="480"/>
              <w:rPr>
                <w:rFonts w:hint="eastAsia" w:cs="Times New Roman"/>
                <w:color w:val="auto"/>
                <w:highlight w:val="none"/>
                <w:lang w:eastAsia="zh-CN"/>
              </w:rPr>
            </w:pPr>
            <w:r>
              <w:rPr>
                <w:rFonts w:hint="eastAsia" w:cs="Times New Roman"/>
                <w:color w:val="auto"/>
                <w:highlight w:val="none"/>
                <w:lang w:val="en-US" w:eastAsia="zh-CN"/>
              </w:rPr>
              <w:t>矿山道路扬尘，临时表土堆场扬尘。</w:t>
            </w:r>
          </w:p>
          <w:p w14:paraId="458E5D12">
            <w:pPr>
              <w:ind w:firstLine="482"/>
              <w:outlineLvl w:val="3"/>
              <w:rPr>
                <w:rFonts w:hint="default" w:ascii="Times New Roman" w:hAnsi="Times New Roman" w:cs="Times New Roman"/>
                <w:b/>
                <w:color w:val="auto"/>
                <w:szCs w:val="25"/>
                <w:highlight w:val="none"/>
              </w:rPr>
            </w:pPr>
            <w:r>
              <w:rPr>
                <w:rFonts w:hint="default" w:ascii="Times New Roman" w:hAnsi="Times New Roman" w:cs="Times New Roman"/>
                <w:b/>
                <w:color w:val="auto"/>
                <w:szCs w:val="25"/>
                <w:highlight w:val="none"/>
              </w:rPr>
              <w:t>3、“以新带老”环保措施</w:t>
            </w:r>
          </w:p>
          <w:p w14:paraId="019553F5">
            <w:pPr>
              <w:ind w:firstLine="480"/>
              <w:outlineLvl w:val="3"/>
              <w:rPr>
                <w:rFonts w:hint="default" w:ascii="Times New Roman" w:hAnsi="Times New Roman" w:cs="Times New Roman"/>
                <w:bCs/>
                <w:color w:val="auto"/>
                <w:szCs w:val="25"/>
                <w:highlight w:val="none"/>
              </w:rPr>
            </w:pPr>
            <w:r>
              <w:rPr>
                <w:rFonts w:hint="default" w:ascii="Times New Roman" w:hAnsi="Times New Roman" w:cs="Times New Roman"/>
                <w:bCs/>
                <w:color w:val="auto"/>
                <w:szCs w:val="25"/>
                <w:highlight w:val="none"/>
              </w:rPr>
              <w:t>本次扩建对照原项目环境影响报告</w:t>
            </w:r>
            <w:r>
              <w:rPr>
                <w:rFonts w:hint="default" w:ascii="Times New Roman" w:hAnsi="Times New Roman" w:cs="Times New Roman"/>
                <w:bCs/>
                <w:color w:val="auto"/>
                <w:szCs w:val="25"/>
                <w:highlight w:val="none"/>
                <w:lang w:val="en-US" w:eastAsia="zh-CN"/>
              </w:rPr>
              <w:t>书</w:t>
            </w:r>
            <w:r>
              <w:rPr>
                <w:rFonts w:hint="default" w:ascii="Times New Roman" w:hAnsi="Times New Roman" w:cs="Times New Roman"/>
                <w:bCs/>
                <w:color w:val="auto"/>
                <w:szCs w:val="25"/>
                <w:highlight w:val="none"/>
              </w:rPr>
              <w:t>中的污染物治理措施，提出以下“以新带老”措施。</w:t>
            </w:r>
          </w:p>
          <w:p w14:paraId="3514C61B">
            <w:pPr>
              <w:numPr>
                <w:ilvl w:val="0"/>
                <w:numId w:val="0"/>
              </w:numPr>
              <w:ind w:firstLine="480" w:firstLineChars="200"/>
              <w:outlineLvl w:val="3"/>
              <w:rPr>
                <w:rFonts w:hint="default" w:ascii="Times New Roman" w:hAnsi="Times New Roman" w:cs="Times New Roman"/>
                <w:bCs/>
                <w:color w:val="auto"/>
                <w:szCs w:val="25"/>
                <w:highlight w:val="none"/>
              </w:rPr>
            </w:pPr>
            <w:r>
              <w:rPr>
                <w:rFonts w:hint="default" w:ascii="Times New Roman" w:hAnsi="Times New Roman" w:eastAsia="宋体" w:cs="Times New Roman"/>
                <w:bCs/>
                <w:color w:val="auto"/>
                <w:kern w:val="2"/>
                <w:sz w:val="24"/>
                <w:szCs w:val="25"/>
                <w:lang w:val="en-US" w:eastAsia="zh-CN" w:bidi="ar-SA"/>
              </w:rPr>
              <w:t>（1）</w:t>
            </w:r>
            <w:r>
              <w:rPr>
                <w:rFonts w:hint="default" w:ascii="Times New Roman" w:hAnsi="Times New Roman" w:cs="Times New Roman"/>
                <w:bCs/>
                <w:color w:val="auto"/>
                <w:szCs w:val="25"/>
                <w:highlight w:val="none"/>
              </w:rPr>
              <w:t>增加矿山道路</w:t>
            </w:r>
            <w:r>
              <w:rPr>
                <w:rFonts w:hint="eastAsia" w:cs="Times New Roman"/>
                <w:bCs/>
                <w:color w:val="auto"/>
                <w:szCs w:val="25"/>
                <w:highlight w:val="none"/>
                <w:lang w:eastAsia="zh-CN"/>
              </w:rPr>
              <w:t>、</w:t>
            </w:r>
            <w:r>
              <w:rPr>
                <w:rFonts w:hint="eastAsia" w:cs="Times New Roman"/>
                <w:bCs/>
                <w:color w:val="auto"/>
                <w:szCs w:val="25"/>
                <w:highlight w:val="none"/>
                <w:lang w:val="en-US" w:eastAsia="zh-CN"/>
              </w:rPr>
              <w:t>临时表土堆场</w:t>
            </w:r>
            <w:r>
              <w:rPr>
                <w:rFonts w:hint="default" w:ascii="Times New Roman" w:hAnsi="Times New Roman" w:cs="Times New Roman"/>
                <w:bCs/>
                <w:color w:val="auto"/>
                <w:szCs w:val="25"/>
                <w:highlight w:val="none"/>
              </w:rPr>
              <w:t>洒水频次，最大程度降低扬尘产生及排放；</w:t>
            </w:r>
          </w:p>
        </w:tc>
      </w:tr>
      <w:tr w14:paraId="46B092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77" w:hRule="atLeast"/>
        </w:trPr>
        <w:tc>
          <w:tcPr>
            <w:tcW w:w="447" w:type="dxa"/>
            <w:vAlign w:val="center"/>
          </w:tcPr>
          <w:p w14:paraId="30BB8DDB">
            <w:pPr>
              <w:spacing w:line="240" w:lineRule="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生态环境保护目标</w:t>
            </w:r>
          </w:p>
        </w:tc>
        <w:tc>
          <w:tcPr>
            <w:tcW w:w="8075" w:type="dxa"/>
            <w:vAlign w:val="center"/>
          </w:tcPr>
          <w:p w14:paraId="6665730D">
            <w:pPr>
              <w:numPr>
                <w:ilvl w:val="0"/>
                <w:numId w:val="4"/>
              </w:numPr>
              <w:adjustRightInd w:val="0"/>
              <w:spacing w:before="156" w:beforeLines="5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大气环境保护目标</w:t>
            </w:r>
          </w:p>
          <w:p w14:paraId="2DFFFF48">
            <w:pPr>
              <w:adjustRightInd w:val="0"/>
              <w:ind w:firstLine="48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根据现场踏勘及调查，项目厂界外500m范围内无自然保护区、风景名胜区、居民区等环境保护目标</w:t>
            </w:r>
            <w:r>
              <w:rPr>
                <w:rFonts w:hint="eastAsia" w:cs="Times New Roman"/>
                <w:color w:val="auto"/>
                <w:kern w:val="0"/>
                <w:szCs w:val="21"/>
                <w:highlight w:val="none"/>
                <w:lang w:eastAsia="zh-CN"/>
              </w:rPr>
              <w:t>，</w:t>
            </w:r>
            <w:r>
              <w:rPr>
                <w:rFonts w:hint="eastAsia" w:cs="Times New Roman"/>
                <w:color w:val="auto"/>
                <w:kern w:val="0"/>
                <w:szCs w:val="21"/>
                <w:highlight w:val="none"/>
                <w:lang w:val="en-US" w:eastAsia="zh-CN"/>
              </w:rPr>
              <w:t>与项目最近的村庄为北侧稗子田村，直线距离约546m</w:t>
            </w:r>
            <w:r>
              <w:rPr>
                <w:rFonts w:hint="default" w:ascii="Times New Roman" w:hAnsi="Times New Roman" w:cs="Times New Roman"/>
                <w:color w:val="auto"/>
                <w:kern w:val="0"/>
                <w:szCs w:val="21"/>
                <w:highlight w:val="none"/>
              </w:rPr>
              <w:t>。</w:t>
            </w:r>
          </w:p>
          <w:p w14:paraId="50F13CF4">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2、声环境保护目标</w:t>
            </w:r>
          </w:p>
          <w:p w14:paraId="3CD282B4">
            <w:pPr>
              <w:adjustRightInd w:val="0"/>
              <w:ind w:firstLine="48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根据现场踏勘及调查，项目厂界外</w:t>
            </w:r>
            <w:r>
              <w:rPr>
                <w:rFonts w:hint="eastAsia" w:cs="Times New Roman"/>
                <w:color w:val="auto"/>
                <w:kern w:val="0"/>
                <w:szCs w:val="21"/>
                <w:highlight w:val="none"/>
                <w:lang w:val="en-US" w:eastAsia="zh-CN"/>
              </w:rPr>
              <w:t>50</w:t>
            </w:r>
            <w:r>
              <w:rPr>
                <w:rFonts w:hint="default" w:ascii="Times New Roman" w:hAnsi="Times New Roman" w:cs="Times New Roman"/>
                <w:color w:val="auto"/>
                <w:kern w:val="0"/>
                <w:szCs w:val="21"/>
                <w:highlight w:val="none"/>
              </w:rPr>
              <w:t>m范围内无需要保持安静的建筑物及建筑物集中区等声环境敏感点，因此本次评价不设声环境保护目标。</w:t>
            </w:r>
          </w:p>
          <w:p w14:paraId="09C591C2">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3、地表水环境保护目标</w:t>
            </w:r>
          </w:p>
          <w:p w14:paraId="507099A7">
            <w:pPr>
              <w:adjustRightInd w:val="0"/>
              <w:ind w:firstLine="48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根据《环境影响评价技术导则 地表水环境》（HJ2.3-2018），地表水环境保护目标为饮用水水源保护区、饮用水取水口，涉水的自然保护区、风景名胜区，重要湿地、重点保护与珍稀水生生物的栖息地、重要水生生物的自然产卵场及索饵场、越冬场和洄游通道，天然渔场等渔业水体，以及水产种质资源保护区等。</w:t>
            </w:r>
          </w:p>
          <w:p w14:paraId="4EDA2273">
            <w:pPr>
              <w:adjustRightInd w:val="0"/>
              <w:ind w:firstLine="480"/>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t>项目区域主要地表水为</w:t>
            </w:r>
            <w:r>
              <w:rPr>
                <w:rFonts w:hint="default" w:ascii="Times New Roman" w:hAnsi="Times New Roman" w:cs="Times New Roman"/>
                <w:color w:val="auto"/>
                <w:highlight w:val="none"/>
                <w:lang w:val="en-US" w:eastAsia="zh-CN"/>
              </w:rPr>
              <w:t>东北侧1700m的</w:t>
            </w:r>
            <w:r>
              <w:rPr>
                <w:rFonts w:hint="default" w:ascii="Times New Roman" w:hAnsi="Times New Roman" w:cs="Times New Roman"/>
                <w:color w:val="auto"/>
                <w:highlight w:val="none"/>
              </w:rPr>
              <w:t>小河箐，小河箐向</w:t>
            </w:r>
            <w:r>
              <w:rPr>
                <w:rFonts w:hint="default" w:ascii="Times New Roman" w:hAnsi="Times New Roman" w:cs="Times New Roman"/>
                <w:color w:val="auto"/>
                <w:highlight w:val="none"/>
                <w:lang w:val="en-US" w:eastAsia="zh-CN"/>
              </w:rPr>
              <w:t>东</w:t>
            </w:r>
            <w:r>
              <w:rPr>
                <w:rFonts w:hint="default" w:ascii="Times New Roman" w:hAnsi="Times New Roman" w:cs="Times New Roman"/>
                <w:color w:val="auto"/>
                <w:highlight w:val="none"/>
              </w:rPr>
              <w:t>南流经乐朗村后汇入柯渡河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柯渡河和可朗河交汇后称为木板河，最后汇入普渡河，项目区域水系属于普渡河流域</w:t>
            </w:r>
            <w:r>
              <w:rPr>
                <w:rFonts w:hint="default" w:ascii="Times New Roman" w:hAnsi="Times New Roman" w:cs="Times New Roman"/>
                <w:color w:val="auto"/>
                <w:highlight w:val="none"/>
              </w:rPr>
              <w:t>。</w:t>
            </w:r>
            <w:r>
              <w:rPr>
                <w:rFonts w:hint="default" w:ascii="Times New Roman" w:hAnsi="Times New Roman" w:cs="Times New Roman"/>
                <w:color w:val="auto"/>
                <w:kern w:val="0"/>
                <w:szCs w:val="21"/>
                <w:highlight w:val="none"/>
              </w:rPr>
              <w:t>不涉及上述地表水环境保护目标，且本项目无废水外排，因此</w:t>
            </w:r>
            <w:r>
              <w:rPr>
                <w:rFonts w:hint="default" w:ascii="Times New Roman" w:hAnsi="Times New Roman" w:cs="Times New Roman"/>
                <w:b w:val="0"/>
                <w:bCs/>
                <w:caps w:val="0"/>
                <w:smallCaps w:val="0"/>
                <w:color w:val="auto"/>
                <w:sz w:val="24"/>
                <w:szCs w:val="24"/>
                <w:highlight w:val="none"/>
              </w:rPr>
              <w:t>小河箐</w:t>
            </w:r>
            <w:r>
              <w:rPr>
                <w:rFonts w:hint="default" w:ascii="Times New Roman" w:hAnsi="Times New Roman" w:cs="Times New Roman"/>
                <w:color w:val="auto"/>
                <w:kern w:val="0"/>
                <w:szCs w:val="21"/>
                <w:highlight w:val="none"/>
              </w:rPr>
              <w:t>不列为地表水环境保护目标。</w:t>
            </w:r>
          </w:p>
          <w:p w14:paraId="3F1520BD">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4、地下水环境保护目标</w:t>
            </w:r>
          </w:p>
          <w:p w14:paraId="2895DB69">
            <w:pPr>
              <w:adjustRightInd w:val="0"/>
              <w:ind w:firstLine="48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根据现场踏勘及调查，项目厂界外500m范围内无地下水集中式饮用水源点和热水、矿泉水、温泉等特殊地下水资源，项目本次评价不设地下水环境保护目标。</w:t>
            </w:r>
          </w:p>
          <w:p w14:paraId="180F2270">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 xml:space="preserve">5、生态环境保护目标  </w:t>
            </w:r>
          </w:p>
          <w:p w14:paraId="17A8ED9E">
            <w:pPr>
              <w:ind w:firstLine="480"/>
              <w:outlineLvl w:val="3"/>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kern w:val="0"/>
                <w:szCs w:val="21"/>
                <w:highlight w:val="none"/>
              </w:rPr>
              <w:t>项目区周边不涉及自然保护区、风景名胜区</w:t>
            </w:r>
            <w:r>
              <w:rPr>
                <w:rFonts w:hint="eastAsia" w:cs="Times New Roman"/>
                <w:color w:val="auto"/>
                <w:kern w:val="0"/>
                <w:szCs w:val="21"/>
                <w:highlight w:val="none"/>
                <w:lang w:eastAsia="zh-CN"/>
              </w:rPr>
              <w:t>、</w:t>
            </w:r>
            <w:r>
              <w:rPr>
                <w:rFonts w:hint="eastAsia" w:cs="Times New Roman"/>
                <w:color w:val="auto"/>
                <w:kern w:val="0"/>
                <w:szCs w:val="21"/>
                <w:highlight w:val="none"/>
                <w:lang w:val="en-US" w:eastAsia="zh-CN"/>
              </w:rPr>
              <w:t>生态保护红线</w:t>
            </w:r>
            <w:r>
              <w:rPr>
                <w:rFonts w:hint="default" w:ascii="Times New Roman" w:hAnsi="Times New Roman" w:cs="Times New Roman"/>
                <w:color w:val="auto"/>
                <w:kern w:val="0"/>
                <w:szCs w:val="21"/>
                <w:highlight w:val="none"/>
              </w:rPr>
              <w:t>等生态环境敏感点，项目生态环境保护目标主要是采矿区直接及间接影响区范围内植被、动物、水土流失等（间接影响区为以项目各分区最外边界外延</w:t>
            </w:r>
            <w:r>
              <w:rPr>
                <w:rFonts w:hint="eastAsia" w:cs="Times New Roman"/>
                <w:color w:val="auto"/>
                <w:kern w:val="0"/>
                <w:szCs w:val="21"/>
                <w:highlight w:val="none"/>
                <w:lang w:val="en-US" w:eastAsia="zh-CN"/>
              </w:rPr>
              <w:t>3</w:t>
            </w:r>
            <w:r>
              <w:rPr>
                <w:rFonts w:hint="default" w:ascii="Times New Roman" w:hAnsi="Times New Roman" w:cs="Times New Roman"/>
                <w:color w:val="auto"/>
                <w:kern w:val="0"/>
                <w:szCs w:val="21"/>
                <w:highlight w:val="none"/>
              </w:rPr>
              <w:t>00m的区域范围）。</w:t>
            </w:r>
            <w:r>
              <w:rPr>
                <w:rFonts w:hint="eastAsia" w:cs="Times New Roman"/>
                <w:color w:val="auto"/>
                <w:kern w:val="0"/>
                <w:szCs w:val="21"/>
                <w:highlight w:val="none"/>
                <w:lang w:val="en-US" w:eastAsia="zh-CN"/>
              </w:rPr>
              <w:t>项目范围不涉及永久基本农田，但</w:t>
            </w:r>
            <w:r>
              <w:rPr>
                <w:rFonts w:hint="eastAsia"/>
                <w:color w:val="auto"/>
                <w:lang w:val="en-US" w:eastAsia="zh-CN"/>
              </w:rPr>
              <w:t>项目范围北侧边界线紧邻永久基本农田，距离约1m，故将永久基本农田设为生态环境保护目标。</w:t>
            </w:r>
          </w:p>
        </w:tc>
      </w:tr>
      <w:tr w14:paraId="7C2321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47" w:type="dxa"/>
            <w:vAlign w:val="center"/>
          </w:tcPr>
          <w:p w14:paraId="7EEF2DA0">
            <w:pPr>
              <w:spacing w:line="240" w:lineRule="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评价标准</w:t>
            </w:r>
          </w:p>
        </w:tc>
        <w:tc>
          <w:tcPr>
            <w:tcW w:w="8075" w:type="dxa"/>
            <w:vAlign w:val="center"/>
          </w:tcPr>
          <w:p w14:paraId="38B649E3">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一、环境质量标准</w:t>
            </w:r>
          </w:p>
          <w:p w14:paraId="443D5F8F">
            <w:pPr>
              <w:tabs>
                <w:tab w:val="left" w:pos="1684"/>
              </w:tabs>
              <w:ind w:firstLine="482"/>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1、环境空气</w:t>
            </w:r>
          </w:p>
          <w:p w14:paraId="0187BF7A">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本项目位于</w:t>
            </w:r>
            <w:r>
              <w:rPr>
                <w:rFonts w:hint="default" w:ascii="Times New Roman" w:hAnsi="Times New Roman" w:cs="Times New Roman"/>
                <w:color w:val="auto"/>
                <w:highlight w:val="none"/>
              </w:rPr>
              <w:t>寻甸县柯渡镇乐郎村委会稗子田村境内</w:t>
            </w:r>
            <w:r>
              <w:rPr>
                <w:rFonts w:hint="default" w:ascii="Times New Roman" w:hAnsi="Times New Roman" w:cs="Times New Roman"/>
                <w:snapToGrid w:val="0"/>
                <w:color w:val="auto"/>
                <w:szCs w:val="24"/>
                <w:highlight w:val="none"/>
              </w:rPr>
              <w:t>，</w:t>
            </w:r>
            <w:r>
              <w:rPr>
                <w:rFonts w:hint="default" w:ascii="Times New Roman" w:hAnsi="Times New Roman" w:cs="Times New Roman"/>
                <w:color w:val="auto"/>
                <w:kern w:val="0"/>
                <w:szCs w:val="24"/>
                <w:highlight w:val="none"/>
              </w:rPr>
              <w:t>属于</w:t>
            </w:r>
            <w:r>
              <w:rPr>
                <w:rFonts w:hint="default" w:ascii="Times New Roman" w:hAnsi="Times New Roman" w:cs="Times New Roman"/>
                <w:color w:val="auto"/>
                <w:szCs w:val="24"/>
                <w:highlight w:val="none"/>
              </w:rPr>
              <w:t>环境空气质量功能区划二类区，执行</w:t>
            </w:r>
            <w:r>
              <w:rPr>
                <w:rFonts w:hint="default" w:ascii="Times New Roman" w:hAnsi="Times New Roman" w:cs="Times New Roman"/>
                <w:color w:val="auto"/>
                <w:highlight w:val="none"/>
                <w:lang w:val="en-US" w:eastAsia="zh-CN"/>
              </w:rPr>
              <w:t>《环境空气质量标准》（GB3095-2026）二级标准</w:t>
            </w:r>
            <w:r>
              <w:rPr>
                <w:rFonts w:hint="default" w:ascii="Times New Roman" w:hAnsi="Times New Roman" w:cs="Times New Roman"/>
                <w:color w:val="auto"/>
                <w:szCs w:val="24"/>
                <w:highlight w:val="none"/>
              </w:rPr>
              <w:t>，具体标准值见下表3-5。</w:t>
            </w:r>
          </w:p>
          <w:p w14:paraId="4FC96C95">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表3-5  环境空气质量标准</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3"/>
              <w:gridCol w:w="2134"/>
              <w:gridCol w:w="1265"/>
              <w:gridCol w:w="938"/>
              <w:gridCol w:w="2065"/>
            </w:tblGrid>
            <w:tr w14:paraId="2DC1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restart"/>
                  <w:noWrap w:val="0"/>
                  <w:vAlign w:val="center"/>
                </w:tcPr>
                <w:p w14:paraId="20D944BA">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污染物名称</w:t>
                  </w:r>
                </w:p>
              </w:tc>
              <w:tc>
                <w:tcPr>
                  <w:tcW w:w="1360" w:type="pct"/>
                  <w:vMerge w:val="restart"/>
                  <w:noWrap w:val="0"/>
                  <w:vAlign w:val="center"/>
                </w:tcPr>
                <w:p w14:paraId="2CBE8568">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取值时间</w:t>
                  </w:r>
                </w:p>
              </w:tc>
              <w:tc>
                <w:tcPr>
                  <w:tcW w:w="806" w:type="pct"/>
                  <w:noWrap w:val="0"/>
                  <w:vAlign w:val="center"/>
                </w:tcPr>
                <w:p w14:paraId="48F4736D">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过渡阶段浓度限值</w:t>
                  </w:r>
                </w:p>
              </w:tc>
              <w:tc>
                <w:tcPr>
                  <w:tcW w:w="598" w:type="pct"/>
                  <w:vMerge w:val="restart"/>
                  <w:noWrap w:val="0"/>
                  <w:vAlign w:val="center"/>
                </w:tcPr>
                <w:p w14:paraId="377DD2D7">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单位</w:t>
                  </w:r>
                </w:p>
              </w:tc>
              <w:tc>
                <w:tcPr>
                  <w:tcW w:w="1316" w:type="pct"/>
                  <w:vMerge w:val="restart"/>
                  <w:noWrap w:val="0"/>
                  <w:vAlign w:val="center"/>
                </w:tcPr>
                <w:p w14:paraId="5DF2F5DB">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标准来源</w:t>
                  </w:r>
                </w:p>
              </w:tc>
            </w:tr>
            <w:tr w14:paraId="653B5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continue"/>
                  <w:noWrap w:val="0"/>
                  <w:vAlign w:val="center"/>
                </w:tcPr>
                <w:p w14:paraId="55098C20">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Cs/>
                      <w:color w:val="auto"/>
                      <w:sz w:val="21"/>
                      <w:szCs w:val="21"/>
                      <w:highlight w:val="none"/>
                    </w:rPr>
                  </w:pPr>
                </w:p>
              </w:tc>
              <w:tc>
                <w:tcPr>
                  <w:tcW w:w="1360" w:type="pct"/>
                  <w:vMerge w:val="continue"/>
                  <w:noWrap w:val="0"/>
                  <w:vAlign w:val="center"/>
                </w:tcPr>
                <w:p w14:paraId="050D238A">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p>
              </w:tc>
              <w:tc>
                <w:tcPr>
                  <w:tcW w:w="806" w:type="pct"/>
                  <w:noWrap w:val="0"/>
                  <w:vAlign w:val="center"/>
                </w:tcPr>
                <w:p w14:paraId="1921D865">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二级</w:t>
                  </w:r>
                </w:p>
              </w:tc>
              <w:tc>
                <w:tcPr>
                  <w:tcW w:w="598" w:type="pct"/>
                  <w:vMerge w:val="continue"/>
                  <w:noWrap w:val="0"/>
                  <w:vAlign w:val="center"/>
                </w:tcPr>
                <w:p w14:paraId="4932204E">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Cs/>
                      <w:color w:val="auto"/>
                      <w:sz w:val="21"/>
                      <w:szCs w:val="21"/>
                      <w:highlight w:val="none"/>
                    </w:rPr>
                  </w:pPr>
                </w:p>
              </w:tc>
              <w:tc>
                <w:tcPr>
                  <w:tcW w:w="1316" w:type="pct"/>
                  <w:vMerge w:val="continue"/>
                  <w:noWrap w:val="0"/>
                  <w:vAlign w:val="center"/>
                </w:tcPr>
                <w:p w14:paraId="3B4E0544">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bCs/>
                      <w:color w:val="auto"/>
                      <w:sz w:val="21"/>
                      <w:szCs w:val="21"/>
                      <w:highlight w:val="none"/>
                    </w:rPr>
                  </w:pPr>
                </w:p>
              </w:tc>
            </w:tr>
            <w:tr w14:paraId="6BDC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restart"/>
                  <w:noWrap w:val="0"/>
                  <w:vAlign w:val="center"/>
                </w:tcPr>
                <w:p w14:paraId="34290FF7">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p>
              </w:tc>
              <w:tc>
                <w:tcPr>
                  <w:tcW w:w="1360" w:type="pct"/>
                  <w:noWrap w:val="0"/>
                  <w:vAlign w:val="center"/>
                </w:tcPr>
                <w:p w14:paraId="1DC4951B">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年平均</w:t>
                  </w:r>
                </w:p>
              </w:tc>
              <w:tc>
                <w:tcPr>
                  <w:tcW w:w="806" w:type="pct"/>
                  <w:noWrap w:val="0"/>
                  <w:vAlign w:val="center"/>
                </w:tcPr>
                <w:p w14:paraId="06338B16">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60</w:t>
                  </w:r>
                </w:p>
              </w:tc>
              <w:tc>
                <w:tcPr>
                  <w:tcW w:w="598" w:type="pct"/>
                  <w:vMerge w:val="restart"/>
                  <w:noWrap w:val="0"/>
                  <w:vAlign w:val="center"/>
                </w:tcPr>
                <w:p w14:paraId="574C0D1E">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μg/m</w:t>
                  </w:r>
                  <w:r>
                    <w:rPr>
                      <w:rFonts w:hint="default" w:ascii="Times New Roman" w:hAnsi="Times New Roman" w:cs="Times New Roman"/>
                      <w:color w:val="auto"/>
                      <w:sz w:val="21"/>
                      <w:szCs w:val="21"/>
                      <w:highlight w:val="none"/>
                      <w:vertAlign w:val="superscript"/>
                    </w:rPr>
                    <w:t>3</w:t>
                  </w:r>
                </w:p>
              </w:tc>
              <w:tc>
                <w:tcPr>
                  <w:tcW w:w="1316" w:type="pct"/>
                  <w:vMerge w:val="restart"/>
                  <w:noWrap w:val="0"/>
                  <w:vAlign w:val="center"/>
                </w:tcPr>
                <w:p w14:paraId="10652A3A">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《环境空气质量标准》（GB3095-2026）</w:t>
                  </w:r>
                </w:p>
              </w:tc>
            </w:tr>
            <w:tr w14:paraId="22A6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continue"/>
                  <w:noWrap w:val="0"/>
                  <w:vAlign w:val="center"/>
                </w:tcPr>
                <w:p w14:paraId="6F9A9BBE">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60" w:type="pct"/>
                  <w:noWrap w:val="0"/>
                  <w:vAlign w:val="center"/>
                </w:tcPr>
                <w:p w14:paraId="115369E6">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24小时平均</w:t>
                  </w:r>
                </w:p>
              </w:tc>
              <w:tc>
                <w:tcPr>
                  <w:tcW w:w="806" w:type="pct"/>
                  <w:noWrap w:val="0"/>
                  <w:vAlign w:val="center"/>
                </w:tcPr>
                <w:p w14:paraId="0F9304F2">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150</w:t>
                  </w:r>
                </w:p>
              </w:tc>
              <w:tc>
                <w:tcPr>
                  <w:tcW w:w="598" w:type="pct"/>
                  <w:vMerge w:val="continue"/>
                  <w:noWrap w:val="0"/>
                  <w:vAlign w:val="center"/>
                </w:tcPr>
                <w:p w14:paraId="0EC05EF5">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367C1092">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6F95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continue"/>
                  <w:noWrap w:val="0"/>
                  <w:vAlign w:val="center"/>
                </w:tcPr>
                <w:p w14:paraId="05713BBD">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60" w:type="pct"/>
                  <w:noWrap w:val="0"/>
                  <w:vAlign w:val="center"/>
                </w:tcPr>
                <w:p w14:paraId="18CAB411">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1小时平均</w:t>
                  </w:r>
                </w:p>
              </w:tc>
              <w:tc>
                <w:tcPr>
                  <w:tcW w:w="806" w:type="pct"/>
                  <w:noWrap w:val="0"/>
                  <w:vAlign w:val="center"/>
                </w:tcPr>
                <w:p w14:paraId="0D77C379">
                  <w:pPr>
                    <w:pStyle w:val="88"/>
                    <w:keepNext w:val="0"/>
                    <w:keepLines w:val="0"/>
                    <w:pageBreakBefore w:val="0"/>
                    <w:widowControl w:val="0"/>
                    <w:kinsoku/>
                    <w:overflowPunct/>
                    <w:topLinePunct w:val="0"/>
                    <w:bidi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w:t>
                  </w:r>
                </w:p>
              </w:tc>
              <w:tc>
                <w:tcPr>
                  <w:tcW w:w="598" w:type="pct"/>
                  <w:vMerge w:val="continue"/>
                  <w:noWrap w:val="0"/>
                  <w:vAlign w:val="center"/>
                </w:tcPr>
                <w:p w14:paraId="1FAF8EBB">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7B336B61">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34B0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restart"/>
                  <w:noWrap w:val="0"/>
                  <w:vAlign w:val="center"/>
                </w:tcPr>
                <w:p w14:paraId="47EC3ECE">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1360" w:type="pct"/>
                  <w:noWrap w:val="0"/>
                  <w:vAlign w:val="center"/>
                </w:tcPr>
                <w:p w14:paraId="1FD7502D">
                  <w:pPr>
                    <w:pStyle w:val="54"/>
                    <w:keepNext w:val="0"/>
                    <w:keepLines w:val="0"/>
                    <w:pageBreakBefore w:val="0"/>
                    <w:widowControl w:val="0"/>
                    <w:kinsoku/>
                    <w:overflowPunct/>
                    <w:topLinePunct w:val="0"/>
                    <w:bidi w:val="0"/>
                    <w:adjustRightInd w:val="0"/>
                    <w:snapToGrid w:val="0"/>
                    <w:spacing w:after="0" w:afterLines="0" w:afterAutospacing="0" w:line="240" w:lineRule="auto"/>
                    <w:ind w:left="0" w:leftChars="0" w:firstLine="0" w:firstLineChars="0"/>
                    <w:jc w:val="center"/>
                    <w:textAlignment w:val="auto"/>
                    <w:rPr>
                      <w:rFonts w:hint="default" w:ascii="Times New Roman" w:hAnsi="Times New Roman" w:eastAsia="宋体" w:cs="Times New Roman"/>
                      <w:b w:val="0"/>
                      <w:bCs/>
                      <w:snapToGrid w:val="0"/>
                      <w:color w:val="auto"/>
                      <w:kern w:val="2"/>
                      <w:sz w:val="21"/>
                      <w:szCs w:val="21"/>
                      <w:highlight w:val="none"/>
                      <w:lang w:val="en-US" w:eastAsia="zh-CN" w:bidi="ar-SA"/>
                    </w:rPr>
                  </w:pPr>
                  <w:r>
                    <w:rPr>
                      <w:rFonts w:hint="default" w:ascii="Times New Roman" w:hAnsi="Times New Roman" w:eastAsia="宋体" w:cs="Times New Roman"/>
                      <w:b w:val="0"/>
                      <w:bCs/>
                      <w:snapToGrid w:val="0"/>
                      <w:color w:val="auto"/>
                      <w:kern w:val="2"/>
                      <w:sz w:val="21"/>
                      <w:szCs w:val="21"/>
                      <w:highlight w:val="none"/>
                      <w:lang w:val="en-US" w:eastAsia="zh-CN" w:bidi="ar-SA"/>
                    </w:rPr>
                    <w:t>年平均</w:t>
                  </w:r>
                </w:p>
              </w:tc>
              <w:tc>
                <w:tcPr>
                  <w:tcW w:w="806" w:type="pct"/>
                  <w:noWrap w:val="0"/>
                  <w:vAlign w:val="center"/>
                </w:tcPr>
                <w:p w14:paraId="4B1C69CC">
                  <w:pPr>
                    <w:pStyle w:val="54"/>
                    <w:keepNext w:val="0"/>
                    <w:keepLines w:val="0"/>
                    <w:pageBreakBefore w:val="0"/>
                    <w:widowControl w:val="0"/>
                    <w:kinsoku/>
                    <w:overflowPunct/>
                    <w:topLinePunct w:val="0"/>
                    <w:bidi w:val="0"/>
                    <w:adjustRightInd w:val="0"/>
                    <w:snapToGrid w:val="0"/>
                    <w:spacing w:line="240" w:lineRule="auto"/>
                    <w:ind w:left="0" w:leftChars="0" w:firstLine="0" w:firstLineChars="0"/>
                    <w:jc w:val="center"/>
                    <w:textAlignment w:val="auto"/>
                    <w:rPr>
                      <w:rFonts w:hint="default" w:ascii="Times New Roman" w:hAnsi="Times New Roman" w:cs="Times New Roman"/>
                      <w:b w:val="0"/>
                      <w:bCs/>
                      <w:color w:val="auto"/>
                      <w:kern w:val="0"/>
                      <w:sz w:val="21"/>
                      <w:szCs w:val="21"/>
                      <w:highlight w:val="none"/>
                    </w:rPr>
                  </w:pPr>
                  <w:r>
                    <w:rPr>
                      <w:rFonts w:hint="default" w:ascii="Times New Roman" w:hAnsi="Times New Roman" w:cs="Times New Roman"/>
                      <w:b w:val="0"/>
                      <w:bCs/>
                      <w:color w:val="auto"/>
                      <w:kern w:val="0"/>
                      <w:sz w:val="21"/>
                      <w:szCs w:val="21"/>
                      <w:highlight w:val="none"/>
                    </w:rPr>
                    <w:t>40</w:t>
                  </w:r>
                </w:p>
              </w:tc>
              <w:tc>
                <w:tcPr>
                  <w:tcW w:w="598" w:type="pct"/>
                  <w:vMerge w:val="continue"/>
                  <w:noWrap w:val="0"/>
                  <w:vAlign w:val="center"/>
                </w:tcPr>
                <w:p w14:paraId="2F0C7F64">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0020C558">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0035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continue"/>
                  <w:noWrap w:val="0"/>
                  <w:vAlign w:val="center"/>
                </w:tcPr>
                <w:p w14:paraId="5E696248">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60" w:type="pct"/>
                  <w:noWrap w:val="0"/>
                  <w:vAlign w:val="center"/>
                </w:tcPr>
                <w:p w14:paraId="5C4EF74B">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24小时平均</w:t>
                  </w:r>
                </w:p>
              </w:tc>
              <w:tc>
                <w:tcPr>
                  <w:tcW w:w="806" w:type="pct"/>
                  <w:noWrap w:val="0"/>
                  <w:vAlign w:val="center"/>
                </w:tcPr>
                <w:p w14:paraId="00653392">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80</w:t>
                  </w:r>
                </w:p>
              </w:tc>
              <w:tc>
                <w:tcPr>
                  <w:tcW w:w="598" w:type="pct"/>
                  <w:vMerge w:val="continue"/>
                  <w:noWrap w:val="0"/>
                  <w:vAlign w:val="center"/>
                </w:tcPr>
                <w:p w14:paraId="14221531">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7A6BCE8F">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269A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continue"/>
                  <w:noWrap w:val="0"/>
                  <w:vAlign w:val="center"/>
                </w:tcPr>
                <w:p w14:paraId="44283086">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60" w:type="pct"/>
                  <w:noWrap w:val="0"/>
                  <w:vAlign w:val="center"/>
                </w:tcPr>
                <w:p w14:paraId="03AB03D1">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1小时平均</w:t>
                  </w:r>
                </w:p>
              </w:tc>
              <w:tc>
                <w:tcPr>
                  <w:tcW w:w="806" w:type="pct"/>
                  <w:noWrap w:val="0"/>
                  <w:vAlign w:val="center"/>
                </w:tcPr>
                <w:p w14:paraId="77E4E6BA">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200</w:t>
                  </w:r>
                </w:p>
              </w:tc>
              <w:tc>
                <w:tcPr>
                  <w:tcW w:w="598" w:type="pct"/>
                  <w:vMerge w:val="continue"/>
                  <w:noWrap w:val="0"/>
                  <w:vAlign w:val="center"/>
                </w:tcPr>
                <w:p w14:paraId="481B4CE7">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1608933E">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5C68E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restart"/>
                  <w:noWrap w:val="0"/>
                  <w:vAlign w:val="center"/>
                </w:tcPr>
                <w:p w14:paraId="21417C72">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10</w:t>
                  </w:r>
                </w:p>
              </w:tc>
              <w:tc>
                <w:tcPr>
                  <w:tcW w:w="1360" w:type="pct"/>
                  <w:noWrap w:val="0"/>
                  <w:vAlign w:val="center"/>
                </w:tcPr>
                <w:p w14:paraId="1B8CB712">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年平均</w:t>
                  </w:r>
                </w:p>
              </w:tc>
              <w:tc>
                <w:tcPr>
                  <w:tcW w:w="806" w:type="pct"/>
                  <w:noWrap w:val="0"/>
                  <w:vAlign w:val="center"/>
                </w:tcPr>
                <w:p w14:paraId="168D5956">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60</w:t>
                  </w:r>
                </w:p>
              </w:tc>
              <w:tc>
                <w:tcPr>
                  <w:tcW w:w="598" w:type="pct"/>
                  <w:vMerge w:val="continue"/>
                  <w:noWrap w:val="0"/>
                  <w:vAlign w:val="center"/>
                </w:tcPr>
                <w:p w14:paraId="2EABED19">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11293DA6">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0E8C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continue"/>
                  <w:noWrap w:val="0"/>
                  <w:vAlign w:val="center"/>
                </w:tcPr>
                <w:p w14:paraId="0A950FF9">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60" w:type="pct"/>
                  <w:noWrap w:val="0"/>
                  <w:vAlign w:val="center"/>
                </w:tcPr>
                <w:p w14:paraId="1D430D58">
                  <w:pPr>
                    <w:pStyle w:val="88"/>
                    <w:keepNext w:val="0"/>
                    <w:keepLines w:val="0"/>
                    <w:pageBreakBefore w:val="0"/>
                    <w:widowControl w:val="0"/>
                    <w:kinsoku/>
                    <w:overflowPunct/>
                    <w:topLinePunct w:val="0"/>
                    <w:bidi w:val="0"/>
                    <w:spacing w:after="0" w:afterAutospacing="0"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24小时平均</w:t>
                  </w:r>
                </w:p>
              </w:tc>
              <w:tc>
                <w:tcPr>
                  <w:tcW w:w="806" w:type="pct"/>
                  <w:noWrap w:val="0"/>
                  <w:vAlign w:val="center"/>
                </w:tcPr>
                <w:p w14:paraId="14EC5BA5">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120</w:t>
                  </w:r>
                </w:p>
              </w:tc>
              <w:tc>
                <w:tcPr>
                  <w:tcW w:w="598" w:type="pct"/>
                  <w:vMerge w:val="continue"/>
                  <w:noWrap w:val="0"/>
                  <w:vAlign w:val="center"/>
                </w:tcPr>
                <w:p w14:paraId="053DDD02">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3F5881CD">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14FA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19" w:type="pct"/>
                  <w:vMerge w:val="restart"/>
                  <w:noWrap w:val="0"/>
                  <w:vAlign w:val="center"/>
                </w:tcPr>
                <w:p w14:paraId="3CAFAE40">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PM</w:t>
                  </w:r>
                  <w:r>
                    <w:rPr>
                      <w:rFonts w:hint="default" w:ascii="Times New Roman" w:hAnsi="Times New Roman" w:cs="Times New Roman"/>
                      <w:color w:val="auto"/>
                      <w:kern w:val="0"/>
                      <w:sz w:val="21"/>
                      <w:szCs w:val="21"/>
                      <w:highlight w:val="none"/>
                      <w:vertAlign w:val="subscript"/>
                    </w:rPr>
                    <w:t>2.5</w:t>
                  </w:r>
                </w:p>
              </w:tc>
              <w:tc>
                <w:tcPr>
                  <w:tcW w:w="1360" w:type="pct"/>
                  <w:noWrap w:val="0"/>
                  <w:vAlign w:val="center"/>
                </w:tcPr>
                <w:p w14:paraId="455E474E">
                  <w:pPr>
                    <w:pStyle w:val="88"/>
                    <w:keepNext w:val="0"/>
                    <w:keepLines w:val="0"/>
                    <w:pageBreakBefore w:val="0"/>
                    <w:widowControl w:val="0"/>
                    <w:kinsoku/>
                    <w:overflowPunct/>
                    <w:topLinePunct w:val="0"/>
                    <w:bidi w:val="0"/>
                    <w:spacing w:after="0" w:afterAutospacing="0"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年平均</w:t>
                  </w:r>
                </w:p>
              </w:tc>
              <w:tc>
                <w:tcPr>
                  <w:tcW w:w="806" w:type="pct"/>
                  <w:noWrap w:val="0"/>
                  <w:vAlign w:val="center"/>
                </w:tcPr>
                <w:p w14:paraId="6C018016">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30</w:t>
                  </w:r>
                </w:p>
              </w:tc>
              <w:tc>
                <w:tcPr>
                  <w:tcW w:w="598" w:type="pct"/>
                  <w:vMerge w:val="continue"/>
                  <w:noWrap w:val="0"/>
                  <w:vAlign w:val="center"/>
                </w:tcPr>
                <w:p w14:paraId="1FDE6E36">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266B17B8">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59A6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continue"/>
                  <w:noWrap w:val="0"/>
                  <w:vAlign w:val="center"/>
                </w:tcPr>
                <w:p w14:paraId="34C2719D">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60" w:type="pct"/>
                  <w:noWrap w:val="0"/>
                  <w:vAlign w:val="center"/>
                </w:tcPr>
                <w:p w14:paraId="22F76CC8">
                  <w:pPr>
                    <w:pStyle w:val="88"/>
                    <w:keepNext w:val="0"/>
                    <w:keepLines w:val="0"/>
                    <w:pageBreakBefore w:val="0"/>
                    <w:widowControl w:val="0"/>
                    <w:kinsoku/>
                    <w:overflowPunct/>
                    <w:topLinePunct w:val="0"/>
                    <w:bidi w:val="0"/>
                    <w:spacing w:after="0" w:afterAutospacing="0"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24小时平均</w:t>
                  </w:r>
                </w:p>
              </w:tc>
              <w:tc>
                <w:tcPr>
                  <w:tcW w:w="806" w:type="pct"/>
                  <w:noWrap w:val="0"/>
                  <w:vAlign w:val="center"/>
                </w:tcPr>
                <w:p w14:paraId="5E247FBE">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60</w:t>
                  </w:r>
                </w:p>
              </w:tc>
              <w:tc>
                <w:tcPr>
                  <w:tcW w:w="598" w:type="pct"/>
                  <w:vMerge w:val="continue"/>
                  <w:noWrap w:val="0"/>
                  <w:vAlign w:val="center"/>
                </w:tcPr>
                <w:p w14:paraId="5C4FC446">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46A96F56">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115E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restart"/>
                  <w:noWrap w:val="0"/>
                  <w:vAlign w:val="center"/>
                </w:tcPr>
                <w:p w14:paraId="319FBCA7">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CO</w:t>
                  </w:r>
                </w:p>
              </w:tc>
              <w:tc>
                <w:tcPr>
                  <w:tcW w:w="1360" w:type="pct"/>
                  <w:noWrap w:val="0"/>
                  <w:vAlign w:val="center"/>
                </w:tcPr>
                <w:p w14:paraId="648E08CA">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24小时平均</w:t>
                  </w:r>
                </w:p>
              </w:tc>
              <w:tc>
                <w:tcPr>
                  <w:tcW w:w="806" w:type="pct"/>
                  <w:noWrap w:val="0"/>
                  <w:vAlign w:val="center"/>
                </w:tcPr>
                <w:p w14:paraId="68CAB53F">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598" w:type="pct"/>
                  <w:vMerge w:val="restart"/>
                  <w:noWrap w:val="0"/>
                  <w:vAlign w:val="center"/>
                </w:tcPr>
                <w:p w14:paraId="03FD6B9D">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mg/m</w:t>
                  </w:r>
                  <w:r>
                    <w:rPr>
                      <w:rFonts w:hint="default" w:ascii="Times New Roman" w:hAnsi="Times New Roman" w:cs="Times New Roman"/>
                      <w:color w:val="auto"/>
                      <w:sz w:val="21"/>
                      <w:szCs w:val="21"/>
                      <w:highlight w:val="none"/>
                      <w:vertAlign w:val="superscript"/>
                    </w:rPr>
                    <w:t>3</w:t>
                  </w:r>
                </w:p>
              </w:tc>
              <w:tc>
                <w:tcPr>
                  <w:tcW w:w="1316" w:type="pct"/>
                  <w:vMerge w:val="continue"/>
                  <w:noWrap w:val="0"/>
                  <w:vAlign w:val="center"/>
                </w:tcPr>
                <w:p w14:paraId="7F6F31E8">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0C222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continue"/>
                  <w:noWrap w:val="0"/>
                  <w:vAlign w:val="center"/>
                </w:tcPr>
                <w:p w14:paraId="3624582D">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60" w:type="pct"/>
                  <w:noWrap w:val="0"/>
                  <w:vAlign w:val="center"/>
                </w:tcPr>
                <w:p w14:paraId="14446FD5">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1小时平均</w:t>
                  </w:r>
                </w:p>
              </w:tc>
              <w:tc>
                <w:tcPr>
                  <w:tcW w:w="806" w:type="pct"/>
                  <w:noWrap w:val="0"/>
                  <w:vAlign w:val="center"/>
                </w:tcPr>
                <w:p w14:paraId="0FFCF809">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598" w:type="pct"/>
                  <w:vMerge w:val="continue"/>
                  <w:noWrap w:val="0"/>
                  <w:vAlign w:val="center"/>
                </w:tcPr>
                <w:p w14:paraId="3998F2D6">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2343808A">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3877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19" w:type="pct"/>
                  <w:vMerge w:val="restart"/>
                  <w:noWrap w:val="0"/>
                  <w:vAlign w:val="center"/>
                </w:tcPr>
                <w:p w14:paraId="6B87B6CD">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O</w:t>
                  </w:r>
                  <w:r>
                    <w:rPr>
                      <w:rFonts w:hint="default" w:ascii="Times New Roman" w:hAnsi="Times New Roman" w:cs="Times New Roman"/>
                      <w:color w:val="auto"/>
                      <w:kern w:val="0"/>
                      <w:sz w:val="21"/>
                      <w:szCs w:val="21"/>
                      <w:highlight w:val="none"/>
                      <w:vertAlign w:val="subscript"/>
                    </w:rPr>
                    <w:t>3</w:t>
                  </w:r>
                </w:p>
              </w:tc>
              <w:tc>
                <w:tcPr>
                  <w:tcW w:w="1360" w:type="pct"/>
                  <w:noWrap w:val="0"/>
                  <w:vAlign w:val="center"/>
                </w:tcPr>
                <w:p w14:paraId="45C2DDAF">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日最大8小时平均值</w:t>
                  </w:r>
                </w:p>
              </w:tc>
              <w:tc>
                <w:tcPr>
                  <w:tcW w:w="806" w:type="pct"/>
                  <w:noWrap w:val="0"/>
                  <w:vAlign w:val="center"/>
                </w:tcPr>
                <w:p w14:paraId="6AAC4BE3">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160</w:t>
                  </w:r>
                </w:p>
              </w:tc>
              <w:tc>
                <w:tcPr>
                  <w:tcW w:w="598" w:type="pct"/>
                  <w:vMerge w:val="restart"/>
                  <w:noWrap w:val="0"/>
                  <w:vAlign w:val="center"/>
                </w:tcPr>
                <w:p w14:paraId="362E9BEB">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μg/m</w:t>
                  </w:r>
                  <w:r>
                    <w:rPr>
                      <w:rFonts w:hint="default" w:ascii="Times New Roman" w:hAnsi="Times New Roman" w:cs="Times New Roman"/>
                      <w:color w:val="auto"/>
                      <w:sz w:val="21"/>
                      <w:szCs w:val="21"/>
                      <w:highlight w:val="none"/>
                      <w:vertAlign w:val="superscript"/>
                    </w:rPr>
                    <w:t>3</w:t>
                  </w:r>
                </w:p>
              </w:tc>
              <w:tc>
                <w:tcPr>
                  <w:tcW w:w="1316" w:type="pct"/>
                  <w:vMerge w:val="continue"/>
                  <w:noWrap w:val="0"/>
                  <w:vAlign w:val="center"/>
                </w:tcPr>
                <w:p w14:paraId="7F9592D2">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4383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19" w:type="pct"/>
                  <w:vMerge w:val="continue"/>
                  <w:noWrap w:val="0"/>
                  <w:vAlign w:val="center"/>
                </w:tcPr>
                <w:p w14:paraId="0790B069">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60" w:type="pct"/>
                  <w:noWrap w:val="0"/>
                  <w:vAlign w:val="center"/>
                </w:tcPr>
                <w:p w14:paraId="6FE8BA02">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1小时平均</w:t>
                  </w:r>
                </w:p>
              </w:tc>
              <w:tc>
                <w:tcPr>
                  <w:tcW w:w="806" w:type="pct"/>
                  <w:noWrap w:val="0"/>
                  <w:vAlign w:val="center"/>
                </w:tcPr>
                <w:p w14:paraId="6B55645B">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200</w:t>
                  </w:r>
                </w:p>
              </w:tc>
              <w:tc>
                <w:tcPr>
                  <w:tcW w:w="598" w:type="pct"/>
                  <w:vMerge w:val="continue"/>
                  <w:noWrap w:val="0"/>
                  <w:vAlign w:val="center"/>
                </w:tcPr>
                <w:p w14:paraId="7E646EBC">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6A7D0179">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28525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19" w:type="pct"/>
                  <w:vMerge w:val="restart"/>
                  <w:noWrap w:val="0"/>
                  <w:vAlign w:val="center"/>
                </w:tcPr>
                <w:p w14:paraId="1C8A0577">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总悬浮颗粒物（TSP）</w:t>
                  </w:r>
                </w:p>
              </w:tc>
              <w:tc>
                <w:tcPr>
                  <w:tcW w:w="1360" w:type="pct"/>
                  <w:noWrap w:val="0"/>
                  <w:vAlign w:val="center"/>
                </w:tcPr>
                <w:p w14:paraId="666856EA">
                  <w:pPr>
                    <w:keepNext w:val="0"/>
                    <w:keepLines w:val="0"/>
                    <w:pageBreakBefore w:val="0"/>
                    <w:widowControl w:val="0"/>
                    <w:kinsoku/>
                    <w:wordWrap w:val="0"/>
                    <w:overflowPunct/>
                    <w:topLinePunct w:val="0"/>
                    <w:bidi w:val="0"/>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年平均</w:t>
                  </w:r>
                </w:p>
              </w:tc>
              <w:tc>
                <w:tcPr>
                  <w:tcW w:w="806" w:type="pct"/>
                  <w:noWrap w:val="0"/>
                  <w:vAlign w:val="center"/>
                </w:tcPr>
                <w:p w14:paraId="4EEBC72D">
                  <w:pPr>
                    <w:keepNext w:val="0"/>
                    <w:keepLines w:val="0"/>
                    <w:pageBreakBefore w:val="0"/>
                    <w:widowControl w:val="0"/>
                    <w:kinsoku/>
                    <w:wordWrap w:val="0"/>
                    <w:overflowPunct/>
                    <w:topLinePunct w:val="0"/>
                    <w:bidi w:val="0"/>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200</w:t>
                  </w:r>
                </w:p>
              </w:tc>
              <w:tc>
                <w:tcPr>
                  <w:tcW w:w="598" w:type="pct"/>
                  <w:vMerge w:val="restart"/>
                  <w:noWrap w:val="0"/>
                  <w:vAlign w:val="center"/>
                </w:tcPr>
                <w:p w14:paraId="3A177EC5">
                  <w:pPr>
                    <w:keepNext w:val="0"/>
                    <w:keepLines w:val="0"/>
                    <w:pageBreakBefore w:val="0"/>
                    <w:widowControl w:val="0"/>
                    <w:kinsoku/>
                    <w:wordWrap w:val="0"/>
                    <w:overflowPunct/>
                    <w:topLinePunct w:val="0"/>
                    <w:bidi w:val="0"/>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μg/m</w:t>
                  </w:r>
                  <w:r>
                    <w:rPr>
                      <w:rFonts w:hint="default" w:ascii="Times New Roman" w:hAnsi="Times New Roman" w:cs="Times New Roman"/>
                      <w:color w:val="auto"/>
                      <w:sz w:val="21"/>
                      <w:szCs w:val="21"/>
                      <w:highlight w:val="none"/>
                      <w:vertAlign w:val="superscript"/>
                    </w:rPr>
                    <w:t>3</w:t>
                  </w:r>
                </w:p>
              </w:tc>
              <w:tc>
                <w:tcPr>
                  <w:tcW w:w="1316" w:type="pct"/>
                  <w:vMerge w:val="continue"/>
                  <w:noWrap w:val="0"/>
                  <w:vAlign w:val="center"/>
                </w:tcPr>
                <w:p w14:paraId="7861224B">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r w14:paraId="5E04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19" w:type="pct"/>
                  <w:vMerge w:val="continue"/>
                  <w:noWrap w:val="0"/>
                  <w:vAlign w:val="center"/>
                </w:tcPr>
                <w:p w14:paraId="13F4EFBF">
                  <w:pPr>
                    <w:keepNext w:val="0"/>
                    <w:keepLines w:val="0"/>
                    <w:pageBreakBefore w:val="0"/>
                    <w:widowControl w:val="0"/>
                    <w:kinsoku/>
                    <w:wordWrap w:val="0"/>
                    <w:overflowPunct/>
                    <w:topLinePunct w:val="0"/>
                    <w:bidi w:val="0"/>
                    <w:ind w:firstLine="0" w:firstLineChars="0"/>
                    <w:jc w:val="center"/>
                    <w:textAlignment w:val="auto"/>
                    <w:rPr>
                      <w:rFonts w:hint="default" w:ascii="Times New Roman" w:hAnsi="Times New Roman" w:cs="Times New Roman"/>
                      <w:color w:val="auto"/>
                      <w:sz w:val="21"/>
                      <w:szCs w:val="21"/>
                      <w:highlight w:val="none"/>
                    </w:rPr>
                  </w:pPr>
                </w:p>
              </w:tc>
              <w:tc>
                <w:tcPr>
                  <w:tcW w:w="1360" w:type="pct"/>
                  <w:noWrap w:val="0"/>
                  <w:vAlign w:val="center"/>
                </w:tcPr>
                <w:p w14:paraId="46B39494">
                  <w:pPr>
                    <w:keepNext w:val="0"/>
                    <w:keepLines w:val="0"/>
                    <w:pageBreakBefore w:val="0"/>
                    <w:widowControl w:val="0"/>
                    <w:kinsoku/>
                    <w:wordWrap w:val="0"/>
                    <w:overflowPunct/>
                    <w:topLinePunct w:val="0"/>
                    <w:bidi w:val="0"/>
                    <w:ind w:firstLine="0" w:firstLineChars="0"/>
                    <w:jc w:val="center"/>
                    <w:textAlignment w:val="auto"/>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24h平均</w:t>
                  </w:r>
                </w:p>
              </w:tc>
              <w:tc>
                <w:tcPr>
                  <w:tcW w:w="806" w:type="pct"/>
                  <w:noWrap w:val="0"/>
                  <w:vAlign w:val="center"/>
                </w:tcPr>
                <w:p w14:paraId="14738B99">
                  <w:pPr>
                    <w:keepNext w:val="0"/>
                    <w:keepLines w:val="0"/>
                    <w:pageBreakBefore w:val="0"/>
                    <w:widowControl w:val="0"/>
                    <w:kinsoku/>
                    <w:wordWrap w:val="0"/>
                    <w:overflowPunct/>
                    <w:topLinePunct w:val="0"/>
                    <w:bidi w:val="0"/>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598" w:type="pct"/>
                  <w:vMerge w:val="continue"/>
                  <w:noWrap w:val="0"/>
                  <w:vAlign w:val="center"/>
                </w:tcPr>
                <w:p w14:paraId="4E1C7293">
                  <w:pPr>
                    <w:keepNext w:val="0"/>
                    <w:keepLines w:val="0"/>
                    <w:pageBreakBefore w:val="0"/>
                    <w:widowControl w:val="0"/>
                    <w:kinsoku/>
                    <w:wordWrap w:val="0"/>
                    <w:overflowPunct/>
                    <w:topLinePunct w:val="0"/>
                    <w:bidi w:val="0"/>
                    <w:ind w:firstLine="0" w:firstLineChars="0"/>
                    <w:jc w:val="center"/>
                    <w:textAlignment w:val="auto"/>
                    <w:rPr>
                      <w:rFonts w:hint="default" w:ascii="Times New Roman" w:hAnsi="Times New Roman" w:cs="Times New Roman"/>
                      <w:color w:val="auto"/>
                      <w:sz w:val="21"/>
                      <w:szCs w:val="21"/>
                      <w:highlight w:val="none"/>
                    </w:rPr>
                  </w:pPr>
                </w:p>
              </w:tc>
              <w:tc>
                <w:tcPr>
                  <w:tcW w:w="1316" w:type="pct"/>
                  <w:vMerge w:val="continue"/>
                  <w:noWrap w:val="0"/>
                  <w:vAlign w:val="center"/>
                </w:tcPr>
                <w:p w14:paraId="3E9130C2">
                  <w:pPr>
                    <w:keepNext w:val="0"/>
                    <w:keepLines w:val="0"/>
                    <w:pageBreakBefore w:val="0"/>
                    <w:widowControl w:val="0"/>
                    <w:kinsoku/>
                    <w:overflowPunct/>
                    <w:topLinePunct w:val="0"/>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rPr>
                  </w:pPr>
                </w:p>
              </w:tc>
            </w:tr>
          </w:tbl>
          <w:p w14:paraId="45D6BC63">
            <w:pPr>
              <w:tabs>
                <w:tab w:val="left" w:pos="1684"/>
              </w:tabs>
              <w:spacing w:before="156" w:beforeLines="50"/>
              <w:ind w:firstLine="482"/>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2、地表水</w:t>
            </w:r>
          </w:p>
          <w:p w14:paraId="2CDF6345">
            <w:pPr>
              <w:adjustRightInd w:val="0"/>
              <w:snapToGrid w:val="0"/>
              <w:spacing w:line="360" w:lineRule="auto"/>
              <w:ind w:firstLine="480" w:firstLineChars="200"/>
              <w:jc w:val="left"/>
              <w:rPr>
                <w:rFonts w:hint="default" w:ascii="Times New Roman" w:hAnsi="Times New Roman" w:cs="Times New Roman"/>
                <w:color w:val="auto"/>
                <w:szCs w:val="24"/>
                <w:highlight w:val="none"/>
              </w:rPr>
            </w:pPr>
            <w:r>
              <w:rPr>
                <w:rFonts w:hint="default" w:ascii="Times New Roman" w:hAnsi="Times New Roman" w:cs="Times New Roman"/>
                <w:color w:val="auto"/>
                <w:highlight w:val="none"/>
              </w:rPr>
              <w:t>项目区域主要地表水为</w:t>
            </w:r>
            <w:r>
              <w:rPr>
                <w:rFonts w:hint="default" w:ascii="Times New Roman" w:hAnsi="Times New Roman" w:cs="Times New Roman"/>
                <w:color w:val="auto"/>
                <w:highlight w:val="none"/>
                <w:lang w:val="en-US" w:eastAsia="zh-CN"/>
              </w:rPr>
              <w:t>东北侧1700m的</w:t>
            </w:r>
            <w:r>
              <w:rPr>
                <w:rFonts w:hint="default" w:ascii="Times New Roman" w:hAnsi="Times New Roman" w:cs="Times New Roman"/>
                <w:color w:val="auto"/>
                <w:highlight w:val="none"/>
              </w:rPr>
              <w:t>小河箐，小河箐向</w:t>
            </w:r>
            <w:r>
              <w:rPr>
                <w:rFonts w:hint="default" w:ascii="Times New Roman" w:hAnsi="Times New Roman" w:cs="Times New Roman"/>
                <w:color w:val="auto"/>
                <w:highlight w:val="none"/>
                <w:lang w:val="en-US" w:eastAsia="zh-CN"/>
              </w:rPr>
              <w:t>东</w:t>
            </w:r>
            <w:r>
              <w:rPr>
                <w:rFonts w:hint="default" w:ascii="Times New Roman" w:hAnsi="Times New Roman" w:cs="Times New Roman"/>
                <w:color w:val="auto"/>
                <w:highlight w:val="none"/>
              </w:rPr>
              <w:t>南流经乐朗村后汇入柯渡河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柯渡河和可朗河交汇后称为木板河，最后汇入普渡河，项目区域水系属于普渡河流域</w:t>
            </w:r>
            <w:r>
              <w:rPr>
                <w:rFonts w:hint="default" w:ascii="Times New Roman" w:hAnsi="Times New Roman" w:cs="Times New Roman"/>
                <w:color w:val="auto"/>
                <w:highlight w:val="none"/>
              </w:rPr>
              <w:t>。</w:t>
            </w:r>
            <w:r>
              <w:rPr>
                <w:rFonts w:hint="default" w:ascii="Times New Roman" w:hAnsi="Times New Roman" w:eastAsia="宋体" w:cs="Times New Roman"/>
                <w:color w:val="auto"/>
                <w:kern w:val="0"/>
                <w:sz w:val="24"/>
                <w:szCs w:val="24"/>
                <w:highlight w:val="none"/>
                <w:lang w:val="en-US" w:eastAsia="zh-CN" w:bidi="ar"/>
              </w:rPr>
              <w:t>根据《昆明市和滇中产业新区水功能区划》（2011-2030年），项目区属于柯渡河两区-寻甸保留区</w:t>
            </w:r>
            <w:r>
              <w:rPr>
                <w:rFonts w:hint="eastAsia"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规划水平年水质保护目标Ⅲ类。按照支流服从干流的原则，小河箐水质执行《地表水环境质量标准》（GB3838-2002）中Ⅲ类水质标准。</w:t>
            </w:r>
            <w:r>
              <w:rPr>
                <w:rFonts w:hint="default" w:ascii="Times New Roman" w:hAnsi="Times New Roman" w:cs="Times New Roman"/>
                <w:color w:val="auto"/>
                <w:szCs w:val="24"/>
                <w:highlight w:val="none"/>
              </w:rPr>
              <w:t>标准值见表3-6所示。</w:t>
            </w:r>
          </w:p>
          <w:p w14:paraId="684BE00C">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表3-6  地表水环境质量标准  单位：mg/L</w:t>
            </w:r>
          </w:p>
          <w:tbl>
            <w:tblPr>
              <w:tblStyle w:val="30"/>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6"/>
              <w:gridCol w:w="1503"/>
              <w:gridCol w:w="924"/>
              <w:gridCol w:w="1160"/>
              <w:gridCol w:w="1021"/>
              <w:gridCol w:w="1198"/>
              <w:gridCol w:w="979"/>
            </w:tblGrid>
            <w:tr w14:paraId="44A3C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79" w:type="pct"/>
                  <w:tcMar>
                    <w:left w:w="57" w:type="dxa"/>
                    <w:right w:w="57" w:type="dxa"/>
                  </w:tcMar>
                  <w:vAlign w:val="center"/>
                </w:tcPr>
                <w:p w14:paraId="41DF0F44">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项目</w:t>
                  </w:r>
                </w:p>
              </w:tc>
              <w:tc>
                <w:tcPr>
                  <w:tcW w:w="956" w:type="pct"/>
                  <w:tcMar>
                    <w:left w:w="57" w:type="dxa"/>
                    <w:right w:w="57" w:type="dxa"/>
                  </w:tcMar>
                  <w:vAlign w:val="center"/>
                </w:tcPr>
                <w:p w14:paraId="2559748D">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PH</w:t>
                  </w:r>
                </w:p>
              </w:tc>
              <w:tc>
                <w:tcPr>
                  <w:tcW w:w="588" w:type="pct"/>
                  <w:tcMar>
                    <w:left w:w="57" w:type="dxa"/>
                    <w:right w:w="57" w:type="dxa"/>
                  </w:tcMar>
                  <w:vAlign w:val="center"/>
                </w:tcPr>
                <w:p w14:paraId="73D91EAF">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COD</w:t>
                  </w:r>
                </w:p>
              </w:tc>
              <w:tc>
                <w:tcPr>
                  <w:tcW w:w="738" w:type="pct"/>
                  <w:tcMar>
                    <w:left w:w="57" w:type="dxa"/>
                    <w:right w:w="57" w:type="dxa"/>
                  </w:tcMar>
                  <w:vAlign w:val="center"/>
                </w:tcPr>
                <w:p w14:paraId="6B7B1B21">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BOD</w:t>
                  </w:r>
                  <w:r>
                    <w:rPr>
                      <w:rFonts w:hint="default" w:ascii="Times New Roman" w:hAnsi="Times New Roman" w:cs="Times New Roman"/>
                      <w:b/>
                      <w:bCs/>
                      <w:color w:val="auto"/>
                      <w:sz w:val="21"/>
                      <w:szCs w:val="21"/>
                      <w:highlight w:val="none"/>
                      <w:vertAlign w:val="subscript"/>
                    </w:rPr>
                    <w:t>5</w:t>
                  </w:r>
                </w:p>
              </w:tc>
              <w:tc>
                <w:tcPr>
                  <w:tcW w:w="650" w:type="pct"/>
                  <w:tcMar>
                    <w:left w:w="57" w:type="dxa"/>
                    <w:right w:w="57" w:type="dxa"/>
                  </w:tcMar>
                  <w:vAlign w:val="center"/>
                </w:tcPr>
                <w:p w14:paraId="6CCCAF0E">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NH</w:t>
                  </w:r>
                  <w:r>
                    <w:rPr>
                      <w:rFonts w:hint="default" w:ascii="Times New Roman" w:hAnsi="Times New Roman" w:cs="Times New Roman"/>
                      <w:b/>
                      <w:bCs/>
                      <w:color w:val="auto"/>
                      <w:sz w:val="21"/>
                      <w:szCs w:val="21"/>
                      <w:highlight w:val="none"/>
                      <w:vertAlign w:val="subscript"/>
                    </w:rPr>
                    <w:t>3</w:t>
                  </w:r>
                  <w:r>
                    <w:rPr>
                      <w:rFonts w:hint="default" w:ascii="Times New Roman" w:hAnsi="Times New Roman" w:cs="Times New Roman"/>
                      <w:b/>
                      <w:bCs/>
                      <w:color w:val="auto"/>
                      <w:sz w:val="21"/>
                      <w:szCs w:val="21"/>
                      <w:highlight w:val="none"/>
                    </w:rPr>
                    <w:t>-N</w:t>
                  </w:r>
                </w:p>
              </w:tc>
              <w:tc>
                <w:tcPr>
                  <w:tcW w:w="762" w:type="pct"/>
                  <w:tcMar>
                    <w:left w:w="57" w:type="dxa"/>
                    <w:right w:w="57" w:type="dxa"/>
                  </w:tcMar>
                  <w:vAlign w:val="center"/>
                </w:tcPr>
                <w:p w14:paraId="0364A5D9">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石油类</w:t>
                  </w:r>
                </w:p>
              </w:tc>
              <w:tc>
                <w:tcPr>
                  <w:tcW w:w="623" w:type="pct"/>
                  <w:tcMar>
                    <w:left w:w="57" w:type="dxa"/>
                    <w:right w:w="57" w:type="dxa"/>
                  </w:tcMar>
                  <w:vAlign w:val="center"/>
                </w:tcPr>
                <w:p w14:paraId="473B2FC0">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总氮</w:t>
                  </w:r>
                </w:p>
              </w:tc>
            </w:tr>
            <w:tr w14:paraId="7B09D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79" w:type="pct"/>
                  <w:tcMar>
                    <w:left w:w="57" w:type="dxa"/>
                    <w:right w:w="57" w:type="dxa"/>
                  </w:tcMar>
                  <w:vAlign w:val="center"/>
                </w:tcPr>
                <w:p w14:paraId="595FE17F">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Ⅲ类</w:t>
                  </w:r>
                </w:p>
              </w:tc>
              <w:tc>
                <w:tcPr>
                  <w:tcW w:w="956" w:type="pct"/>
                  <w:tcMar>
                    <w:left w:w="57" w:type="dxa"/>
                    <w:right w:w="57" w:type="dxa"/>
                  </w:tcMar>
                  <w:vAlign w:val="center"/>
                </w:tcPr>
                <w:p w14:paraId="4E5AB395">
                  <w:pPr>
                    <w:spacing w:line="240" w:lineRule="auto"/>
                    <w:ind w:right="13"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6～9（无量纲）</w:t>
                  </w:r>
                </w:p>
              </w:tc>
              <w:tc>
                <w:tcPr>
                  <w:tcW w:w="588" w:type="pct"/>
                  <w:tcMar>
                    <w:left w:w="57" w:type="dxa"/>
                    <w:right w:w="57" w:type="dxa"/>
                  </w:tcMar>
                  <w:vAlign w:val="center"/>
                </w:tcPr>
                <w:p w14:paraId="08A82AEE">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c>
                <w:tcPr>
                  <w:tcW w:w="738" w:type="pct"/>
                  <w:tcMar>
                    <w:left w:w="57" w:type="dxa"/>
                    <w:right w:w="57" w:type="dxa"/>
                  </w:tcMar>
                  <w:vAlign w:val="center"/>
                </w:tcPr>
                <w:p w14:paraId="3683B119">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650" w:type="pct"/>
                  <w:tcMar>
                    <w:left w:w="57" w:type="dxa"/>
                    <w:right w:w="57" w:type="dxa"/>
                  </w:tcMar>
                  <w:vAlign w:val="center"/>
                </w:tcPr>
                <w:p w14:paraId="752DCE3E">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762" w:type="pct"/>
                  <w:tcMar>
                    <w:left w:w="57" w:type="dxa"/>
                    <w:right w:w="57" w:type="dxa"/>
                  </w:tcMar>
                  <w:vAlign w:val="center"/>
                </w:tcPr>
                <w:p w14:paraId="794E0945">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≤0.05</w:t>
                  </w:r>
                </w:p>
              </w:tc>
              <w:tc>
                <w:tcPr>
                  <w:tcW w:w="623" w:type="pct"/>
                  <w:tcMar>
                    <w:left w:w="57" w:type="dxa"/>
                    <w:right w:w="57" w:type="dxa"/>
                  </w:tcMar>
                  <w:vAlign w:val="center"/>
                </w:tcPr>
                <w:p w14:paraId="41C699DF">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r>
          </w:tbl>
          <w:p w14:paraId="43D4D36B">
            <w:pPr>
              <w:tabs>
                <w:tab w:val="left" w:pos="1684"/>
              </w:tabs>
              <w:spacing w:before="156" w:beforeLines="50"/>
              <w:ind w:firstLine="482"/>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3、声环境质量</w:t>
            </w:r>
          </w:p>
          <w:p w14:paraId="56BF9480">
            <w:pPr>
              <w:ind w:firstLine="480"/>
              <w:rPr>
                <w:rFonts w:hint="default" w:ascii="Times New Roman" w:hAnsi="Times New Roman" w:cs="Times New Roman"/>
                <w:b/>
                <w:bCs/>
                <w:color w:val="auto"/>
                <w:szCs w:val="24"/>
                <w:highlight w:val="none"/>
              </w:rPr>
            </w:pPr>
            <w:r>
              <w:rPr>
                <w:rFonts w:hint="default" w:ascii="Times New Roman" w:hAnsi="Times New Roman" w:cs="Times New Roman"/>
                <w:color w:val="auto"/>
                <w:szCs w:val="24"/>
                <w:highlight w:val="none"/>
              </w:rPr>
              <w:t>项目地处</w:t>
            </w:r>
            <w:r>
              <w:rPr>
                <w:rFonts w:hint="default" w:ascii="Times New Roman" w:hAnsi="Times New Roman" w:cs="Times New Roman"/>
                <w:color w:val="auto"/>
                <w:highlight w:val="none"/>
              </w:rPr>
              <w:t>寻甸县柯渡镇乐郎村委会稗子田村境内</w:t>
            </w:r>
            <w:r>
              <w:rPr>
                <w:rFonts w:hint="default" w:ascii="Times New Roman" w:hAnsi="Times New Roman" w:cs="Times New Roman"/>
                <w:color w:val="auto"/>
                <w:szCs w:val="24"/>
                <w:highlight w:val="none"/>
              </w:rPr>
              <w:t>，属于2类声环境功能区，执行《声环境质量标准》（GB3096-2008）2类标准。标准值见下表3-7。</w:t>
            </w:r>
          </w:p>
          <w:p w14:paraId="0EB0CA2B">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表3-7  声环境质量标准限值单位：Leq[dB（A）]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4"/>
              <w:gridCol w:w="2685"/>
              <w:gridCol w:w="2850"/>
            </w:tblGrid>
            <w:tr w14:paraId="5F551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474" w:type="pct"/>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2F489B07">
                  <w:pPr>
                    <w:topLinePunct/>
                    <w:adjustRightInd w:val="0"/>
                    <w:snapToGrid w:val="0"/>
                    <w:spacing w:line="240" w:lineRule="auto"/>
                    <w:ind w:firstLine="0" w:firstLine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评价标准</w:t>
                  </w:r>
                </w:p>
              </w:tc>
              <w:tc>
                <w:tcPr>
                  <w:tcW w:w="3525" w:type="pct"/>
                  <w:gridSpan w:val="2"/>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0F70395B">
                  <w:pPr>
                    <w:topLinePunct/>
                    <w:adjustRightInd w:val="0"/>
                    <w:snapToGrid w:val="0"/>
                    <w:spacing w:line="240" w:lineRule="auto"/>
                    <w:ind w:firstLine="0" w:firstLine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等效声级</w:t>
                  </w:r>
                </w:p>
              </w:tc>
            </w:tr>
            <w:tr w14:paraId="3739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474" w:type="pct"/>
                  <w:vMerge w:val="restart"/>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5F09BD06">
                  <w:pPr>
                    <w:topLinePunct/>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2类</w:t>
                  </w:r>
                </w:p>
              </w:tc>
              <w:tc>
                <w:tcPr>
                  <w:tcW w:w="1710" w:type="pct"/>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13A57144">
                  <w:pPr>
                    <w:topLinePunct/>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昼间</w:t>
                  </w:r>
                </w:p>
              </w:tc>
              <w:tc>
                <w:tcPr>
                  <w:tcW w:w="1814" w:type="pct"/>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4CF6E843">
                  <w:pPr>
                    <w:topLinePunct/>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夜间</w:t>
                  </w:r>
                </w:p>
              </w:tc>
            </w:tr>
            <w:tr w14:paraId="6AD1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474" w:type="pct"/>
                  <w:vMerge w:val="continue"/>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285DA701">
                  <w:pPr>
                    <w:widowControl/>
                    <w:spacing w:line="240" w:lineRule="auto"/>
                    <w:ind w:firstLine="0" w:firstLineChars="0"/>
                    <w:jc w:val="left"/>
                    <w:rPr>
                      <w:rFonts w:hint="default" w:ascii="Times New Roman" w:hAnsi="Times New Roman" w:cs="Times New Roman"/>
                      <w:color w:val="auto"/>
                      <w:kern w:val="0"/>
                      <w:sz w:val="21"/>
                      <w:szCs w:val="21"/>
                      <w:highlight w:val="none"/>
                    </w:rPr>
                  </w:pPr>
                </w:p>
              </w:tc>
              <w:tc>
                <w:tcPr>
                  <w:tcW w:w="1710" w:type="pct"/>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2BDC995F">
                  <w:pPr>
                    <w:topLinePunct/>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60</w:t>
                  </w:r>
                </w:p>
              </w:tc>
              <w:tc>
                <w:tcPr>
                  <w:tcW w:w="1814" w:type="pct"/>
                  <w:tcBorders>
                    <w:top w:val="single" w:color="auto" w:sz="4" w:space="0"/>
                    <w:left w:val="single" w:color="auto" w:sz="4" w:space="0"/>
                    <w:bottom w:val="single" w:color="auto" w:sz="4" w:space="0"/>
                    <w:right w:val="single" w:color="auto" w:sz="4" w:space="0"/>
                  </w:tcBorders>
                  <w:tcMar>
                    <w:left w:w="57" w:type="dxa"/>
                    <w:right w:w="57" w:type="dxa"/>
                  </w:tcMar>
                  <w:vAlign w:val="center"/>
                </w:tcPr>
                <w:p w14:paraId="48F49A58">
                  <w:pPr>
                    <w:topLinePunct/>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50</w:t>
                  </w:r>
                </w:p>
              </w:tc>
            </w:tr>
          </w:tbl>
          <w:p w14:paraId="1226A35C">
            <w:pPr>
              <w:tabs>
                <w:tab w:val="left" w:pos="1684"/>
              </w:tabs>
              <w:spacing w:before="156" w:beforeLines="50"/>
              <w:ind w:firstLine="482"/>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二、污染物排放标准</w:t>
            </w:r>
          </w:p>
          <w:p w14:paraId="6F55C67A">
            <w:pPr>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1、废气</w:t>
            </w:r>
          </w:p>
          <w:p w14:paraId="48AC3027">
            <w:pPr>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（1）施工期</w:t>
            </w:r>
          </w:p>
          <w:p w14:paraId="10C02F7F">
            <w:pPr>
              <w:ind w:firstLine="480"/>
              <w:rPr>
                <w:rFonts w:hint="default" w:ascii="Times New Roman" w:hAnsi="Times New Roman" w:cs="Times New Roman"/>
                <w:bCs/>
                <w:color w:val="auto"/>
                <w:szCs w:val="24"/>
                <w:highlight w:val="none"/>
              </w:rPr>
            </w:pPr>
            <w:r>
              <w:rPr>
                <w:rFonts w:hint="default" w:ascii="Times New Roman" w:hAnsi="Times New Roman" w:cs="Times New Roman"/>
                <w:bCs/>
                <w:color w:val="auto"/>
                <w:szCs w:val="24"/>
                <w:highlight w:val="none"/>
              </w:rPr>
              <w:t>施工期扬尘执行《大气污染物综合排放标准》（GB16297-1996）无组织排放标准限值，即：颗粒物≤1.0mg/m</w:t>
            </w:r>
            <w:r>
              <w:rPr>
                <w:rFonts w:hint="default" w:ascii="Times New Roman" w:hAnsi="Times New Roman" w:cs="Times New Roman"/>
                <w:bCs/>
                <w:color w:val="auto"/>
                <w:szCs w:val="24"/>
                <w:highlight w:val="none"/>
                <w:vertAlign w:val="superscript"/>
              </w:rPr>
              <w:t>3</w:t>
            </w:r>
            <w:r>
              <w:rPr>
                <w:rFonts w:hint="default" w:ascii="Times New Roman" w:hAnsi="Times New Roman" w:cs="Times New Roman"/>
                <w:bCs/>
                <w:color w:val="auto"/>
                <w:szCs w:val="24"/>
                <w:highlight w:val="none"/>
              </w:rPr>
              <w:t>，标准值见表3-8。</w:t>
            </w:r>
          </w:p>
          <w:p w14:paraId="37EAE11F">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表3-8  大气污染物综合排放标准</w:t>
            </w:r>
          </w:p>
          <w:tbl>
            <w:tblPr>
              <w:tblStyle w:val="30"/>
              <w:tblW w:w="499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561"/>
              <w:gridCol w:w="5290"/>
            </w:tblGrid>
            <w:tr w14:paraId="35364E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58" w:hRule="atLeast"/>
                <w:jc w:val="center"/>
              </w:trPr>
              <w:tc>
                <w:tcPr>
                  <w:tcW w:w="1631" w:type="pct"/>
                  <w:tcBorders>
                    <w:top w:val="single" w:color="auto" w:sz="2" w:space="0"/>
                    <w:left w:val="single" w:color="auto" w:sz="2" w:space="0"/>
                    <w:bottom w:val="single" w:color="auto" w:sz="2" w:space="0"/>
                    <w:right w:val="single" w:color="auto" w:sz="4" w:space="0"/>
                  </w:tcBorders>
                  <w:tcMar>
                    <w:left w:w="57" w:type="dxa"/>
                    <w:right w:w="57" w:type="dxa"/>
                  </w:tcMar>
                  <w:vAlign w:val="center"/>
                </w:tcPr>
                <w:p w14:paraId="48CB2EC3">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3368" w:type="pct"/>
                  <w:tcBorders>
                    <w:top w:val="single" w:color="auto" w:sz="2" w:space="0"/>
                    <w:left w:val="single" w:color="auto" w:sz="4" w:space="0"/>
                    <w:bottom w:val="single" w:color="auto" w:sz="2" w:space="0"/>
                    <w:right w:val="single" w:color="auto" w:sz="2" w:space="0"/>
                  </w:tcBorders>
                  <w:tcMar>
                    <w:left w:w="57" w:type="dxa"/>
                    <w:right w:w="57" w:type="dxa"/>
                  </w:tcMar>
                  <w:vAlign w:val="center"/>
                </w:tcPr>
                <w:p w14:paraId="35CDDA23">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无组织排放监控浓度限值</w:t>
                  </w:r>
                </w:p>
              </w:tc>
            </w:tr>
            <w:tr w14:paraId="1E372B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20" w:hRule="atLeast"/>
                <w:jc w:val="center"/>
              </w:trPr>
              <w:tc>
                <w:tcPr>
                  <w:tcW w:w="1631" w:type="pct"/>
                  <w:tcBorders>
                    <w:top w:val="single" w:color="auto" w:sz="2" w:space="0"/>
                    <w:left w:val="single" w:color="auto" w:sz="2" w:space="0"/>
                    <w:bottom w:val="single" w:color="auto" w:sz="2" w:space="0"/>
                    <w:right w:val="single" w:color="auto" w:sz="4" w:space="0"/>
                  </w:tcBorders>
                  <w:tcMar>
                    <w:left w:w="57" w:type="dxa"/>
                    <w:right w:w="57" w:type="dxa"/>
                  </w:tcMar>
                  <w:vAlign w:val="center"/>
                </w:tcPr>
                <w:p w14:paraId="7F77F403">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3368" w:type="pct"/>
                  <w:tcBorders>
                    <w:top w:val="single" w:color="auto" w:sz="2" w:space="0"/>
                    <w:left w:val="single" w:color="auto" w:sz="4" w:space="0"/>
                    <w:bottom w:val="single" w:color="auto" w:sz="2" w:space="0"/>
                    <w:right w:val="single" w:color="auto" w:sz="2" w:space="0"/>
                  </w:tcBorders>
                  <w:tcMar>
                    <w:left w:w="57" w:type="dxa"/>
                    <w:right w:w="57" w:type="dxa"/>
                  </w:tcMar>
                  <w:vAlign w:val="center"/>
                </w:tcPr>
                <w:p w14:paraId="37D9163E">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1.0mg/m</w:t>
                  </w:r>
                  <w:r>
                    <w:rPr>
                      <w:rFonts w:hint="default" w:ascii="Times New Roman" w:hAnsi="Times New Roman" w:cs="Times New Roman"/>
                      <w:color w:val="auto"/>
                      <w:sz w:val="21"/>
                      <w:szCs w:val="21"/>
                      <w:highlight w:val="none"/>
                      <w:vertAlign w:val="superscript"/>
                    </w:rPr>
                    <w:t>3</w:t>
                  </w:r>
                </w:p>
              </w:tc>
            </w:tr>
          </w:tbl>
          <w:p w14:paraId="45984B29">
            <w:pPr>
              <w:spacing w:before="156" w:beforeLines="5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（2）运营期</w:t>
            </w:r>
          </w:p>
          <w:p w14:paraId="28486C46">
            <w:pPr>
              <w:adjustRightInd w:val="0"/>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①</w:t>
            </w:r>
            <w:r>
              <w:rPr>
                <w:rFonts w:hint="default" w:ascii="Times New Roman" w:hAnsi="Times New Roman" w:cs="Times New Roman"/>
                <w:color w:val="auto"/>
                <w:highlight w:val="none"/>
                <w:lang w:val="en-US" w:eastAsia="zh-CN"/>
              </w:rPr>
              <w:t>有组织</w:t>
            </w:r>
          </w:p>
          <w:p w14:paraId="01F443C9">
            <w:pPr>
              <w:adjustRightInd w:val="0"/>
              <w:ind w:firstLine="480"/>
              <w:rPr>
                <w:rFonts w:hint="default" w:ascii="Times New Roman" w:hAnsi="Times New Roman" w:cs="Times New Roman"/>
                <w:caps w:val="0"/>
                <w:smallCaps w:val="0"/>
                <w:color w:val="auto"/>
                <w:kern w:val="0"/>
                <w:highlight w:val="none"/>
                <w:lang w:eastAsia="zh-CN"/>
              </w:rPr>
            </w:pPr>
            <w:r>
              <w:rPr>
                <w:rFonts w:hint="default" w:ascii="Times New Roman" w:hAnsi="Times New Roman" w:cs="Times New Roman"/>
                <w:color w:val="auto"/>
                <w:highlight w:val="none"/>
              </w:rPr>
              <w:t>本项目运营期</w:t>
            </w:r>
            <w:r>
              <w:rPr>
                <w:rFonts w:hint="default" w:ascii="Times New Roman" w:hAnsi="Times New Roman" w:cs="Times New Roman"/>
                <w:color w:val="auto"/>
                <w:highlight w:val="none"/>
                <w:lang w:val="en-US" w:eastAsia="zh-CN"/>
              </w:rPr>
              <w:t>工业场地</w:t>
            </w:r>
            <w:r>
              <w:rPr>
                <w:rFonts w:hint="default" w:ascii="Times New Roman" w:hAnsi="Times New Roman" w:cs="Times New Roman"/>
                <w:color w:val="auto"/>
                <w:highlight w:val="none"/>
              </w:rPr>
              <w:t>破碎机、筛分机</w:t>
            </w:r>
            <w:r>
              <w:rPr>
                <w:rFonts w:hint="default" w:ascii="Times New Roman" w:hAnsi="Times New Roman" w:cs="Times New Roman"/>
                <w:color w:val="auto"/>
                <w:highlight w:val="none"/>
                <w:lang w:val="en-US" w:eastAsia="zh-CN"/>
              </w:rPr>
              <w:t>产生的粉尘</w:t>
            </w:r>
            <w:r>
              <w:rPr>
                <w:rFonts w:hint="default" w:ascii="Times New Roman" w:hAnsi="Times New Roman" w:cs="Times New Roman"/>
                <w:bCs/>
                <w:color w:val="auto"/>
                <w:highlight w:val="none"/>
                <w:lang w:val="en-US" w:eastAsia="zh-CN"/>
              </w:rPr>
              <w:t>经</w:t>
            </w:r>
            <w:r>
              <w:rPr>
                <w:rFonts w:hint="default" w:ascii="Times New Roman" w:hAnsi="Times New Roman" w:cs="Times New Roman"/>
                <w:bCs/>
                <w:color w:val="auto"/>
                <w:highlight w:val="none"/>
              </w:rPr>
              <w:t>一套布袋除尘器</w:t>
            </w:r>
            <w:r>
              <w:rPr>
                <w:rFonts w:hint="default" w:ascii="Times New Roman" w:hAnsi="Times New Roman" w:cs="Times New Roman"/>
                <w:bCs/>
                <w:color w:val="auto"/>
                <w:highlight w:val="none"/>
                <w:lang w:val="en-US" w:eastAsia="zh-CN"/>
              </w:rPr>
              <w:t>净化</w:t>
            </w:r>
            <w:r>
              <w:rPr>
                <w:rFonts w:hint="default" w:ascii="Times New Roman" w:hAnsi="Times New Roman" w:cs="Times New Roman"/>
                <w:bCs/>
                <w:caps w:val="0"/>
                <w:smallCaps w:val="0"/>
                <w:color w:val="auto"/>
                <w:highlight w:val="none"/>
              </w:rPr>
              <w:t>处理后通过15m高的</w:t>
            </w:r>
            <w:r>
              <w:rPr>
                <w:rFonts w:hint="default" w:ascii="Times New Roman" w:hAnsi="Times New Roman" w:cs="Times New Roman"/>
                <w:bCs/>
                <w:caps w:val="0"/>
                <w:smallCaps w:val="0"/>
                <w:color w:val="auto"/>
                <w:highlight w:val="none"/>
                <w:lang w:val="en-US" w:eastAsia="zh-CN"/>
              </w:rPr>
              <w:t>排气筒（DA001）</w:t>
            </w:r>
            <w:r>
              <w:rPr>
                <w:rFonts w:hint="default" w:ascii="Times New Roman" w:hAnsi="Times New Roman" w:cs="Times New Roman"/>
                <w:bCs/>
                <w:caps w:val="0"/>
                <w:smallCaps w:val="0"/>
                <w:color w:val="auto"/>
                <w:highlight w:val="none"/>
              </w:rPr>
              <w:t>外排。排放的粉尘</w:t>
            </w:r>
            <w:r>
              <w:rPr>
                <w:rFonts w:hint="default" w:ascii="Times New Roman" w:hAnsi="Times New Roman" w:cs="Times New Roman"/>
                <w:caps w:val="0"/>
                <w:smallCaps w:val="0"/>
                <w:color w:val="auto"/>
                <w:kern w:val="0"/>
                <w:highlight w:val="none"/>
              </w:rPr>
              <w:t>执行《大气污染物综合排放标准》（GB16297-1996）中二级标准</w:t>
            </w:r>
            <w:r>
              <w:rPr>
                <w:rFonts w:hint="default" w:ascii="Times New Roman" w:hAnsi="Times New Roman" w:cs="Times New Roman"/>
                <w:caps w:val="0"/>
                <w:smallCaps w:val="0"/>
                <w:color w:val="auto"/>
                <w:kern w:val="0"/>
                <w:highlight w:val="none"/>
                <w:lang w:eastAsia="zh-CN"/>
              </w:rPr>
              <w:t>。</w:t>
            </w:r>
          </w:p>
          <w:p w14:paraId="1E9B85AA">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w:t>
            </w:r>
            <w:r>
              <w:rPr>
                <w:rFonts w:hint="eastAsia" w:ascii="Times New Roman" w:hAnsi="Times New Roman" w:eastAsia="宋体" w:cs="Times New Roman"/>
                <w:b/>
                <w:bCs/>
                <w:color w:val="auto"/>
                <w:sz w:val="21"/>
                <w:szCs w:val="21"/>
                <w:highlight w:val="none"/>
                <w:lang w:val="en-US" w:eastAsia="zh-CN"/>
              </w:rPr>
              <w:t>3-9</w:t>
            </w:r>
            <w:r>
              <w:rPr>
                <w:rFonts w:hint="default" w:ascii="Times New Roman" w:hAnsi="Times New Roman" w:eastAsia="宋体" w:cs="Times New Roman"/>
                <w:b/>
                <w:bCs/>
                <w:color w:val="auto"/>
                <w:sz w:val="21"/>
                <w:szCs w:val="21"/>
                <w:highlight w:val="none"/>
              </w:rPr>
              <w:t xml:space="preserve"> 大气污染物综合排放标准</w:t>
            </w:r>
          </w:p>
          <w:tbl>
            <w:tblPr>
              <w:tblStyle w:val="30"/>
              <w:tblW w:w="7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0"/>
              <w:gridCol w:w="1344"/>
              <w:gridCol w:w="2975"/>
              <w:gridCol w:w="2698"/>
            </w:tblGrid>
            <w:tr w14:paraId="1A9D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880" w:type="dxa"/>
                  <w:noWrap/>
                  <w:vAlign w:val="center"/>
                </w:tcPr>
                <w:p w14:paraId="4699729C">
                  <w:pPr>
                    <w:spacing w:line="240" w:lineRule="auto"/>
                    <w:ind w:firstLine="0" w:firstLineChars="0"/>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排气筒</w:t>
                  </w:r>
                </w:p>
              </w:tc>
              <w:tc>
                <w:tcPr>
                  <w:tcW w:w="1344" w:type="dxa"/>
                  <w:noWrap/>
                  <w:vAlign w:val="center"/>
                </w:tcPr>
                <w:p w14:paraId="08BB8613">
                  <w:pPr>
                    <w:spacing w:line="240" w:lineRule="auto"/>
                    <w:ind w:firstLine="0" w:firstLineChars="0"/>
                    <w:jc w:val="center"/>
                    <w:rPr>
                      <w:rFonts w:hint="default" w:ascii="Times New Roman" w:hAnsi="Times New Roman" w:eastAsia="宋体" w:cs="Times New Roman"/>
                      <w:b/>
                      <w:bCs/>
                      <w:color w:val="auto"/>
                      <w:sz w:val="21"/>
                      <w:szCs w:val="21"/>
                      <w:highlight w:val="none"/>
                    </w:rPr>
                  </w:pPr>
                  <w:bookmarkStart w:id="15" w:name="_Toc197767120"/>
                  <w:bookmarkStart w:id="16" w:name="_Toc183940418"/>
                  <w:bookmarkStart w:id="17" w:name="_Toc246754393"/>
                  <w:bookmarkStart w:id="18" w:name="_Toc175044369"/>
                  <w:bookmarkStart w:id="19" w:name="_Toc173899921"/>
                  <w:bookmarkStart w:id="20" w:name="_Toc187142316"/>
                  <w:bookmarkStart w:id="21" w:name="_Toc177874860"/>
                  <w:bookmarkStart w:id="22" w:name="_Toc183485669"/>
                  <w:bookmarkStart w:id="23" w:name="_Toc199131697"/>
                  <w:bookmarkStart w:id="24" w:name="_Toc246754394"/>
                  <w:r>
                    <w:rPr>
                      <w:rFonts w:hint="default" w:ascii="Times New Roman" w:hAnsi="Times New Roman" w:eastAsia="宋体" w:cs="Times New Roman"/>
                      <w:b/>
                      <w:bCs/>
                      <w:color w:val="auto"/>
                      <w:sz w:val="21"/>
                      <w:szCs w:val="21"/>
                      <w:highlight w:val="none"/>
                    </w:rPr>
                    <w:t>污染物名称</w:t>
                  </w:r>
                  <w:bookmarkEnd w:id="15"/>
                  <w:bookmarkEnd w:id="16"/>
                  <w:bookmarkEnd w:id="17"/>
                  <w:bookmarkEnd w:id="18"/>
                  <w:bookmarkEnd w:id="19"/>
                  <w:bookmarkEnd w:id="20"/>
                  <w:bookmarkEnd w:id="21"/>
                  <w:bookmarkEnd w:id="22"/>
                  <w:bookmarkEnd w:id="23"/>
                </w:p>
              </w:tc>
              <w:tc>
                <w:tcPr>
                  <w:tcW w:w="2975" w:type="dxa"/>
                  <w:noWrap/>
                  <w:vAlign w:val="center"/>
                </w:tcPr>
                <w:p w14:paraId="598528FE">
                  <w:pPr>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最高允许排放</w:t>
                  </w:r>
                  <w:bookmarkEnd w:id="24"/>
                  <w:bookmarkStart w:id="25" w:name="_Toc246754395"/>
                  <w:r>
                    <w:rPr>
                      <w:rFonts w:hint="eastAsia" w:ascii="Times New Roman" w:hAnsi="Times New Roman" w:eastAsia="宋体" w:cs="Times New Roman"/>
                      <w:b/>
                      <w:bCs/>
                      <w:color w:val="auto"/>
                      <w:sz w:val="21"/>
                      <w:szCs w:val="21"/>
                      <w:highlight w:val="none"/>
                      <w:lang w:eastAsia="zh-CN"/>
                    </w:rPr>
                    <w:t>浓度</w:t>
                  </w:r>
                  <w:r>
                    <w:rPr>
                      <w:rFonts w:hint="default" w:ascii="Times New Roman" w:hAnsi="Times New Roman" w:eastAsia="宋体" w:cs="Times New Roman"/>
                      <w:b/>
                      <w:bCs/>
                      <w:color w:val="auto"/>
                      <w:sz w:val="21"/>
                      <w:szCs w:val="21"/>
                      <w:highlight w:val="none"/>
                    </w:rPr>
                    <w:t>（mg/m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rPr>
                    <w:t>）</w:t>
                  </w:r>
                  <w:bookmarkEnd w:id="25"/>
                </w:p>
              </w:tc>
              <w:tc>
                <w:tcPr>
                  <w:tcW w:w="2698" w:type="dxa"/>
                  <w:noWrap/>
                  <w:vAlign w:val="center"/>
                </w:tcPr>
                <w:p w14:paraId="50412E6B">
                  <w:pPr>
                    <w:spacing w:line="240" w:lineRule="auto"/>
                    <w:ind w:firstLine="0" w:firstLineChars="0"/>
                    <w:jc w:val="center"/>
                    <w:rPr>
                      <w:rFonts w:hint="default" w:ascii="Times New Roman" w:hAnsi="Times New Roman" w:eastAsia="宋体" w:cs="Times New Roman"/>
                      <w:b/>
                      <w:bCs/>
                      <w:color w:val="auto"/>
                      <w:sz w:val="21"/>
                      <w:szCs w:val="21"/>
                      <w:highlight w:val="none"/>
                    </w:rPr>
                  </w:pPr>
                  <w:bookmarkStart w:id="26" w:name="_Toc246754396"/>
                  <w:r>
                    <w:rPr>
                      <w:rFonts w:hint="default" w:ascii="Times New Roman" w:hAnsi="Times New Roman" w:eastAsia="宋体" w:cs="Times New Roman"/>
                      <w:b/>
                      <w:bCs/>
                      <w:color w:val="auto"/>
                      <w:sz w:val="21"/>
                      <w:szCs w:val="21"/>
                      <w:highlight w:val="none"/>
                    </w:rPr>
                    <w:t>最高允许排放速率</w:t>
                  </w:r>
                  <w:bookmarkEnd w:id="26"/>
                  <w:r>
                    <w:rPr>
                      <w:rFonts w:hint="default" w:ascii="Times New Roman" w:hAnsi="Times New Roman" w:eastAsia="宋体" w:cs="Times New Roman"/>
                      <w:b/>
                      <w:bCs/>
                      <w:color w:val="auto"/>
                      <w:sz w:val="21"/>
                      <w:szCs w:val="21"/>
                      <w:highlight w:val="none"/>
                    </w:rPr>
                    <w:t>（kg/h）</w:t>
                  </w:r>
                </w:p>
              </w:tc>
            </w:tr>
            <w:tr w14:paraId="34E3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 w:hRule="atLeast"/>
                <w:jc w:val="center"/>
              </w:trPr>
              <w:tc>
                <w:tcPr>
                  <w:tcW w:w="880" w:type="dxa"/>
                  <w:noWrap/>
                  <w:vAlign w:val="center"/>
                </w:tcPr>
                <w:p w14:paraId="2535E379">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DA001</w:t>
                  </w:r>
                </w:p>
              </w:tc>
              <w:tc>
                <w:tcPr>
                  <w:tcW w:w="1344" w:type="dxa"/>
                  <w:noWrap/>
                  <w:vAlign w:val="center"/>
                </w:tcPr>
                <w:p w14:paraId="4BA0E957">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颗粒物</w:t>
                  </w:r>
                </w:p>
              </w:tc>
              <w:tc>
                <w:tcPr>
                  <w:tcW w:w="2975" w:type="dxa"/>
                  <w:noWrap/>
                  <w:vAlign w:val="center"/>
                </w:tcPr>
                <w:p w14:paraId="26167D7B">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120</w:t>
                  </w:r>
                </w:p>
              </w:tc>
              <w:tc>
                <w:tcPr>
                  <w:tcW w:w="2698" w:type="dxa"/>
                  <w:noWrap/>
                  <w:vAlign w:val="center"/>
                </w:tcPr>
                <w:p w14:paraId="2AEC5FE5">
                  <w:pPr>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3.5（排气筒高度15米）</w:t>
                  </w:r>
                </w:p>
              </w:tc>
            </w:tr>
          </w:tbl>
          <w:p w14:paraId="3A95BCD4">
            <w:pPr>
              <w:adjustRightInd w:val="0"/>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②无组织</w:t>
            </w:r>
          </w:p>
          <w:p w14:paraId="6B1741A1">
            <w:pPr>
              <w:adjustRightInd w:val="0"/>
              <w:ind w:firstLine="480"/>
              <w:rPr>
                <w:rFonts w:hint="default" w:ascii="Times New Roman" w:hAnsi="Times New Roman" w:cs="Times New Roman"/>
                <w:caps w:val="0"/>
                <w:smallCaps w:val="0"/>
                <w:color w:val="auto"/>
                <w:kern w:val="0"/>
                <w:highlight w:val="none"/>
              </w:rPr>
            </w:pPr>
            <w:r>
              <w:rPr>
                <w:rFonts w:hint="default" w:ascii="Times New Roman" w:hAnsi="Times New Roman" w:cs="Times New Roman"/>
                <w:color w:val="auto"/>
                <w:highlight w:val="none"/>
                <w:lang w:val="en-US" w:eastAsia="zh-CN"/>
              </w:rPr>
              <w:t>本项目</w:t>
            </w:r>
            <w:r>
              <w:rPr>
                <w:rFonts w:hint="default" w:ascii="Times New Roman" w:hAnsi="Times New Roman" w:cs="Times New Roman"/>
                <w:color w:val="auto"/>
                <w:highlight w:val="none"/>
              </w:rPr>
              <w:t>露天开采区、运输道路排放粉尘无组织排放，执行《大气污染物综合排放标准》（GB16297-1996）表2颗粒物周界外浓度最高点排放限值。</w:t>
            </w:r>
            <w:r>
              <w:rPr>
                <w:rFonts w:hint="default" w:ascii="Times New Roman" w:hAnsi="Times New Roman" w:cs="Times New Roman"/>
                <w:caps w:val="0"/>
                <w:smallCaps w:val="0"/>
                <w:color w:val="auto"/>
                <w:kern w:val="0"/>
                <w:highlight w:val="none"/>
              </w:rPr>
              <w:t>标准值如下：</w:t>
            </w:r>
          </w:p>
          <w:p w14:paraId="30E5ECC5">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w:t>
            </w:r>
            <w:r>
              <w:rPr>
                <w:rFonts w:hint="default" w:ascii="Times New Roman" w:hAnsi="Times New Roman" w:eastAsia="宋体" w:cs="Times New Roman"/>
                <w:b/>
                <w:bCs/>
                <w:color w:val="auto"/>
                <w:sz w:val="21"/>
                <w:szCs w:val="21"/>
                <w:highlight w:val="none"/>
                <w:lang w:val="en-US" w:eastAsia="zh-CN"/>
              </w:rPr>
              <w:t>3-</w:t>
            </w:r>
            <w:r>
              <w:rPr>
                <w:rFonts w:hint="eastAsia" w:ascii="Times New Roman" w:hAnsi="Times New Roman" w:eastAsia="宋体" w:cs="Times New Roman"/>
                <w:b/>
                <w:bCs/>
                <w:color w:val="auto"/>
                <w:sz w:val="21"/>
                <w:szCs w:val="21"/>
                <w:highlight w:val="none"/>
                <w:lang w:val="en-US" w:eastAsia="zh-CN"/>
              </w:rPr>
              <w:t>10</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rPr>
              <w:t>大气污染物综合排放标准</w:t>
            </w:r>
          </w:p>
          <w:tbl>
            <w:tblPr>
              <w:tblStyle w:val="30"/>
              <w:tblW w:w="781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3417"/>
              <w:gridCol w:w="2232"/>
            </w:tblGrid>
            <w:tr w14:paraId="1347FE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9" w:hRule="atLeast"/>
                <w:tblHeader/>
                <w:jc w:val="center"/>
              </w:trPr>
              <w:tc>
                <w:tcPr>
                  <w:tcW w:w="2170" w:type="dxa"/>
                  <w:vMerge w:val="restart"/>
                  <w:tcBorders>
                    <w:left w:val="single" w:color="auto" w:sz="0" w:space="0"/>
                    <w:tl2br w:val="nil"/>
                    <w:tr2bl w:val="nil"/>
                  </w:tcBorders>
                  <w:noWrap w:val="0"/>
                  <w:vAlign w:val="center"/>
                </w:tcPr>
                <w:p w14:paraId="5B60D8E2">
                  <w:pPr>
                    <w:pStyle w:val="7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污染物</w:t>
                  </w:r>
                </w:p>
              </w:tc>
              <w:tc>
                <w:tcPr>
                  <w:tcW w:w="5649" w:type="dxa"/>
                  <w:gridSpan w:val="2"/>
                  <w:tcBorders>
                    <w:right w:val="single" w:color="auto" w:sz="4" w:space="0"/>
                    <w:tl2br w:val="nil"/>
                    <w:tr2bl w:val="nil"/>
                  </w:tcBorders>
                  <w:noWrap w:val="0"/>
                  <w:vAlign w:val="center"/>
                </w:tcPr>
                <w:p w14:paraId="0F2A5667">
                  <w:pPr>
                    <w:pStyle w:val="7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无组织排放监控浓度限值</w:t>
                  </w:r>
                </w:p>
              </w:tc>
            </w:tr>
            <w:tr w14:paraId="22022B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9" w:hRule="atLeast"/>
                <w:tblHeader/>
                <w:jc w:val="center"/>
              </w:trPr>
              <w:tc>
                <w:tcPr>
                  <w:tcW w:w="2170" w:type="dxa"/>
                  <w:vMerge w:val="continue"/>
                  <w:tcBorders>
                    <w:left w:val="single" w:color="auto" w:sz="4" w:space="0"/>
                    <w:tl2br w:val="nil"/>
                    <w:tr2bl w:val="nil"/>
                  </w:tcBorders>
                  <w:noWrap w:val="0"/>
                  <w:vAlign w:val="center"/>
                </w:tcPr>
                <w:p w14:paraId="5BACF074">
                  <w:pPr>
                    <w:pStyle w:val="74"/>
                    <w:bidi w:val="0"/>
                    <w:rPr>
                      <w:rFonts w:hint="default" w:ascii="Times New Roman" w:hAnsi="Times New Roman" w:cs="Times New Roman"/>
                      <w:color w:val="auto"/>
                      <w:highlight w:val="none"/>
                    </w:rPr>
                  </w:pPr>
                </w:p>
              </w:tc>
              <w:tc>
                <w:tcPr>
                  <w:tcW w:w="3417" w:type="dxa"/>
                  <w:tcBorders>
                    <w:tl2br w:val="nil"/>
                    <w:tr2bl w:val="nil"/>
                  </w:tcBorders>
                  <w:noWrap w:val="0"/>
                  <w:vAlign w:val="center"/>
                </w:tcPr>
                <w:p w14:paraId="3F5844A1">
                  <w:pPr>
                    <w:pStyle w:val="7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监控点</w:t>
                  </w:r>
                </w:p>
              </w:tc>
              <w:tc>
                <w:tcPr>
                  <w:tcW w:w="2232" w:type="dxa"/>
                  <w:tcBorders>
                    <w:right w:val="single" w:color="auto" w:sz="4" w:space="0"/>
                    <w:tl2br w:val="nil"/>
                    <w:tr2bl w:val="nil"/>
                  </w:tcBorders>
                  <w:noWrap w:val="0"/>
                  <w:vAlign w:val="center"/>
                </w:tcPr>
                <w:p w14:paraId="107B89FE">
                  <w:pPr>
                    <w:pStyle w:val="7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浓度mg/m</w:t>
                  </w:r>
                  <w:r>
                    <w:rPr>
                      <w:rFonts w:hint="default" w:ascii="Times New Roman" w:hAnsi="Times New Roman" w:cs="Times New Roman"/>
                      <w:color w:val="auto"/>
                      <w:highlight w:val="none"/>
                      <w:vertAlign w:val="superscript"/>
                    </w:rPr>
                    <w:t>3</w:t>
                  </w:r>
                </w:p>
              </w:tc>
            </w:tr>
            <w:tr w14:paraId="3126342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exact"/>
                <w:jc w:val="center"/>
              </w:trPr>
              <w:tc>
                <w:tcPr>
                  <w:tcW w:w="2170" w:type="dxa"/>
                  <w:tcBorders>
                    <w:left w:val="single" w:color="auto" w:sz="4" w:space="0"/>
                    <w:tl2br w:val="nil"/>
                    <w:tr2bl w:val="nil"/>
                  </w:tcBorders>
                  <w:noWrap w:val="0"/>
                  <w:vAlign w:val="center"/>
                </w:tcPr>
                <w:p w14:paraId="5EDA36E6">
                  <w:pPr>
                    <w:pStyle w:val="74"/>
                    <w:bidi w:val="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颗粒物</w:t>
                  </w:r>
                </w:p>
              </w:tc>
              <w:tc>
                <w:tcPr>
                  <w:tcW w:w="3417" w:type="dxa"/>
                  <w:tcBorders>
                    <w:tl2br w:val="nil"/>
                    <w:tr2bl w:val="nil"/>
                  </w:tcBorders>
                  <w:noWrap w:val="0"/>
                  <w:vAlign w:val="center"/>
                </w:tcPr>
                <w:p w14:paraId="41A9A6C9">
                  <w:pPr>
                    <w:pStyle w:val="74"/>
                    <w:bidi w:val="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周界外浓度最高点</w:t>
                  </w:r>
                </w:p>
              </w:tc>
              <w:tc>
                <w:tcPr>
                  <w:tcW w:w="2232" w:type="dxa"/>
                  <w:tcBorders>
                    <w:right w:val="single" w:color="auto" w:sz="4" w:space="0"/>
                    <w:tl2br w:val="nil"/>
                    <w:tr2bl w:val="nil"/>
                  </w:tcBorders>
                  <w:noWrap w:val="0"/>
                  <w:vAlign w:val="center"/>
                </w:tcPr>
                <w:p w14:paraId="7AFF145D">
                  <w:pPr>
                    <w:pStyle w:val="74"/>
                    <w:bidi w:val="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1.0</w:t>
                  </w:r>
                </w:p>
              </w:tc>
            </w:tr>
          </w:tbl>
          <w:p w14:paraId="0ECD440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③油烟</w:t>
            </w:r>
          </w:p>
          <w:p w14:paraId="37D69DE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4"/>
                <w:highlight w:val="none"/>
                <w:lang w:val="en-US" w:eastAsia="zh-CN"/>
              </w:rPr>
              <w:t>项目运营期设置一个食堂，灶台设置1个，属于小型规模，食堂油烟排放执行</w:t>
            </w:r>
            <w:r>
              <w:rPr>
                <w:rFonts w:hint="default" w:ascii="Times New Roman" w:hAnsi="Times New Roman" w:cs="Times New Roman"/>
                <w:color w:val="auto"/>
                <w:highlight w:val="none"/>
              </w:rPr>
              <w:t>《饮食业油烟排放标准（试行）》（GB18483-2001）</w:t>
            </w:r>
            <w:r>
              <w:rPr>
                <w:rFonts w:hint="default" w:ascii="Times New Roman" w:hAnsi="Times New Roman" w:eastAsia="宋体" w:cs="Times New Roman"/>
                <w:color w:val="auto"/>
                <w:sz w:val="24"/>
                <w:highlight w:val="none"/>
                <w:lang w:val="en-US" w:eastAsia="zh-CN"/>
              </w:rPr>
              <w:t>中相应的标准要求，具体见表3-</w:t>
            </w:r>
            <w:r>
              <w:rPr>
                <w:rFonts w:hint="eastAsia" w:cs="Times New Roman"/>
                <w:color w:val="auto"/>
                <w:sz w:val="24"/>
                <w:highlight w:val="none"/>
                <w:lang w:val="en-US" w:eastAsia="zh-CN"/>
              </w:rPr>
              <w:t>11</w:t>
            </w:r>
            <w:r>
              <w:rPr>
                <w:rFonts w:hint="default" w:ascii="Times New Roman" w:hAnsi="Times New Roman" w:eastAsia="宋体" w:cs="Times New Roman"/>
                <w:color w:val="auto"/>
                <w:sz w:val="24"/>
                <w:highlight w:val="none"/>
                <w:lang w:val="en-US" w:eastAsia="zh-CN"/>
              </w:rPr>
              <w:t>。</w:t>
            </w:r>
          </w:p>
          <w:p w14:paraId="3E26B65A">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w:t>
            </w:r>
            <w:r>
              <w:rPr>
                <w:rFonts w:hint="default" w:ascii="Times New Roman" w:hAnsi="Times New Roman" w:eastAsia="宋体" w:cs="Times New Roman"/>
                <w:b/>
                <w:bCs/>
                <w:color w:val="auto"/>
                <w:sz w:val="21"/>
                <w:szCs w:val="21"/>
                <w:highlight w:val="none"/>
                <w:lang w:val="en-US" w:eastAsia="zh-CN"/>
              </w:rPr>
              <w:t>3-</w:t>
            </w:r>
            <w:r>
              <w:rPr>
                <w:rFonts w:hint="eastAsia" w:ascii="Times New Roman" w:hAnsi="Times New Roman" w:eastAsia="宋体" w:cs="Times New Roman"/>
                <w:b/>
                <w:bCs/>
                <w:color w:val="auto"/>
                <w:sz w:val="21"/>
                <w:szCs w:val="21"/>
                <w:highlight w:val="none"/>
                <w:lang w:val="en-US" w:eastAsia="zh-CN"/>
              </w:rPr>
              <w:t>11</w:t>
            </w:r>
            <w:r>
              <w:rPr>
                <w:rFonts w:hint="default" w:ascii="Times New Roman" w:hAnsi="Times New Roman" w:eastAsia="宋体" w:cs="Times New Roman"/>
                <w:b/>
                <w:bCs/>
                <w:color w:val="auto"/>
                <w:sz w:val="21"/>
                <w:szCs w:val="21"/>
                <w:highlight w:val="none"/>
              </w:rPr>
              <w:t xml:space="preserve">  饮食业单位排放标准值</w:t>
            </w:r>
          </w:p>
          <w:tbl>
            <w:tblPr>
              <w:tblStyle w:val="30"/>
              <w:tblW w:w="7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4"/>
              <w:gridCol w:w="1309"/>
              <w:gridCol w:w="1358"/>
              <w:gridCol w:w="1257"/>
            </w:tblGrid>
            <w:tr w14:paraId="1D94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854" w:type="dxa"/>
                  <w:noWrap w:val="0"/>
                  <w:vAlign w:val="center"/>
                </w:tcPr>
                <w:p w14:paraId="334BD249">
                  <w:pPr>
                    <w:pStyle w:val="7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规模</w:t>
                  </w:r>
                </w:p>
              </w:tc>
              <w:tc>
                <w:tcPr>
                  <w:tcW w:w="1309" w:type="dxa"/>
                  <w:noWrap w:val="0"/>
                  <w:vAlign w:val="center"/>
                </w:tcPr>
                <w:p w14:paraId="2225BB43">
                  <w:pPr>
                    <w:pStyle w:val="7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小型</w:t>
                  </w:r>
                </w:p>
              </w:tc>
              <w:tc>
                <w:tcPr>
                  <w:tcW w:w="1358" w:type="dxa"/>
                  <w:noWrap w:val="0"/>
                  <w:vAlign w:val="center"/>
                </w:tcPr>
                <w:p w14:paraId="796C8E9D">
                  <w:pPr>
                    <w:pStyle w:val="7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中型</w:t>
                  </w:r>
                </w:p>
              </w:tc>
              <w:tc>
                <w:tcPr>
                  <w:tcW w:w="1257" w:type="dxa"/>
                  <w:noWrap w:val="0"/>
                  <w:vAlign w:val="center"/>
                </w:tcPr>
                <w:p w14:paraId="413F1F67">
                  <w:pPr>
                    <w:pStyle w:val="7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大型</w:t>
                  </w:r>
                </w:p>
              </w:tc>
            </w:tr>
            <w:tr w14:paraId="20A4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3854" w:type="dxa"/>
                  <w:noWrap w:val="0"/>
                  <w:vAlign w:val="center"/>
                </w:tcPr>
                <w:p w14:paraId="4C7FBEC5">
                  <w:pPr>
                    <w:pStyle w:val="7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最高允许排放浓度（mg／m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tc>
              <w:tc>
                <w:tcPr>
                  <w:tcW w:w="3924" w:type="dxa"/>
                  <w:gridSpan w:val="3"/>
                  <w:noWrap w:val="0"/>
                  <w:vAlign w:val="center"/>
                </w:tcPr>
                <w:p w14:paraId="31B08900">
                  <w:pPr>
                    <w:pStyle w:val="74"/>
                    <w:bidi w:val="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2.0</w:t>
                  </w:r>
                </w:p>
              </w:tc>
            </w:tr>
            <w:tr w14:paraId="2CB2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3854" w:type="dxa"/>
                  <w:noWrap w:val="0"/>
                  <w:vAlign w:val="center"/>
                </w:tcPr>
                <w:p w14:paraId="221DF86A">
                  <w:pPr>
                    <w:pStyle w:val="7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净化设施最低去除率（%）</w:t>
                  </w:r>
                </w:p>
              </w:tc>
              <w:tc>
                <w:tcPr>
                  <w:tcW w:w="1309" w:type="dxa"/>
                  <w:noWrap w:val="0"/>
                  <w:vAlign w:val="center"/>
                </w:tcPr>
                <w:p w14:paraId="05F7DE09">
                  <w:pPr>
                    <w:pStyle w:val="74"/>
                    <w:bidi w:val="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60</w:t>
                  </w:r>
                </w:p>
              </w:tc>
              <w:tc>
                <w:tcPr>
                  <w:tcW w:w="1358" w:type="dxa"/>
                  <w:noWrap w:val="0"/>
                  <w:vAlign w:val="center"/>
                </w:tcPr>
                <w:p w14:paraId="3B0C9B6C">
                  <w:pPr>
                    <w:pStyle w:val="74"/>
                    <w:bidi w:val="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75</w:t>
                  </w:r>
                </w:p>
              </w:tc>
              <w:tc>
                <w:tcPr>
                  <w:tcW w:w="1257" w:type="dxa"/>
                  <w:noWrap w:val="0"/>
                  <w:vAlign w:val="center"/>
                </w:tcPr>
                <w:p w14:paraId="311F9AC7">
                  <w:pPr>
                    <w:pStyle w:val="74"/>
                    <w:bidi w:val="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80</w:t>
                  </w:r>
                </w:p>
              </w:tc>
            </w:tr>
          </w:tbl>
          <w:p w14:paraId="6F74C844">
            <w:pPr>
              <w:tabs>
                <w:tab w:val="left" w:pos="1684"/>
              </w:tabs>
              <w:ind w:firstLine="482"/>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2、废水</w:t>
            </w:r>
          </w:p>
          <w:p w14:paraId="6E33BF0D">
            <w:pPr>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（1）施工期</w:t>
            </w:r>
          </w:p>
          <w:p w14:paraId="3DC76700">
            <w:pPr>
              <w:keepNext w:val="0"/>
              <w:keepLines w:val="0"/>
              <w:pageBreakBefore w:val="0"/>
              <w:kinsoku/>
              <w:wordWrap w:val="0"/>
              <w:overflowPunct/>
              <w:bidi w:val="0"/>
              <w:spacing w:line="360" w:lineRule="auto"/>
              <w:ind w:firstLine="480" w:firstLineChars="200"/>
              <w:jc w:val="both"/>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bCs/>
                <w:color w:val="auto"/>
                <w:sz w:val="24"/>
                <w:szCs w:val="24"/>
                <w:highlight w:val="none"/>
                <w:lang w:eastAsia="zh-CN"/>
              </w:rPr>
              <w:t>本项目施工期间不设施工营地，施工人员不在项目区内食宿，施工期废水主要是施工废水、施工人员清洗废水</w:t>
            </w:r>
            <w:r>
              <w:rPr>
                <w:rFonts w:hint="default" w:ascii="Times New Roman" w:hAnsi="Times New Roman" w:eastAsia="宋体" w:cs="Times New Roman"/>
                <w:bCs/>
                <w:color w:val="auto"/>
                <w:sz w:val="24"/>
                <w:szCs w:val="24"/>
                <w:highlight w:val="none"/>
                <w:lang w:val="en-US" w:eastAsia="zh-CN"/>
              </w:rPr>
              <w:t>和场地雨污水</w:t>
            </w:r>
            <w:r>
              <w:rPr>
                <w:rFonts w:hint="default" w:ascii="Times New Roman" w:hAnsi="Times New Roman" w:eastAsia="宋体" w:cs="Times New Roman"/>
                <w:bCs/>
                <w:color w:val="auto"/>
                <w:sz w:val="24"/>
                <w:szCs w:val="24"/>
                <w:highlight w:val="none"/>
                <w:lang w:eastAsia="zh-CN"/>
              </w:rPr>
              <w:t>，废水经简单沉淀后回用，不外排，故不设排放标准。</w:t>
            </w:r>
          </w:p>
          <w:p w14:paraId="63E62E91">
            <w:pPr>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（2）运营期</w:t>
            </w:r>
          </w:p>
          <w:p w14:paraId="109555D5">
            <w:pPr>
              <w:ind w:firstLine="480"/>
              <w:rPr>
                <w:rFonts w:hint="default" w:ascii="Times New Roman" w:hAnsi="Times New Roman" w:cs="Times New Roman"/>
                <w:bCs/>
                <w:color w:val="auto"/>
                <w:szCs w:val="24"/>
                <w:highlight w:val="none"/>
              </w:rPr>
            </w:pPr>
            <w:r>
              <w:rPr>
                <w:rFonts w:hint="default" w:ascii="Times New Roman" w:hAnsi="Times New Roman" w:cs="Times New Roman"/>
                <w:color w:val="auto"/>
                <w:szCs w:val="24"/>
                <w:highlight w:val="none"/>
              </w:rPr>
              <w:t>本项目生产运营过程中无生产废水产生及排放。</w:t>
            </w:r>
            <w:r>
              <w:rPr>
                <w:rFonts w:hint="default" w:ascii="Times New Roman" w:hAnsi="Times New Roman" w:cs="Times New Roman"/>
                <w:color w:val="auto"/>
                <w:highlight w:val="none"/>
              </w:rPr>
              <w:t>本次扩建</w:t>
            </w:r>
            <w:r>
              <w:rPr>
                <w:rFonts w:hint="default" w:ascii="Times New Roman" w:hAnsi="Times New Roman" w:cs="Times New Roman"/>
                <w:color w:val="auto"/>
                <w:highlight w:val="none"/>
                <w:lang w:val="en-US" w:eastAsia="zh-CN"/>
              </w:rPr>
              <w:t>后</w:t>
            </w:r>
            <w:r>
              <w:rPr>
                <w:rFonts w:hint="default" w:ascii="Times New Roman" w:hAnsi="Times New Roman" w:cs="Times New Roman"/>
                <w:color w:val="auto"/>
                <w:highlight w:val="none"/>
              </w:rPr>
              <w:t>劳动定员</w:t>
            </w:r>
            <w:r>
              <w:rPr>
                <w:rFonts w:hint="eastAsia" w:cs="Times New Roman"/>
                <w:color w:val="auto"/>
                <w:highlight w:val="none"/>
                <w:lang w:val="en-US" w:eastAsia="zh-CN"/>
              </w:rPr>
              <w:t>12</w:t>
            </w:r>
            <w:r>
              <w:rPr>
                <w:rFonts w:hint="default" w:ascii="Times New Roman" w:hAnsi="Times New Roman" w:cs="Times New Roman"/>
                <w:color w:val="auto"/>
                <w:highlight w:val="none"/>
              </w:rPr>
              <w:t>人，</w:t>
            </w:r>
            <w:r>
              <w:rPr>
                <w:rFonts w:hint="default" w:ascii="Times New Roman" w:hAnsi="Times New Roman" w:cs="Times New Roman"/>
                <w:bCs/>
                <w:color w:val="auto"/>
                <w:szCs w:val="24"/>
                <w:highlight w:val="none"/>
              </w:rPr>
              <w:t>产生的</w:t>
            </w:r>
            <w:r>
              <w:rPr>
                <w:rFonts w:hint="default" w:ascii="Times New Roman" w:hAnsi="Times New Roman" w:cs="Times New Roman"/>
                <w:bCs/>
                <w:color w:val="auto"/>
                <w:szCs w:val="24"/>
                <w:highlight w:val="none"/>
                <w:lang w:val="en-US" w:eastAsia="zh-CN"/>
              </w:rPr>
              <w:t>生活废水经隔油池、三格化粪池处理后，定期清掏</w:t>
            </w:r>
            <w:r>
              <w:rPr>
                <w:rFonts w:hint="eastAsia" w:cs="Times New Roman"/>
                <w:bCs/>
                <w:color w:val="auto"/>
                <w:szCs w:val="24"/>
                <w:highlight w:val="none"/>
                <w:lang w:val="en-US" w:eastAsia="zh-CN"/>
              </w:rPr>
              <w:t>用作农肥</w:t>
            </w:r>
            <w:r>
              <w:rPr>
                <w:rFonts w:hint="eastAsia" w:cs="Times New Roman"/>
                <w:bCs/>
                <w:color w:val="auto"/>
                <w:szCs w:val="24"/>
                <w:highlight w:val="none"/>
                <w:lang w:eastAsia="zh-CN"/>
              </w:rPr>
              <w:t>；</w:t>
            </w:r>
            <w:r>
              <w:rPr>
                <w:rFonts w:hint="eastAsia" w:cs="Times New Roman"/>
                <w:bCs/>
                <w:color w:val="auto"/>
                <w:szCs w:val="24"/>
                <w:highlight w:val="none"/>
                <w:lang w:val="en-US" w:eastAsia="zh-CN"/>
              </w:rPr>
              <w:t>车辆清洗废水循环使用；</w:t>
            </w:r>
            <w:r>
              <w:rPr>
                <w:rFonts w:hint="default" w:ascii="Times New Roman" w:hAnsi="Times New Roman" w:cs="Times New Roman"/>
                <w:bCs/>
                <w:color w:val="auto"/>
                <w:szCs w:val="24"/>
                <w:highlight w:val="none"/>
              </w:rPr>
              <w:t>露天</w:t>
            </w:r>
            <w:r>
              <w:rPr>
                <w:rFonts w:hint="default" w:ascii="Times New Roman" w:hAnsi="Times New Roman" w:cs="Times New Roman"/>
                <w:color w:val="auto"/>
                <w:szCs w:val="24"/>
                <w:highlight w:val="none"/>
              </w:rPr>
              <w:t>开采区</w:t>
            </w:r>
            <w:r>
              <w:rPr>
                <w:rFonts w:hint="eastAsia" w:cs="Times New Roman"/>
                <w:color w:val="auto"/>
                <w:szCs w:val="24"/>
                <w:highlight w:val="none"/>
                <w:lang w:val="en-US" w:eastAsia="zh-CN"/>
              </w:rPr>
              <w:t>和临时表土堆场淋滤水、工业场地区和办公生活区初期雨水</w:t>
            </w:r>
            <w:r>
              <w:rPr>
                <w:rFonts w:hint="default" w:ascii="Times New Roman" w:hAnsi="Times New Roman" w:cs="Times New Roman"/>
                <w:color w:val="auto"/>
                <w:szCs w:val="24"/>
                <w:highlight w:val="none"/>
              </w:rPr>
              <w:t>经截（排）水</w:t>
            </w:r>
            <w:r>
              <w:rPr>
                <w:rFonts w:hint="default" w:ascii="Times New Roman" w:hAnsi="Times New Roman" w:cs="Times New Roman"/>
                <w:color w:val="auto"/>
                <w:szCs w:val="24"/>
                <w:highlight w:val="none"/>
                <w:lang w:val="en-US" w:eastAsia="zh-CN"/>
              </w:rPr>
              <w:t>沟</w:t>
            </w:r>
            <w:r>
              <w:rPr>
                <w:rFonts w:hint="default" w:ascii="Times New Roman" w:hAnsi="Times New Roman" w:cs="Times New Roman"/>
                <w:color w:val="auto"/>
                <w:szCs w:val="24"/>
                <w:highlight w:val="none"/>
              </w:rPr>
              <w:t>收集汇入</w:t>
            </w:r>
            <w:r>
              <w:rPr>
                <w:rFonts w:hint="eastAsia" w:cs="Times New Roman"/>
                <w:color w:val="auto"/>
                <w:szCs w:val="24"/>
                <w:highlight w:val="none"/>
                <w:lang w:eastAsia="zh-CN"/>
              </w:rPr>
              <w:t>沉砂池</w:t>
            </w:r>
            <w:r>
              <w:rPr>
                <w:rFonts w:hint="default" w:ascii="Times New Roman" w:hAnsi="Times New Roman" w:cs="Times New Roman"/>
                <w:color w:val="auto"/>
                <w:szCs w:val="24"/>
                <w:highlight w:val="none"/>
              </w:rPr>
              <w:t>沉淀后，回用于洒水降尘，不外排。</w:t>
            </w:r>
            <w:r>
              <w:rPr>
                <w:rFonts w:cs="Times New Roman"/>
                <w:color w:val="auto"/>
                <w:highlight w:val="none"/>
                <w:lang w:eastAsia="zh-CN" w:bidi="ar"/>
              </w:rPr>
              <w:t>因此，项目不设置废水排放标准。</w:t>
            </w:r>
          </w:p>
          <w:p w14:paraId="4456DB8D">
            <w:pPr>
              <w:keepNext w:val="0"/>
              <w:keepLines w:val="0"/>
              <w:pageBreakBefore w:val="0"/>
              <w:widowControl w:val="0"/>
              <w:tabs>
                <w:tab w:val="left" w:pos="1684"/>
              </w:tabs>
              <w:kinsoku/>
              <w:wordWrap/>
              <w:overflowPunct/>
              <w:topLinePunct w:val="0"/>
              <w:autoSpaceDE/>
              <w:autoSpaceDN/>
              <w:bidi w:val="0"/>
              <w:adjustRightInd/>
              <w:snapToGrid/>
              <w:ind w:firstLine="482"/>
              <w:textAlignment w:val="auto"/>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3、噪声</w:t>
            </w:r>
          </w:p>
          <w:p w14:paraId="53318245">
            <w:pPr>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（一）施工期</w:t>
            </w:r>
          </w:p>
          <w:p w14:paraId="2D5F66F0">
            <w:pPr>
              <w:ind w:firstLine="480"/>
              <w:rPr>
                <w:rFonts w:hint="default" w:ascii="Times New Roman" w:hAnsi="Times New Roman" w:cs="Times New Roman"/>
                <w:bCs/>
                <w:color w:val="auto"/>
                <w:szCs w:val="24"/>
                <w:highlight w:val="none"/>
              </w:rPr>
            </w:pPr>
            <w:r>
              <w:rPr>
                <w:rFonts w:hint="default" w:ascii="Times New Roman" w:hAnsi="Times New Roman" w:cs="Times New Roman"/>
                <w:bCs/>
                <w:color w:val="auto"/>
                <w:szCs w:val="24"/>
                <w:highlight w:val="none"/>
              </w:rPr>
              <w:t>项目施工期噪声执行</w:t>
            </w:r>
            <w:r>
              <w:rPr>
                <w:rFonts w:hint="default" w:ascii="Times New Roman" w:hAnsi="Times New Roman" w:cs="Times New Roman"/>
                <w:color w:val="auto"/>
                <w:highlight w:val="none"/>
              </w:rPr>
              <w:t>《建筑施工噪声排放标准》（GB12523-2025）</w:t>
            </w:r>
            <w:r>
              <w:rPr>
                <w:rFonts w:hint="default" w:ascii="Times New Roman" w:hAnsi="Times New Roman" w:cs="Times New Roman"/>
                <w:bCs/>
                <w:color w:val="auto"/>
                <w:szCs w:val="24"/>
                <w:highlight w:val="none"/>
              </w:rPr>
              <w:t>，具体指标见表3-1</w:t>
            </w:r>
            <w:r>
              <w:rPr>
                <w:rFonts w:hint="eastAsia" w:cs="Times New Roman"/>
                <w:bCs/>
                <w:color w:val="auto"/>
                <w:szCs w:val="24"/>
                <w:highlight w:val="none"/>
                <w:lang w:val="en-US" w:eastAsia="zh-CN"/>
              </w:rPr>
              <w:t>2</w:t>
            </w:r>
            <w:r>
              <w:rPr>
                <w:rFonts w:hint="default" w:ascii="Times New Roman" w:hAnsi="Times New Roman" w:cs="Times New Roman"/>
                <w:bCs/>
                <w:color w:val="auto"/>
                <w:szCs w:val="24"/>
                <w:highlight w:val="none"/>
              </w:rPr>
              <w:t>。</w:t>
            </w:r>
          </w:p>
          <w:p w14:paraId="3FFCBECF">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表3-1</w:t>
            </w:r>
            <w:r>
              <w:rPr>
                <w:rFonts w:hint="eastAsia" w:ascii="Times New Roman" w:hAnsi="Times New Roman" w:eastAsia="宋体"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rPr>
              <w:t xml:space="preserve">  建筑施工噪声排放标准限值</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4"/>
              <w:gridCol w:w="3655"/>
            </w:tblGrid>
            <w:tr w14:paraId="12FA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exact"/>
                <w:jc w:val="center"/>
              </w:trPr>
              <w:tc>
                <w:tcPr>
                  <w:tcW w:w="5000" w:type="pct"/>
                  <w:gridSpan w:val="2"/>
                  <w:tcMar>
                    <w:left w:w="57" w:type="dxa"/>
                    <w:right w:w="57" w:type="dxa"/>
                  </w:tcMar>
                  <w:vAlign w:val="center"/>
                </w:tcPr>
                <w:p w14:paraId="5E30D8D3">
                  <w:pPr>
                    <w:spacing w:line="240" w:lineRule="auto"/>
                    <w:ind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噪声限值</w:t>
                  </w:r>
                </w:p>
              </w:tc>
            </w:tr>
            <w:tr w14:paraId="103D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exact"/>
                <w:jc w:val="center"/>
              </w:trPr>
              <w:tc>
                <w:tcPr>
                  <w:tcW w:w="2672" w:type="pct"/>
                  <w:tcMar>
                    <w:left w:w="57" w:type="dxa"/>
                    <w:right w:w="57" w:type="dxa"/>
                  </w:tcMar>
                  <w:vAlign w:val="center"/>
                </w:tcPr>
                <w:p w14:paraId="40F1578C">
                  <w:pPr>
                    <w:spacing w:line="240" w:lineRule="auto"/>
                    <w:ind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昼间[dB（A）]</w:t>
                  </w:r>
                </w:p>
              </w:tc>
              <w:tc>
                <w:tcPr>
                  <w:tcW w:w="2327" w:type="pct"/>
                  <w:tcMar>
                    <w:left w:w="57" w:type="dxa"/>
                    <w:right w:w="57" w:type="dxa"/>
                  </w:tcMar>
                  <w:vAlign w:val="center"/>
                </w:tcPr>
                <w:p w14:paraId="05B873C0">
                  <w:pPr>
                    <w:spacing w:line="240" w:lineRule="auto"/>
                    <w:ind w:firstLine="0" w:firstLineChars="0"/>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夜间[dB（A）]</w:t>
                  </w:r>
                </w:p>
              </w:tc>
            </w:tr>
            <w:tr w14:paraId="7EA5F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exact"/>
                <w:jc w:val="center"/>
              </w:trPr>
              <w:tc>
                <w:tcPr>
                  <w:tcW w:w="2672" w:type="pct"/>
                  <w:tcMar>
                    <w:left w:w="57" w:type="dxa"/>
                    <w:right w:w="57" w:type="dxa"/>
                  </w:tcMar>
                  <w:vAlign w:val="center"/>
                </w:tcPr>
                <w:p w14:paraId="1682BD84">
                  <w:pPr>
                    <w:tabs>
                      <w:tab w:val="left" w:pos="360"/>
                      <w:tab w:val="left" w:pos="540"/>
                    </w:tabs>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70</w:t>
                  </w:r>
                </w:p>
              </w:tc>
              <w:tc>
                <w:tcPr>
                  <w:tcW w:w="2327" w:type="pct"/>
                  <w:tcMar>
                    <w:left w:w="57" w:type="dxa"/>
                    <w:right w:w="57" w:type="dxa"/>
                  </w:tcMar>
                  <w:vAlign w:val="center"/>
                </w:tcPr>
                <w:p w14:paraId="30AD2D0C">
                  <w:pPr>
                    <w:tabs>
                      <w:tab w:val="left" w:pos="360"/>
                      <w:tab w:val="left" w:pos="540"/>
                    </w:tabs>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55</w:t>
                  </w:r>
                </w:p>
              </w:tc>
            </w:tr>
          </w:tbl>
          <w:p w14:paraId="3F5EEEAB">
            <w:pPr>
              <w:spacing w:before="156" w:beforeLines="50"/>
              <w:ind w:firstLine="482"/>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（二）运营期</w:t>
            </w:r>
          </w:p>
          <w:p w14:paraId="37F6E911">
            <w:pPr>
              <w:ind w:firstLine="480"/>
              <w:rPr>
                <w:rFonts w:hint="default" w:ascii="Times New Roman" w:hAnsi="Times New Roman" w:cs="Times New Roman"/>
                <w:b/>
                <w:bCs/>
                <w:color w:val="auto"/>
                <w:szCs w:val="24"/>
                <w:highlight w:val="none"/>
              </w:rPr>
            </w:pPr>
            <w:r>
              <w:rPr>
                <w:rFonts w:hint="default" w:ascii="Times New Roman" w:hAnsi="Times New Roman" w:cs="Times New Roman"/>
                <w:color w:val="auto"/>
                <w:szCs w:val="24"/>
                <w:highlight w:val="none"/>
              </w:rPr>
              <w:t>运营期厂界噪声执行《工业企业厂界环境噪声排放标准》（GB12348-2008）中2类标准。</w:t>
            </w:r>
          </w:p>
          <w:p w14:paraId="16580DF1">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表3-1</w:t>
            </w:r>
            <w:r>
              <w:rPr>
                <w:rFonts w:hint="eastAsia" w:ascii="Times New Roman" w:hAnsi="Times New Roman" w:eastAsia="宋体" w:cs="Times New Roman"/>
                <w:b/>
                <w:bCs/>
                <w:color w:val="auto"/>
                <w:sz w:val="21"/>
                <w:szCs w:val="21"/>
                <w:highlight w:val="none"/>
                <w:lang w:val="en-US" w:eastAsia="zh-CN"/>
              </w:rPr>
              <w:t>3</w:t>
            </w:r>
            <w:r>
              <w:rPr>
                <w:rFonts w:hint="default" w:ascii="Times New Roman" w:hAnsi="Times New Roman" w:eastAsia="宋体" w:cs="Times New Roman"/>
                <w:b/>
                <w:bCs/>
                <w:color w:val="auto"/>
                <w:sz w:val="21"/>
                <w:szCs w:val="21"/>
                <w:highlight w:val="none"/>
              </w:rPr>
              <w:t>工业企业厂界环境噪声排放标准   单位：dB（A）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5"/>
              <w:gridCol w:w="3132"/>
              <w:gridCol w:w="2622"/>
            </w:tblGrid>
            <w:tr w14:paraId="536CC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1334" w:type="pct"/>
                  <w:vMerge w:val="restart"/>
                  <w:tcMar>
                    <w:left w:w="57" w:type="dxa"/>
                    <w:right w:w="57" w:type="dxa"/>
                  </w:tcMar>
                  <w:vAlign w:val="center"/>
                </w:tcPr>
                <w:p w14:paraId="4B1B8515">
                  <w:pPr>
                    <w:adjustRightInd w:val="0"/>
                    <w:snapToGrid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类别</w:t>
                  </w:r>
                </w:p>
              </w:tc>
              <w:tc>
                <w:tcPr>
                  <w:tcW w:w="3665" w:type="pct"/>
                  <w:gridSpan w:val="2"/>
                  <w:tcMar>
                    <w:left w:w="57" w:type="dxa"/>
                    <w:right w:w="57" w:type="dxa"/>
                  </w:tcMar>
                  <w:vAlign w:val="center"/>
                </w:tcPr>
                <w:p w14:paraId="79CD48BF">
                  <w:pPr>
                    <w:adjustRightInd w:val="0"/>
                    <w:snapToGrid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等效声级[dB（A）]</w:t>
                  </w:r>
                </w:p>
              </w:tc>
            </w:tr>
            <w:tr w14:paraId="733E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334" w:type="pct"/>
                  <w:vMerge w:val="continue"/>
                  <w:tcMar>
                    <w:left w:w="57" w:type="dxa"/>
                    <w:right w:w="57" w:type="dxa"/>
                  </w:tcMar>
                  <w:vAlign w:val="center"/>
                </w:tcPr>
                <w:p w14:paraId="0FA4B86F">
                  <w:pPr>
                    <w:widowControl/>
                    <w:adjustRightInd w:val="0"/>
                    <w:snapToGrid w:val="0"/>
                    <w:spacing w:line="240" w:lineRule="auto"/>
                    <w:ind w:firstLine="0" w:firstLineChars="0"/>
                    <w:jc w:val="center"/>
                    <w:rPr>
                      <w:rFonts w:hint="default" w:ascii="Times New Roman" w:hAnsi="Times New Roman" w:cs="Times New Roman"/>
                      <w:b/>
                      <w:bCs/>
                      <w:color w:val="auto"/>
                      <w:sz w:val="21"/>
                      <w:szCs w:val="21"/>
                      <w:highlight w:val="none"/>
                    </w:rPr>
                  </w:pPr>
                </w:p>
              </w:tc>
              <w:tc>
                <w:tcPr>
                  <w:tcW w:w="1995" w:type="pct"/>
                  <w:tcMar>
                    <w:left w:w="57" w:type="dxa"/>
                    <w:right w:w="57" w:type="dxa"/>
                  </w:tcMar>
                  <w:vAlign w:val="center"/>
                </w:tcPr>
                <w:p w14:paraId="3D4428EE">
                  <w:pPr>
                    <w:adjustRightInd w:val="0"/>
                    <w:snapToGrid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昼间</w:t>
                  </w:r>
                </w:p>
              </w:tc>
              <w:tc>
                <w:tcPr>
                  <w:tcW w:w="1670" w:type="pct"/>
                  <w:tcMar>
                    <w:left w:w="57" w:type="dxa"/>
                    <w:right w:w="57" w:type="dxa"/>
                  </w:tcMar>
                  <w:vAlign w:val="center"/>
                </w:tcPr>
                <w:p w14:paraId="7AE30B8C">
                  <w:pPr>
                    <w:adjustRightInd w:val="0"/>
                    <w:snapToGrid w:val="0"/>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夜间</w:t>
                  </w:r>
                </w:p>
              </w:tc>
            </w:tr>
            <w:tr w14:paraId="6234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334" w:type="pct"/>
                  <w:tcMar>
                    <w:left w:w="57" w:type="dxa"/>
                    <w:right w:w="57" w:type="dxa"/>
                  </w:tcMar>
                  <w:vAlign w:val="center"/>
                </w:tcPr>
                <w:p w14:paraId="51E0EB6C">
                  <w:pPr>
                    <w:adjustRightInd w:val="0"/>
                    <w:snapToGrid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2类</w:t>
                  </w:r>
                </w:p>
              </w:tc>
              <w:tc>
                <w:tcPr>
                  <w:tcW w:w="1995" w:type="pct"/>
                  <w:tcMar>
                    <w:left w:w="57" w:type="dxa"/>
                    <w:right w:w="57" w:type="dxa"/>
                  </w:tcMar>
                  <w:vAlign w:val="center"/>
                </w:tcPr>
                <w:p w14:paraId="3CB47F27">
                  <w:pPr>
                    <w:adjustRightInd w:val="0"/>
                    <w:snapToGrid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≤60</w:t>
                  </w:r>
                </w:p>
              </w:tc>
              <w:tc>
                <w:tcPr>
                  <w:tcW w:w="1670" w:type="pct"/>
                  <w:tcMar>
                    <w:left w:w="57" w:type="dxa"/>
                    <w:right w:w="57" w:type="dxa"/>
                  </w:tcMar>
                  <w:vAlign w:val="center"/>
                </w:tcPr>
                <w:p w14:paraId="737ECABD">
                  <w:pPr>
                    <w:adjustRightInd w:val="0"/>
                    <w:snapToGrid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w:t>
                  </w:r>
                </w:p>
              </w:tc>
            </w:tr>
          </w:tbl>
          <w:p w14:paraId="1A7B9A80">
            <w:pPr>
              <w:tabs>
                <w:tab w:val="left" w:pos="1684"/>
              </w:tabs>
              <w:spacing w:before="156" w:beforeLines="50"/>
              <w:ind w:firstLine="482"/>
              <w:rPr>
                <w:rFonts w:hint="default" w:ascii="Times New Roman" w:hAnsi="Times New Roman" w:cs="Times New Roman"/>
                <w:b/>
                <w:color w:val="auto"/>
                <w:szCs w:val="24"/>
                <w:highlight w:val="none"/>
              </w:rPr>
            </w:pPr>
            <w:r>
              <w:rPr>
                <w:rFonts w:hint="default" w:ascii="Times New Roman" w:hAnsi="Times New Roman" w:cs="Times New Roman"/>
                <w:b/>
                <w:color w:val="auto"/>
                <w:szCs w:val="24"/>
                <w:highlight w:val="none"/>
              </w:rPr>
              <w:t>4、固体废弃物</w:t>
            </w:r>
          </w:p>
          <w:p w14:paraId="12E2E8BC">
            <w:pPr>
              <w:ind w:firstLine="480"/>
              <w:jc w:val="left"/>
              <w:rPr>
                <w:rFonts w:hint="default" w:ascii="Times New Roman" w:hAnsi="Times New Roman" w:cs="Times New Roman"/>
                <w:color w:val="auto"/>
                <w:szCs w:val="24"/>
                <w:highlight w:val="none"/>
              </w:rPr>
            </w:pPr>
            <w:r>
              <w:rPr>
                <w:rFonts w:hint="eastAsia" w:cs="Times New Roman"/>
                <w:color w:val="auto"/>
                <w:szCs w:val="24"/>
                <w:highlight w:val="none"/>
                <w:lang w:eastAsia="zh-CN"/>
              </w:rPr>
              <w:t>（</w:t>
            </w:r>
            <w:r>
              <w:rPr>
                <w:rFonts w:hint="eastAsia" w:cs="Times New Roman"/>
                <w:color w:val="auto"/>
                <w:szCs w:val="24"/>
                <w:highlight w:val="none"/>
                <w:lang w:val="en-US" w:eastAsia="zh-CN"/>
              </w:rPr>
              <w:t>1</w:t>
            </w:r>
            <w:r>
              <w:rPr>
                <w:rFonts w:hint="eastAsia" w:cs="Times New Roman"/>
                <w:color w:val="auto"/>
                <w:szCs w:val="24"/>
                <w:highlight w:val="none"/>
                <w:lang w:eastAsia="zh-CN"/>
              </w:rPr>
              <w:t>）</w:t>
            </w:r>
            <w:r>
              <w:rPr>
                <w:rFonts w:hint="default" w:ascii="Times New Roman" w:hAnsi="Times New Roman" w:cs="Times New Roman"/>
                <w:color w:val="auto"/>
                <w:szCs w:val="24"/>
                <w:highlight w:val="none"/>
              </w:rPr>
              <w:t>项目产生的一般固废执行《一般工业固体废物贮存和填埋污染控制标准》（GB18599-2020）中的有关规定。</w:t>
            </w:r>
          </w:p>
          <w:p w14:paraId="26072BAC">
            <w:pPr>
              <w:ind w:firstLine="480"/>
              <w:jc w:val="left"/>
              <w:rPr>
                <w:rFonts w:hint="default" w:ascii="Times New Roman" w:hAnsi="Times New Roman" w:cs="Times New Roman"/>
                <w:color w:val="auto"/>
                <w:highlight w:val="none"/>
              </w:rPr>
            </w:pPr>
            <w:r>
              <w:rPr>
                <w:rFonts w:hint="eastAsia" w:cs="Times New Roman"/>
                <w:color w:val="auto"/>
                <w:szCs w:val="24"/>
                <w:highlight w:val="none"/>
                <w:lang w:eastAsia="zh-CN"/>
              </w:rPr>
              <w:t>（</w:t>
            </w:r>
            <w:r>
              <w:rPr>
                <w:rFonts w:hint="eastAsia" w:cs="Times New Roman"/>
                <w:color w:val="auto"/>
                <w:szCs w:val="24"/>
                <w:highlight w:val="none"/>
                <w:lang w:val="en-US" w:eastAsia="zh-CN"/>
              </w:rPr>
              <w:t>2</w:t>
            </w:r>
            <w:r>
              <w:rPr>
                <w:rFonts w:hint="eastAsia" w:cs="Times New Roman"/>
                <w:color w:val="auto"/>
                <w:szCs w:val="24"/>
                <w:highlight w:val="none"/>
                <w:lang w:eastAsia="zh-CN"/>
              </w:rPr>
              <w:t>）</w:t>
            </w:r>
            <w:r>
              <w:rPr>
                <w:rFonts w:hint="default" w:ascii="Times New Roman" w:hAnsi="Times New Roman" w:cs="Times New Roman"/>
                <w:color w:val="auto"/>
                <w:szCs w:val="24"/>
                <w:highlight w:val="none"/>
              </w:rPr>
              <w:t>危险废物执行《危险废物贮存污染控制标准》（GB18597-2023）中相关规定要求。</w:t>
            </w:r>
          </w:p>
        </w:tc>
      </w:tr>
      <w:tr w14:paraId="201B8F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47" w:type="dxa"/>
            <w:vAlign w:val="center"/>
          </w:tcPr>
          <w:p w14:paraId="6AD777A6">
            <w:pPr>
              <w:spacing w:line="240" w:lineRule="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其他</w:t>
            </w:r>
          </w:p>
        </w:tc>
        <w:tc>
          <w:tcPr>
            <w:tcW w:w="8075" w:type="dxa"/>
            <w:vAlign w:val="center"/>
          </w:tcPr>
          <w:p w14:paraId="6715FD16">
            <w:pPr>
              <w:spacing w:before="156" w:beforeLines="50"/>
              <w:ind w:firstLine="0" w:firstLineChars="0"/>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总量控制</w:t>
            </w:r>
          </w:p>
          <w:p w14:paraId="519B107B">
            <w:pPr>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1、大气污染物总量控制指标</w:t>
            </w:r>
          </w:p>
          <w:p w14:paraId="44D41035">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本项目生产运营期产生主要大气污染物为颗粒物，</w:t>
            </w:r>
            <w:r>
              <w:rPr>
                <w:rFonts w:hint="eastAsia" w:cs="Times New Roman"/>
                <w:color w:val="auto"/>
                <w:szCs w:val="24"/>
                <w:highlight w:val="none"/>
                <w:lang w:val="en-US" w:eastAsia="zh-CN"/>
              </w:rPr>
              <w:t>颗粒物排放总量为14.8399</w:t>
            </w:r>
            <w:r>
              <w:rPr>
                <w:rFonts w:hint="default" w:ascii="Times New Roman" w:hAnsi="Times New Roman" w:cs="Times New Roman"/>
                <w:color w:val="auto"/>
                <w:szCs w:val="24"/>
                <w:highlight w:val="none"/>
              </w:rPr>
              <w:t>t/a，</w:t>
            </w:r>
            <w:r>
              <w:rPr>
                <w:rFonts w:hint="eastAsia" w:cs="Times New Roman"/>
                <w:color w:val="auto"/>
                <w:szCs w:val="24"/>
                <w:highlight w:val="none"/>
                <w:lang w:val="en-US" w:eastAsia="zh-CN"/>
              </w:rPr>
              <w:t>其中有组织颗粒物排放1.305</w:t>
            </w:r>
            <w:r>
              <w:rPr>
                <w:rFonts w:hint="default" w:ascii="Times New Roman" w:hAnsi="Times New Roman" w:cs="Times New Roman"/>
                <w:color w:val="auto"/>
                <w:szCs w:val="24"/>
                <w:highlight w:val="none"/>
              </w:rPr>
              <w:t>t/a</w:t>
            </w:r>
            <w:r>
              <w:rPr>
                <w:rFonts w:hint="eastAsia" w:cs="Times New Roman"/>
                <w:color w:val="auto"/>
                <w:szCs w:val="24"/>
                <w:highlight w:val="none"/>
                <w:lang w:eastAsia="zh-CN"/>
              </w:rPr>
              <w:t>，</w:t>
            </w:r>
            <w:r>
              <w:rPr>
                <w:rFonts w:hint="default" w:ascii="Times New Roman" w:hAnsi="Times New Roman" w:cs="Times New Roman"/>
                <w:color w:val="auto"/>
                <w:szCs w:val="24"/>
                <w:highlight w:val="none"/>
              </w:rPr>
              <w:t>无组织排放颗粒物为</w:t>
            </w:r>
            <w:r>
              <w:rPr>
                <w:rFonts w:hint="eastAsia" w:cs="Times New Roman"/>
                <w:color w:val="auto"/>
                <w:szCs w:val="24"/>
                <w:highlight w:val="none"/>
                <w:lang w:val="en-US" w:eastAsia="zh-CN"/>
              </w:rPr>
              <w:t>13.5349</w:t>
            </w:r>
            <w:r>
              <w:rPr>
                <w:rFonts w:hint="default" w:ascii="Times New Roman" w:hAnsi="Times New Roman" w:cs="Times New Roman"/>
                <w:color w:val="auto"/>
                <w:szCs w:val="24"/>
                <w:highlight w:val="none"/>
              </w:rPr>
              <w:t>t/a</w:t>
            </w:r>
            <w:r>
              <w:rPr>
                <w:rFonts w:hint="eastAsia" w:cs="Times New Roman"/>
                <w:color w:val="auto"/>
                <w:szCs w:val="24"/>
                <w:highlight w:val="none"/>
                <w:lang w:eastAsia="zh-CN"/>
              </w:rPr>
              <w:t>。</w:t>
            </w:r>
            <w:r>
              <w:rPr>
                <w:rFonts w:hint="default" w:ascii="Times New Roman" w:hAnsi="Times New Roman" w:cs="Times New Roman"/>
                <w:color w:val="auto"/>
                <w:szCs w:val="24"/>
                <w:highlight w:val="none"/>
              </w:rPr>
              <w:t>颗粒物不属于国家规定的总量控制指标范围内的污染物。因此，本项目不设置大气污染物总量控制指标。</w:t>
            </w:r>
          </w:p>
          <w:p w14:paraId="167E8CB6">
            <w:pPr>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2、水污染物总量控制指标</w:t>
            </w:r>
          </w:p>
          <w:p w14:paraId="0FE8D239">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本项目生产运营过程中无生产废水产生及排放</w:t>
            </w:r>
            <w:r>
              <w:rPr>
                <w:rFonts w:hint="default" w:ascii="Times New Roman" w:hAnsi="Times New Roman" w:cs="Times New Roman"/>
                <w:bCs/>
                <w:color w:val="auto"/>
                <w:szCs w:val="24"/>
                <w:highlight w:val="none"/>
              </w:rPr>
              <w:t>，产生的生活污水经隔油池、</w:t>
            </w:r>
            <w:r>
              <w:rPr>
                <w:rFonts w:hint="eastAsia" w:cs="Times New Roman"/>
                <w:bCs/>
                <w:color w:val="auto"/>
                <w:szCs w:val="24"/>
                <w:highlight w:val="none"/>
                <w:lang w:eastAsia="zh-CN"/>
              </w:rPr>
              <w:t>三格化粪池</w:t>
            </w:r>
            <w:r>
              <w:rPr>
                <w:rFonts w:hint="default" w:ascii="Times New Roman" w:hAnsi="Times New Roman" w:cs="Times New Roman"/>
                <w:bCs/>
                <w:color w:val="auto"/>
                <w:szCs w:val="24"/>
                <w:highlight w:val="none"/>
              </w:rPr>
              <w:t>处理后</w:t>
            </w:r>
            <w:r>
              <w:rPr>
                <w:rFonts w:hint="default" w:ascii="Times New Roman" w:hAnsi="Times New Roman" w:cs="Times New Roman"/>
                <w:bCs/>
                <w:color w:val="auto"/>
                <w:szCs w:val="24"/>
                <w:highlight w:val="none"/>
                <w:lang w:eastAsia="zh-CN"/>
              </w:rPr>
              <w:t>，</w:t>
            </w:r>
            <w:r>
              <w:rPr>
                <w:rFonts w:hint="default" w:ascii="Times New Roman" w:hAnsi="Times New Roman" w:cs="Times New Roman"/>
                <w:bCs/>
                <w:color w:val="auto"/>
                <w:szCs w:val="24"/>
                <w:highlight w:val="none"/>
                <w:lang w:val="en-US" w:eastAsia="zh-CN"/>
              </w:rPr>
              <w:t>定期清掏</w:t>
            </w:r>
            <w:r>
              <w:rPr>
                <w:rFonts w:hint="eastAsia" w:cs="Times New Roman"/>
                <w:bCs/>
                <w:color w:val="auto"/>
                <w:szCs w:val="24"/>
                <w:highlight w:val="none"/>
                <w:lang w:val="en-US" w:eastAsia="zh-CN"/>
              </w:rPr>
              <w:t>用作农肥</w:t>
            </w:r>
            <w:r>
              <w:rPr>
                <w:rFonts w:hint="default" w:ascii="Times New Roman" w:hAnsi="Times New Roman" w:cs="Times New Roman"/>
                <w:bCs/>
                <w:color w:val="auto"/>
                <w:szCs w:val="24"/>
                <w:highlight w:val="none"/>
              </w:rPr>
              <w:t>。</w:t>
            </w:r>
            <w:r>
              <w:rPr>
                <w:rFonts w:hint="eastAsia" w:cs="Times New Roman"/>
                <w:bCs/>
                <w:color w:val="auto"/>
                <w:szCs w:val="24"/>
                <w:highlight w:val="none"/>
                <w:lang w:val="en-US" w:eastAsia="zh-CN"/>
              </w:rPr>
              <w:t>项目雨季</w:t>
            </w:r>
            <w:r>
              <w:rPr>
                <w:rFonts w:hint="default" w:ascii="Times New Roman" w:hAnsi="Times New Roman" w:cs="Times New Roman"/>
                <w:color w:val="auto"/>
                <w:szCs w:val="24"/>
                <w:highlight w:val="none"/>
              </w:rPr>
              <w:t>初期雨水</w:t>
            </w:r>
            <w:r>
              <w:rPr>
                <w:rFonts w:hint="eastAsia" w:cs="Times New Roman"/>
                <w:color w:val="auto"/>
                <w:szCs w:val="24"/>
                <w:highlight w:val="none"/>
                <w:lang w:eastAsia="zh-CN"/>
              </w:rPr>
              <w:t>、</w:t>
            </w:r>
            <w:r>
              <w:rPr>
                <w:rFonts w:hint="eastAsia" w:cs="Times New Roman"/>
                <w:color w:val="auto"/>
                <w:szCs w:val="24"/>
                <w:highlight w:val="none"/>
                <w:lang w:val="en-US" w:eastAsia="zh-CN"/>
              </w:rPr>
              <w:t>淋滤水收集</w:t>
            </w:r>
            <w:r>
              <w:rPr>
                <w:rFonts w:hint="default" w:ascii="Times New Roman" w:hAnsi="Times New Roman" w:cs="Times New Roman"/>
                <w:color w:val="auto"/>
                <w:szCs w:val="24"/>
                <w:highlight w:val="none"/>
              </w:rPr>
              <w:t>沉淀后，晴天回用于矿区洒水降尘，不外排。</w:t>
            </w:r>
          </w:p>
          <w:p w14:paraId="71D59FB5">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因此，本项目不设置水污染物总量控制指标。</w:t>
            </w:r>
          </w:p>
          <w:p w14:paraId="2B5CDC24">
            <w:pPr>
              <w:pStyle w:val="13"/>
              <w:adjustRightInd w:val="0"/>
              <w:spacing w:line="360" w:lineRule="auto"/>
              <w:ind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3、固废</w:t>
            </w:r>
          </w:p>
          <w:p w14:paraId="24760E72">
            <w:pPr>
              <w:adjustRightInd w:val="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本项目扩建后，固废处置率达到100%。</w:t>
            </w:r>
          </w:p>
          <w:p w14:paraId="6014FC2F">
            <w:pPr>
              <w:pStyle w:val="2"/>
              <w:spacing w:after="0"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因此，本项目无需申请总量控制指标。</w:t>
            </w:r>
          </w:p>
        </w:tc>
      </w:tr>
    </w:tbl>
    <w:p w14:paraId="5C6D9D23">
      <w:pPr>
        <w:pStyle w:val="4"/>
        <w:jc w:val="center"/>
        <w:rPr>
          <w:color w:val="auto"/>
          <w:highlight w:val="none"/>
        </w:rPr>
      </w:pPr>
      <w:r>
        <w:rPr>
          <w:color w:val="auto"/>
          <w:highlight w:val="none"/>
        </w:rPr>
        <w:br w:type="page"/>
      </w:r>
      <w:bookmarkStart w:id="27" w:name="_Toc18091"/>
      <w:r>
        <w:rPr>
          <w:color w:val="auto"/>
          <w:highlight w:val="none"/>
        </w:rPr>
        <w:t>四、生态环境影响分析</w:t>
      </w:r>
      <w:bookmarkEnd w:id="27"/>
    </w:p>
    <w:tbl>
      <w:tblPr>
        <w:tblStyle w:val="30"/>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70"/>
        <w:gridCol w:w="8052"/>
      </w:tblGrid>
      <w:tr w14:paraId="3C1296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 w:hRule="atLeast"/>
        </w:trPr>
        <w:tc>
          <w:tcPr>
            <w:tcW w:w="275" w:type="pct"/>
            <w:vAlign w:val="center"/>
          </w:tcPr>
          <w:p w14:paraId="74323555">
            <w:pPr>
              <w:spacing w:line="240" w:lineRule="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施工期生态环境影响分析</w:t>
            </w:r>
          </w:p>
        </w:tc>
        <w:tc>
          <w:tcPr>
            <w:tcW w:w="4724" w:type="pct"/>
          </w:tcPr>
          <w:p w14:paraId="4534F41E">
            <w:pPr>
              <w:spacing w:before="156" w:beforeLines="50"/>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一、施工工艺流程及产排污</w:t>
            </w:r>
          </w:p>
          <w:p w14:paraId="3372C997">
            <w:pPr>
              <w:ind w:firstLine="480"/>
              <w:rPr>
                <w:rFonts w:hint="default" w:ascii="Times New Roman" w:hAnsi="Times New Roman" w:cs="Times New Roman"/>
                <w:color w:val="auto"/>
                <w:highlight w:val="none"/>
                <w:lang w:eastAsia="zh-CN" w:bidi="ar"/>
              </w:rPr>
            </w:pPr>
            <w:r>
              <w:rPr>
                <w:rFonts w:hint="default" w:ascii="Times New Roman" w:hAnsi="Times New Roman" w:cs="Times New Roman"/>
                <w:color w:val="auto"/>
                <w:highlight w:val="none"/>
                <w:lang w:eastAsia="zh-CN" w:bidi="ar"/>
              </w:rPr>
              <w:t>项目施工期工程内容主要为：</w:t>
            </w:r>
            <w:r>
              <w:rPr>
                <w:rFonts w:hint="default" w:ascii="Times New Roman" w:hAnsi="Times New Roman" w:cs="Times New Roman"/>
                <w:color w:val="auto"/>
                <w:highlight w:val="none"/>
                <w:lang w:val="en-US" w:eastAsia="zh-CN" w:bidi="ar"/>
              </w:rPr>
              <w:t>建设</w:t>
            </w:r>
            <w:r>
              <w:rPr>
                <w:rFonts w:hint="default" w:ascii="Times New Roman" w:hAnsi="Times New Roman" w:cs="Times New Roman"/>
                <w:color w:val="auto"/>
                <w:highlight w:val="none"/>
                <w:lang w:eastAsia="zh-CN" w:bidi="ar"/>
              </w:rPr>
              <w:t>工业场地区、截排水沟、办公生活区、</w:t>
            </w:r>
            <w:r>
              <w:rPr>
                <w:rFonts w:hint="default" w:ascii="Times New Roman" w:hAnsi="Times New Roman" w:cs="Times New Roman"/>
                <w:color w:val="auto"/>
                <w:highlight w:val="none"/>
                <w:lang w:val="en-US" w:eastAsia="zh-CN" w:bidi="ar"/>
              </w:rPr>
              <w:t>矿区内部道路</w:t>
            </w:r>
            <w:r>
              <w:rPr>
                <w:rFonts w:hint="default" w:ascii="Times New Roman" w:hAnsi="Times New Roman" w:cs="Times New Roman"/>
                <w:color w:val="auto"/>
                <w:highlight w:val="none"/>
                <w:lang w:eastAsia="zh-CN" w:bidi="ar"/>
              </w:rPr>
              <w:t>等，并进行设备安装。施工流程图见图 4-1。</w:t>
            </w:r>
          </w:p>
          <w:p w14:paraId="6D4FC3BE">
            <w:pPr>
              <w:pStyle w:val="49"/>
              <w:spacing w:before="30" w:line="360" w:lineRule="auto"/>
              <w:ind w:left="604"/>
              <w:rPr>
                <w:rFonts w:hint="default" w:ascii="Times New Roman" w:hAnsi="Times New Roman" w:cs="Times New Roman"/>
                <w:color w:val="auto"/>
                <w:sz w:val="24"/>
                <w:szCs w:val="24"/>
                <w:highlight w:val="none"/>
                <w:lang w:eastAsia="zh-CN"/>
              </w:rPr>
            </w:pPr>
            <w:r>
              <w:rPr>
                <w:rFonts w:hint="default" w:ascii="Times New Roman" w:hAnsi="Times New Roman" w:eastAsia="Times New Roman" w:cs="Times New Roman"/>
                <w:b/>
                <w:bCs/>
                <w:color w:val="auto"/>
                <w:spacing w:val="-9"/>
                <w:sz w:val="24"/>
                <w:szCs w:val="24"/>
                <w:highlight w:val="none"/>
                <w:lang w:eastAsia="zh-CN"/>
              </w:rPr>
              <w:t>1</w:t>
            </w:r>
            <w:r>
              <w:rPr>
                <w:rFonts w:hint="default" w:ascii="Times New Roman" w:hAnsi="Times New Roman" w:cs="Times New Roman"/>
                <w:b/>
                <w:bCs/>
                <w:color w:val="auto"/>
                <w:spacing w:val="-9"/>
                <w:sz w:val="24"/>
                <w:szCs w:val="24"/>
                <w:highlight w:val="none"/>
                <w:lang w:eastAsia="zh-CN"/>
              </w:rPr>
              <w:t>、施工工艺</w:t>
            </w:r>
          </w:p>
          <w:p w14:paraId="576AA4A4">
            <w:pPr>
              <w:ind w:firstLine="480"/>
              <w:rPr>
                <w:rFonts w:hint="default" w:ascii="Times New Roman" w:hAnsi="Times New Roman" w:cs="Times New Roman"/>
                <w:color w:val="auto"/>
                <w:highlight w:val="none"/>
                <w:lang w:eastAsia="zh-CN" w:bidi="ar"/>
              </w:rPr>
            </w:pPr>
            <w:r>
              <w:rPr>
                <w:rFonts w:hint="default" w:ascii="Times New Roman" w:hAnsi="Times New Roman" w:cs="Times New Roman"/>
                <w:color w:val="auto"/>
                <w:highlight w:val="none"/>
                <w:lang w:eastAsia="zh-CN" w:bidi="ar"/>
              </w:rPr>
              <w:t>①施工前准备：临时设施—表土清除—场地平整—施工放线—复核施工图纸；</w:t>
            </w:r>
          </w:p>
          <w:p w14:paraId="6D5457DC">
            <w:pPr>
              <w:ind w:firstLine="480"/>
              <w:rPr>
                <w:rFonts w:hint="default" w:ascii="Times New Roman" w:hAnsi="Times New Roman" w:cs="Times New Roman"/>
                <w:color w:val="auto"/>
                <w:highlight w:val="none"/>
                <w:lang w:eastAsia="zh-CN" w:bidi="ar"/>
              </w:rPr>
            </w:pPr>
            <w:r>
              <w:rPr>
                <w:rFonts w:hint="default" w:ascii="Times New Roman" w:hAnsi="Times New Roman" w:cs="Times New Roman"/>
                <w:color w:val="auto"/>
                <w:highlight w:val="none"/>
                <w:lang w:eastAsia="zh-CN" w:bidi="ar"/>
              </w:rPr>
              <w:t>②挖方工程：挖方—夯实—临时防护—拦挡，截排水沟、房屋建筑工程；</w:t>
            </w:r>
          </w:p>
          <w:p w14:paraId="75CA3E48">
            <w:pPr>
              <w:ind w:firstLine="480"/>
              <w:rPr>
                <w:rFonts w:hint="default" w:ascii="Times New Roman" w:hAnsi="Times New Roman" w:cs="Times New Roman"/>
                <w:color w:val="auto"/>
                <w:highlight w:val="none"/>
                <w:lang w:eastAsia="zh-CN" w:bidi="ar"/>
              </w:rPr>
            </w:pPr>
            <w:r>
              <w:rPr>
                <w:rFonts w:hint="default" w:ascii="Times New Roman" w:hAnsi="Times New Roman" w:cs="Times New Roman"/>
                <w:color w:val="auto"/>
                <w:highlight w:val="none"/>
                <w:lang w:eastAsia="zh-CN" w:bidi="ar"/>
              </w:rPr>
              <w:t>③填方工程：拦挡—填方、碾压—临时防护，截排水沟；</w:t>
            </w:r>
          </w:p>
          <w:p w14:paraId="09396C7C">
            <w:pPr>
              <w:ind w:firstLine="480"/>
              <w:rPr>
                <w:rFonts w:hint="default" w:ascii="Times New Roman" w:hAnsi="Times New Roman" w:cs="Times New Roman"/>
                <w:color w:val="auto"/>
                <w:highlight w:val="none"/>
                <w:lang w:eastAsia="zh-CN" w:bidi="ar"/>
              </w:rPr>
            </w:pPr>
            <w:r>
              <w:rPr>
                <w:rFonts w:hint="default" w:ascii="Times New Roman" w:hAnsi="Times New Roman" w:cs="Times New Roman"/>
                <w:color w:val="auto"/>
                <w:highlight w:val="none"/>
                <w:lang w:eastAsia="zh-CN" w:bidi="ar"/>
              </w:rPr>
              <w:t>④基础设施建设：房屋建筑工程修建；破碎站、堆料区封闭厂房建设及对破碎站采用砼硬化等；</w:t>
            </w:r>
          </w:p>
          <w:p w14:paraId="0C756B42">
            <w:pPr>
              <w:ind w:firstLine="480"/>
              <w:rPr>
                <w:rFonts w:hint="default" w:ascii="Times New Roman" w:hAnsi="Times New Roman" w:cs="Times New Roman"/>
                <w:color w:val="auto"/>
                <w:highlight w:val="none"/>
                <w:lang w:eastAsia="zh-CN" w:bidi="ar"/>
              </w:rPr>
            </w:pPr>
            <w:r>
              <w:rPr>
                <w:rFonts w:hint="default" w:ascii="Times New Roman" w:hAnsi="Times New Roman" w:cs="Times New Roman"/>
                <w:color w:val="auto"/>
                <w:highlight w:val="none"/>
                <w:lang w:eastAsia="zh-CN" w:bidi="ar"/>
              </w:rPr>
              <w:t>⑤道路工程：</w:t>
            </w:r>
            <w:r>
              <w:rPr>
                <w:rFonts w:hint="default" w:ascii="Times New Roman" w:hAnsi="Times New Roman" w:cs="Times New Roman"/>
                <w:color w:val="auto"/>
                <w:highlight w:val="none"/>
                <w:lang w:val="en-US" w:eastAsia="zh-CN" w:bidi="ar"/>
              </w:rPr>
              <w:t>矿山内部道路</w:t>
            </w:r>
            <w:r>
              <w:rPr>
                <w:rFonts w:hint="default" w:ascii="Times New Roman" w:hAnsi="Times New Roman" w:cs="Times New Roman"/>
                <w:color w:val="auto"/>
                <w:highlight w:val="none"/>
                <w:lang w:eastAsia="zh-CN" w:bidi="ar"/>
              </w:rPr>
              <w:t>路基施工；同时进行配套排水沟施工；</w:t>
            </w:r>
          </w:p>
          <w:p w14:paraId="13A0FA0A">
            <w:pPr>
              <w:ind w:firstLine="480"/>
              <w:rPr>
                <w:rFonts w:hint="default" w:ascii="Times New Roman" w:hAnsi="Times New Roman" w:cs="Times New Roman"/>
                <w:color w:val="auto"/>
                <w:highlight w:val="none"/>
                <w:lang w:eastAsia="zh-CN" w:bidi="ar"/>
              </w:rPr>
            </w:pPr>
            <w:r>
              <w:rPr>
                <w:rFonts w:hint="default" w:ascii="Times New Roman" w:hAnsi="Times New Roman" w:cs="Times New Roman"/>
                <w:color w:val="auto"/>
                <w:highlight w:val="none"/>
                <w:lang w:eastAsia="zh-CN" w:bidi="ar"/>
              </w:rPr>
              <w:t>⑥设备安装：进行石料加工系统封闭、破碎系统喷淋设施安装及相应降尘环保设施安装等；</w:t>
            </w:r>
          </w:p>
          <w:p w14:paraId="5C9A4919">
            <w:pPr>
              <w:ind w:firstLine="480"/>
              <w:rPr>
                <w:rFonts w:hint="default" w:ascii="Times New Roman" w:hAnsi="Times New Roman" w:cs="Times New Roman"/>
                <w:color w:val="auto"/>
                <w:highlight w:val="none"/>
                <w:lang w:eastAsia="zh-CN" w:bidi="ar"/>
              </w:rPr>
            </w:pPr>
            <w:r>
              <w:rPr>
                <w:rFonts w:hint="default" w:ascii="Times New Roman" w:hAnsi="Times New Roman" w:cs="Times New Roman"/>
                <w:color w:val="auto"/>
                <w:highlight w:val="none"/>
                <w:lang w:eastAsia="zh-CN" w:bidi="ar"/>
              </w:rPr>
              <w:t>⑦工程结束后，将项目区范围内的临时设施拆除，清理施工迹地；</w:t>
            </w:r>
          </w:p>
          <w:p w14:paraId="61243E18">
            <w:pPr>
              <w:ind w:firstLine="482"/>
              <w:rPr>
                <w:rFonts w:hint="default" w:ascii="Times New Roman" w:hAnsi="Times New Roman" w:cs="Times New Roman"/>
                <w:b/>
                <w:bCs/>
                <w:color w:val="auto"/>
                <w:highlight w:val="none"/>
                <w:lang w:eastAsia="zh-CN" w:bidi="ar"/>
              </w:rPr>
            </w:pPr>
            <w:r>
              <w:rPr>
                <w:rFonts w:hint="default" w:ascii="Times New Roman" w:hAnsi="Times New Roman" w:cs="Times New Roman"/>
                <w:b/>
                <w:bCs/>
                <w:color w:val="auto"/>
                <w:highlight w:val="none"/>
                <w:lang w:eastAsia="zh-CN" w:bidi="ar"/>
              </w:rPr>
              <w:t>2、施工方法</w:t>
            </w:r>
          </w:p>
          <w:p w14:paraId="42D2138F">
            <w:pPr>
              <w:ind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按预定施工顺序，组织开挖及填筑施工，合理安排挖填，挖土施工尽量避开雨日，应做好防雨、排水措施。</w:t>
            </w:r>
          </w:p>
          <w:p w14:paraId="77D7F055">
            <w:pPr>
              <w:ind w:firstLine="482"/>
              <w:rPr>
                <w:rFonts w:hint="default" w:ascii="Times New Roman" w:hAnsi="Times New Roman" w:cs="Times New Roman"/>
                <w:b/>
                <w:bCs/>
                <w:color w:val="auto"/>
                <w:highlight w:val="none"/>
                <w:lang w:eastAsia="zh-CN" w:bidi="ar"/>
              </w:rPr>
            </w:pPr>
            <w:r>
              <w:rPr>
                <w:rFonts w:hint="default" w:ascii="Times New Roman" w:hAnsi="Times New Roman" w:cs="Times New Roman"/>
                <w:b/>
                <w:bCs/>
                <w:color w:val="auto"/>
                <w:highlight w:val="none"/>
                <w:lang w:eastAsia="zh-CN" w:bidi="ar"/>
              </w:rPr>
              <w:t>3、施工工艺流程及产污环节</w:t>
            </w:r>
          </w:p>
          <w:p w14:paraId="4098FA97">
            <w:pPr>
              <w:pStyle w:val="49"/>
              <w:spacing w:before="29" w:line="220" w:lineRule="auto"/>
              <w:jc w:val="center"/>
              <w:rPr>
                <w:rFonts w:hint="default" w:ascii="Times New Roman" w:hAnsi="Times New Roman" w:cs="Times New Roman"/>
                <w:b/>
                <w:bCs/>
                <w:color w:val="auto"/>
                <w:spacing w:val="-4"/>
                <w:highlight w:val="none"/>
              </w:rPr>
            </w:pPr>
            <w:r>
              <w:rPr>
                <w:rFonts w:hint="default" w:ascii="Times New Roman" w:hAnsi="Times New Roman" w:cs="Times New Roman"/>
                <w:color w:val="auto"/>
                <w:spacing w:val="-1"/>
                <w:highlight w:val="none"/>
                <w:lang w:eastAsia="zh-CN"/>
              </w:rPr>
              <w:drawing>
                <wp:inline distT="0" distB="0" distL="114300" distR="114300">
                  <wp:extent cx="4855845" cy="1393825"/>
                  <wp:effectExtent l="0" t="0" r="0" b="0"/>
                  <wp:docPr id="31" name="ECB019B1-382A-4266-B25C-5B523AA43C14-1" descr="C:/Users/Administrator/AppData/Local/Temp/wps.OxHjDm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CB019B1-382A-4266-B25C-5B523AA43C14-1" descr="C:/Users/Administrator/AppData/Local/Temp/wps.OxHjDmwps"/>
                          <pic:cNvPicPr>
                            <a:picLocks noChangeAspect="1"/>
                          </pic:cNvPicPr>
                        </pic:nvPicPr>
                        <pic:blipFill>
                          <a:blip r:embed="rId23"/>
                          <a:stretch>
                            <a:fillRect/>
                          </a:stretch>
                        </pic:blipFill>
                        <pic:spPr>
                          <a:xfrm>
                            <a:off x="0" y="0"/>
                            <a:ext cx="4855845" cy="1393825"/>
                          </a:xfrm>
                          <a:prstGeom prst="rect">
                            <a:avLst/>
                          </a:prstGeom>
                        </pic:spPr>
                      </pic:pic>
                    </a:graphicData>
                  </a:graphic>
                </wp:inline>
              </w:drawing>
            </w:r>
          </w:p>
          <w:p w14:paraId="5FE70DD7">
            <w:pPr>
              <w:pStyle w:val="49"/>
              <w:spacing w:before="71" w:line="240" w:lineRule="auto"/>
              <w:jc w:val="center"/>
              <w:rPr>
                <w:rFonts w:hint="default" w:ascii="Times New Roman" w:hAnsi="Times New Roman" w:cs="Times New Roman"/>
                <w:b/>
                <w:bCs/>
                <w:color w:val="auto"/>
                <w:spacing w:val="-4"/>
                <w:sz w:val="21"/>
                <w:szCs w:val="21"/>
                <w:highlight w:val="none"/>
                <w:lang w:eastAsia="zh-CN"/>
              </w:rPr>
            </w:pPr>
            <w:r>
              <w:rPr>
                <w:rFonts w:hint="default" w:ascii="Times New Roman" w:hAnsi="Times New Roman" w:cs="Times New Roman"/>
                <w:b/>
                <w:bCs/>
                <w:color w:val="auto"/>
                <w:spacing w:val="-4"/>
                <w:sz w:val="21"/>
                <w:szCs w:val="21"/>
                <w:highlight w:val="none"/>
                <w:lang w:eastAsia="zh-CN"/>
              </w:rPr>
              <w:t>图</w:t>
            </w:r>
            <w:r>
              <w:rPr>
                <w:rFonts w:hint="default" w:ascii="Times New Roman" w:hAnsi="Times New Roman" w:cs="Times New Roman"/>
                <w:color w:val="auto"/>
                <w:spacing w:val="-40"/>
                <w:sz w:val="21"/>
                <w:szCs w:val="21"/>
                <w:highlight w:val="none"/>
                <w:lang w:eastAsia="zh-CN"/>
              </w:rPr>
              <w:t xml:space="preserve"> </w:t>
            </w:r>
            <w:r>
              <w:rPr>
                <w:rFonts w:hint="default" w:ascii="Times New Roman" w:hAnsi="Times New Roman" w:eastAsia="Times New Roman" w:cs="Times New Roman"/>
                <w:b/>
                <w:bCs/>
                <w:color w:val="auto"/>
                <w:spacing w:val="-4"/>
                <w:sz w:val="21"/>
                <w:szCs w:val="21"/>
                <w:highlight w:val="none"/>
                <w:lang w:eastAsia="zh-CN"/>
              </w:rPr>
              <w:t xml:space="preserve">4-1  </w:t>
            </w:r>
            <w:r>
              <w:rPr>
                <w:rFonts w:hint="default" w:ascii="Times New Roman" w:hAnsi="Times New Roman" w:cs="Times New Roman"/>
                <w:b/>
                <w:bCs/>
                <w:color w:val="auto"/>
                <w:spacing w:val="-4"/>
                <w:sz w:val="21"/>
                <w:szCs w:val="21"/>
                <w:highlight w:val="none"/>
                <w:lang w:eastAsia="zh-CN"/>
              </w:rPr>
              <w:t>施工期工艺流程及产</w:t>
            </w:r>
            <w:r>
              <w:rPr>
                <w:rFonts w:hint="default" w:ascii="Times New Roman" w:hAnsi="Times New Roman" w:cs="Times New Roman"/>
                <w:b/>
                <w:bCs/>
                <w:color w:val="auto"/>
                <w:spacing w:val="-4"/>
                <w:sz w:val="21"/>
                <w:szCs w:val="21"/>
                <w:highlight w:val="none"/>
                <w:lang w:val="en-US" w:eastAsia="zh-CN"/>
              </w:rPr>
              <w:t>污</w:t>
            </w:r>
            <w:r>
              <w:rPr>
                <w:rFonts w:hint="default" w:ascii="Times New Roman" w:hAnsi="Times New Roman" w:cs="Times New Roman"/>
                <w:b/>
                <w:bCs/>
                <w:color w:val="auto"/>
                <w:spacing w:val="-4"/>
                <w:sz w:val="21"/>
                <w:szCs w:val="21"/>
                <w:highlight w:val="none"/>
                <w:lang w:eastAsia="zh-CN"/>
              </w:rPr>
              <w:t>节点图</w:t>
            </w:r>
          </w:p>
          <w:p w14:paraId="45526131">
            <w:pPr>
              <w:adjustRightInd w:val="0"/>
              <w:ind w:firstLine="480"/>
              <w:rPr>
                <w:rFonts w:hint="default" w:ascii="Times New Roman" w:hAnsi="Times New Roman" w:cs="Times New Roman"/>
                <w:color w:val="auto"/>
                <w:highlight w:val="none"/>
              </w:rPr>
            </w:pPr>
            <w:r>
              <w:rPr>
                <w:rFonts w:hint="default" w:ascii="Times New Roman" w:hAnsi="Times New Roman" w:cs="Times New Roman"/>
                <w:color w:val="auto"/>
                <w:kern w:val="0"/>
                <w:szCs w:val="21"/>
                <w:highlight w:val="none"/>
              </w:rPr>
              <w:t>项目属于土砂石开采类项目，项目不涉及国家公园、自然保护区、风景名胜区、世界文化和自然遗产地、海洋特别保护区、饮用水水源保护区、基本草原、重要水生生物的自然产卵场、索饵场、越冬场和洄游通道，沙化土地封禁保护区等环境敏感区，项目施工期对生态环境的影响主要是基建时对地表植被的破坏以及施工造成的水土流失等。</w:t>
            </w:r>
          </w:p>
          <w:p w14:paraId="4CFAED3F">
            <w:pPr>
              <w:ind w:firstLine="482"/>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二、施工期环境影响分析</w:t>
            </w:r>
          </w:p>
          <w:p w14:paraId="32515B58">
            <w:pPr>
              <w:ind w:firstLine="480"/>
              <w:rPr>
                <w:rFonts w:hint="default" w:ascii="Times New Roman" w:hAnsi="Times New Roman" w:cs="Times New Roman"/>
                <w:b/>
                <w:bCs/>
                <w:color w:val="auto"/>
                <w:kern w:val="0"/>
                <w:szCs w:val="21"/>
                <w:highlight w:val="none"/>
              </w:rPr>
            </w:pPr>
            <w:r>
              <w:rPr>
                <w:rFonts w:hint="default" w:ascii="Times New Roman" w:hAnsi="Times New Roman" w:cs="Times New Roman"/>
                <w:color w:val="auto"/>
                <w:highlight w:val="none"/>
                <w:lang w:eastAsia="zh-CN"/>
              </w:rPr>
              <w:t>本项目施工期间产生的主要污染物为施工机械噪声、施工扬尘、建筑垃圾及少量施工废水。</w:t>
            </w:r>
          </w:p>
          <w:p w14:paraId="516C667F">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（一）施工期废气环境影响分析</w:t>
            </w:r>
          </w:p>
          <w:p w14:paraId="46A50375">
            <w:pPr>
              <w:adjustRightInd w:val="0"/>
              <w:ind w:firstLine="482"/>
              <w:rPr>
                <w:rFonts w:hint="default" w:ascii="Times New Roman" w:hAnsi="Times New Roman" w:cs="Times New Roman"/>
                <w:color w:val="auto"/>
                <w:kern w:val="0"/>
                <w:szCs w:val="21"/>
                <w:highlight w:val="none"/>
              </w:rPr>
            </w:pPr>
            <w:r>
              <w:rPr>
                <w:rFonts w:hint="default" w:ascii="Times New Roman" w:hAnsi="Times New Roman" w:cs="Times New Roman"/>
                <w:b/>
                <w:bCs/>
                <w:color w:val="auto"/>
                <w:kern w:val="0"/>
                <w:szCs w:val="21"/>
                <w:highlight w:val="none"/>
              </w:rPr>
              <w:t>1、施工期废气产生情况</w:t>
            </w:r>
          </w:p>
          <w:p w14:paraId="438279DE">
            <w:pPr>
              <w:adjustRightInd w:val="0"/>
              <w:ind w:firstLine="480"/>
              <w:rPr>
                <w:rFonts w:hint="default" w:ascii="Times New Roman" w:hAnsi="Times New Roman" w:cs="Times New Roman"/>
                <w:snapToGrid w:val="0"/>
                <w:color w:val="auto"/>
                <w:kern w:val="0"/>
                <w:szCs w:val="21"/>
                <w:highlight w:val="none"/>
              </w:rPr>
            </w:pPr>
            <w:r>
              <w:rPr>
                <w:rFonts w:hint="default" w:ascii="Times New Roman" w:hAnsi="Times New Roman" w:cs="Times New Roman"/>
                <w:snapToGrid w:val="0"/>
                <w:color w:val="auto"/>
                <w:kern w:val="0"/>
                <w:szCs w:val="21"/>
                <w:highlight w:val="none"/>
              </w:rPr>
              <w:t>项目施工期废气主要是施工扬尘、车辆及机械尾气等。</w:t>
            </w:r>
          </w:p>
          <w:p w14:paraId="7F8A15BB">
            <w:pPr>
              <w:adjustRightInd w:val="0"/>
              <w:ind w:firstLine="482"/>
              <w:rPr>
                <w:rFonts w:hint="default" w:ascii="Times New Roman" w:hAnsi="Times New Roman" w:cs="Times New Roman"/>
                <w:b/>
                <w:bCs/>
                <w:snapToGrid w:val="0"/>
                <w:color w:val="auto"/>
                <w:kern w:val="0"/>
                <w:szCs w:val="21"/>
                <w:highlight w:val="none"/>
              </w:rPr>
            </w:pPr>
            <w:r>
              <w:rPr>
                <w:rFonts w:hint="default" w:ascii="Times New Roman" w:hAnsi="Times New Roman" w:cs="Times New Roman"/>
                <w:b/>
                <w:bCs/>
                <w:snapToGrid w:val="0"/>
                <w:color w:val="auto"/>
                <w:kern w:val="0"/>
                <w:szCs w:val="21"/>
                <w:highlight w:val="none"/>
                <w:lang w:eastAsia="zh-CN"/>
              </w:rPr>
              <w:t>（</w:t>
            </w:r>
            <w:r>
              <w:rPr>
                <w:rFonts w:hint="default" w:ascii="Times New Roman" w:hAnsi="Times New Roman" w:cs="Times New Roman"/>
                <w:b/>
                <w:bCs/>
                <w:snapToGrid w:val="0"/>
                <w:color w:val="auto"/>
                <w:kern w:val="0"/>
                <w:szCs w:val="21"/>
                <w:highlight w:val="none"/>
                <w:lang w:val="en-US" w:eastAsia="zh-CN"/>
              </w:rPr>
              <w:t>1</w:t>
            </w:r>
            <w:r>
              <w:rPr>
                <w:rFonts w:hint="default" w:ascii="Times New Roman" w:hAnsi="Times New Roman" w:cs="Times New Roman"/>
                <w:b/>
                <w:bCs/>
                <w:snapToGrid w:val="0"/>
                <w:color w:val="auto"/>
                <w:kern w:val="0"/>
                <w:szCs w:val="21"/>
                <w:highlight w:val="none"/>
                <w:lang w:eastAsia="zh-CN"/>
              </w:rPr>
              <w:t>）</w:t>
            </w:r>
            <w:r>
              <w:rPr>
                <w:rFonts w:hint="default" w:ascii="Times New Roman" w:hAnsi="Times New Roman" w:cs="Times New Roman"/>
                <w:b/>
                <w:bCs/>
                <w:snapToGrid w:val="0"/>
                <w:color w:val="auto"/>
                <w:kern w:val="0"/>
                <w:szCs w:val="21"/>
                <w:highlight w:val="none"/>
              </w:rPr>
              <w:t>施工扬尘</w:t>
            </w:r>
          </w:p>
          <w:p w14:paraId="6F70B033">
            <w:pPr>
              <w:adjustRightInd w:val="0"/>
              <w:ind w:firstLine="480"/>
              <w:rPr>
                <w:rFonts w:hint="default" w:ascii="Times New Roman" w:hAnsi="Times New Roman" w:cs="Times New Roman"/>
                <w:snapToGrid w:val="0"/>
                <w:color w:val="auto"/>
                <w:kern w:val="0"/>
                <w:szCs w:val="21"/>
                <w:highlight w:val="none"/>
              </w:rPr>
            </w:pPr>
            <w:r>
              <w:rPr>
                <w:rFonts w:hint="default" w:ascii="Times New Roman" w:hAnsi="Times New Roman" w:cs="Times New Roman"/>
                <w:snapToGrid w:val="0"/>
                <w:color w:val="auto"/>
                <w:kern w:val="0"/>
                <w:szCs w:val="21"/>
                <w:highlight w:val="none"/>
              </w:rPr>
              <w:t>施工扬尘主要来源于地面开挖、原材料运输、堆放等作业过程中，主要污染物为TSP，不含有毒有害的特殊污染物质，对施工环境有一定的污染。粉尘呈无组织排放，其产生强度与施工方式、气象条件有关，一般风大时产生扬尘较多。</w:t>
            </w:r>
          </w:p>
          <w:p w14:paraId="51248BBD">
            <w:pPr>
              <w:adjustRightInd w:val="0"/>
              <w:ind w:firstLine="480"/>
              <w:rPr>
                <w:rFonts w:hint="default" w:ascii="Times New Roman" w:hAnsi="Times New Roman" w:cs="Times New Roman"/>
                <w:snapToGrid w:val="0"/>
                <w:color w:val="auto"/>
                <w:kern w:val="0"/>
                <w:szCs w:val="21"/>
                <w:highlight w:val="none"/>
              </w:rPr>
            </w:pPr>
            <w:r>
              <w:rPr>
                <w:rFonts w:hint="default" w:ascii="Times New Roman" w:hAnsi="Times New Roman" w:cs="Times New Roman"/>
                <w:snapToGrid w:val="0"/>
                <w:color w:val="auto"/>
                <w:kern w:val="0"/>
                <w:szCs w:val="21"/>
                <w:highlight w:val="none"/>
              </w:rPr>
              <w:t>施工作业中产生的扬尘对环境空气造成的影响大小取决于产生量和气候条件，影响面主要集中在施工场地100m范围内。另外，进出施工场地的运输车辆也会造成施工作业场所近地面粉尘浓度升高，运输车辆引起的扬尘对路边30m范围内影响较大，而且形成线性污染，路边的TSP浓度可达10mg/m</w:t>
            </w:r>
            <w:r>
              <w:rPr>
                <w:rFonts w:hint="default" w:ascii="Times New Roman" w:hAnsi="Times New Roman" w:cs="Times New Roman"/>
                <w:snapToGrid w:val="0"/>
                <w:color w:val="auto"/>
                <w:kern w:val="0"/>
                <w:szCs w:val="21"/>
                <w:highlight w:val="none"/>
                <w:vertAlign w:val="superscript"/>
              </w:rPr>
              <w:t>3</w:t>
            </w:r>
            <w:r>
              <w:rPr>
                <w:rFonts w:hint="default" w:ascii="Times New Roman" w:hAnsi="Times New Roman" w:cs="Times New Roman"/>
                <w:snapToGrid w:val="0"/>
                <w:color w:val="auto"/>
                <w:kern w:val="0"/>
                <w:szCs w:val="21"/>
                <w:highlight w:val="none"/>
              </w:rPr>
              <w:t>以上，一般浓度范围在1.5～30mg/m</w:t>
            </w:r>
            <w:r>
              <w:rPr>
                <w:rFonts w:hint="default" w:ascii="Times New Roman" w:hAnsi="Times New Roman" w:cs="Times New Roman"/>
                <w:snapToGrid w:val="0"/>
                <w:color w:val="auto"/>
                <w:kern w:val="0"/>
                <w:szCs w:val="21"/>
                <w:highlight w:val="none"/>
                <w:vertAlign w:val="superscript"/>
              </w:rPr>
              <w:t>3</w:t>
            </w:r>
            <w:r>
              <w:rPr>
                <w:rFonts w:hint="default" w:ascii="Times New Roman" w:hAnsi="Times New Roman" w:cs="Times New Roman"/>
                <w:snapToGrid w:val="0"/>
                <w:color w:val="auto"/>
                <w:kern w:val="0"/>
                <w:szCs w:val="21"/>
                <w:highlight w:val="none"/>
              </w:rPr>
              <w:t>。另一方面，建筑材料运输过程中车辆掉撒、扬尘将对道路沿线居民造成一定的影响。</w:t>
            </w:r>
          </w:p>
          <w:p w14:paraId="4191C198">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本项目建设场地开阔，大气扩散条件较好，在一定程度上可减轻扬尘对大气环境造成的影响。为进一步减轻施工扬尘对周围大气环境的影响，本环评提出如下防治措施：</w:t>
            </w:r>
          </w:p>
          <w:p w14:paraId="6FFF45DD">
            <w:pPr>
              <w:spacing w:line="360" w:lineRule="auto"/>
              <w:ind w:firstLine="480" w:firstLineChars="200"/>
              <w:rPr>
                <w:rFonts w:hint="default" w:ascii="Times New Roman" w:hAnsi="Times New Roman" w:cs="Times New Roman"/>
                <w:color w:val="auto"/>
                <w:sz w:val="24"/>
                <w:szCs w:val="24"/>
                <w:highlight w:val="none"/>
                <w:lang w:val="zh-CN"/>
              </w:rPr>
            </w:pPr>
            <w:r>
              <w:rPr>
                <w:rFonts w:hint="default" w:ascii="Times New Roman" w:hAnsi="Times New Roman" w:cs="Times New Roman"/>
                <w:color w:val="auto"/>
                <w:sz w:val="24"/>
                <w:szCs w:val="24"/>
                <w:highlight w:val="none"/>
                <w:lang w:eastAsia="zh-CN"/>
              </w:rPr>
              <w:fldChar w:fldCharType="begin"/>
            </w:r>
            <w:r>
              <w:rPr>
                <w:rFonts w:hint="default" w:ascii="Times New Roman" w:hAnsi="Times New Roman" w:cs="Times New Roman"/>
                <w:color w:val="auto"/>
                <w:sz w:val="24"/>
                <w:szCs w:val="24"/>
                <w:highlight w:val="none"/>
                <w:lang w:eastAsia="zh-CN"/>
              </w:rPr>
              <w:instrText xml:space="preserve"> = 1 \* GB3 \* MERGEFORMAT </w:instrText>
            </w:r>
            <w:r>
              <w:rPr>
                <w:rFonts w:hint="default" w:ascii="Times New Roman" w:hAnsi="Times New Roman" w:cs="Times New Roman"/>
                <w:color w:val="auto"/>
                <w:sz w:val="24"/>
                <w:szCs w:val="24"/>
                <w:highlight w:val="none"/>
                <w:lang w:eastAsia="zh-CN"/>
              </w:rPr>
              <w:fldChar w:fldCharType="separate"/>
            </w:r>
            <w:r>
              <w:rPr>
                <w:rFonts w:hint="default" w:ascii="Times New Roman" w:hAnsi="Times New Roman" w:cs="Times New Roman"/>
                <w:color w:val="auto"/>
                <w:sz w:val="24"/>
                <w:szCs w:val="24"/>
                <w:highlight w:val="none"/>
              </w:rPr>
              <w:t>①</w:t>
            </w:r>
            <w:r>
              <w:rPr>
                <w:rFonts w:hint="default" w:ascii="Times New Roman" w:hAnsi="Times New Roman" w:cs="Times New Roman"/>
                <w:color w:val="auto"/>
                <w:sz w:val="24"/>
                <w:szCs w:val="24"/>
                <w:highlight w:val="none"/>
                <w:lang w:eastAsia="zh-CN"/>
              </w:rPr>
              <w:fldChar w:fldCharType="end"/>
            </w:r>
            <w:r>
              <w:rPr>
                <w:rFonts w:hint="default" w:ascii="Times New Roman" w:hAnsi="Times New Roman" w:cs="Times New Roman"/>
                <w:color w:val="auto"/>
                <w:sz w:val="24"/>
                <w:szCs w:val="24"/>
                <w:highlight w:val="none"/>
              </w:rPr>
              <w:t>对工地内可能散发粉尘的堆料进行覆盖或洒水，</w:t>
            </w:r>
            <w:r>
              <w:rPr>
                <w:rFonts w:hint="default" w:ascii="Times New Roman" w:hAnsi="Times New Roman" w:cs="Times New Roman"/>
                <w:color w:val="auto"/>
                <w:sz w:val="24"/>
                <w:szCs w:val="24"/>
                <w:highlight w:val="none"/>
                <w:lang w:val="zh-CN"/>
              </w:rPr>
              <w:t>在旱季大风日加大洒水量及洒水频次。尽量按量购进建筑材料，避免原材料在场内长时间堆放，减少扬尘产生量；</w:t>
            </w:r>
          </w:p>
          <w:p w14:paraId="185CAED5">
            <w:pPr>
              <w:spacing w:line="360" w:lineRule="auto"/>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fldChar w:fldCharType="begin"/>
            </w:r>
            <w:r>
              <w:rPr>
                <w:rFonts w:hint="default" w:ascii="Times New Roman" w:hAnsi="Times New Roman" w:cs="Times New Roman"/>
                <w:color w:val="auto"/>
                <w:sz w:val="24"/>
                <w:szCs w:val="24"/>
                <w:highlight w:val="none"/>
                <w:lang w:eastAsia="zh-CN"/>
              </w:rPr>
              <w:instrText xml:space="preserve"> = 2 \* GB3 \* MERGEFORMAT </w:instrText>
            </w:r>
            <w:r>
              <w:rPr>
                <w:rFonts w:hint="default" w:ascii="Times New Roman" w:hAnsi="Times New Roman" w:cs="Times New Roman"/>
                <w:color w:val="auto"/>
                <w:sz w:val="24"/>
                <w:szCs w:val="24"/>
                <w:highlight w:val="none"/>
                <w:lang w:eastAsia="zh-CN"/>
              </w:rPr>
              <w:fldChar w:fldCharType="separate"/>
            </w:r>
            <w:r>
              <w:rPr>
                <w:rFonts w:hint="default" w:ascii="Times New Roman" w:hAnsi="Times New Roman" w:cs="Times New Roman"/>
                <w:color w:val="auto"/>
                <w:sz w:val="24"/>
                <w:szCs w:val="24"/>
                <w:highlight w:val="none"/>
              </w:rPr>
              <w:t>②</w:t>
            </w:r>
            <w:r>
              <w:rPr>
                <w:rFonts w:hint="default" w:ascii="Times New Roman" w:hAnsi="Times New Roman" w:cs="Times New Roman"/>
                <w:color w:val="auto"/>
                <w:sz w:val="24"/>
                <w:szCs w:val="24"/>
                <w:highlight w:val="none"/>
                <w:lang w:eastAsia="zh-CN"/>
              </w:rPr>
              <w:fldChar w:fldCharType="end"/>
            </w:r>
            <w:r>
              <w:rPr>
                <w:rFonts w:hint="default" w:ascii="Times New Roman" w:hAnsi="Times New Roman" w:cs="Times New Roman"/>
                <w:color w:val="auto"/>
                <w:sz w:val="24"/>
                <w:szCs w:val="24"/>
                <w:highlight w:val="none"/>
              </w:rPr>
              <w:t>施工过程中使用水泥、石灰、砂石等易产生扬尘的建筑材料，应采用防尘布苫覆盖或采取其他有效的防尘措施进行处理</w:t>
            </w:r>
            <w:r>
              <w:rPr>
                <w:rFonts w:hint="default" w:ascii="Times New Roman" w:hAnsi="Times New Roman" w:cs="Times New Roman"/>
                <w:color w:val="auto"/>
                <w:sz w:val="24"/>
                <w:szCs w:val="24"/>
                <w:highlight w:val="none"/>
                <w:lang w:eastAsia="zh-CN"/>
              </w:rPr>
              <w:t>；</w:t>
            </w:r>
          </w:p>
          <w:p w14:paraId="42EB7566">
            <w:pPr>
              <w:spacing w:line="360" w:lineRule="auto"/>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fldChar w:fldCharType="begin"/>
            </w:r>
            <w:r>
              <w:rPr>
                <w:rFonts w:hint="default" w:ascii="Times New Roman" w:hAnsi="Times New Roman" w:cs="Times New Roman"/>
                <w:color w:val="auto"/>
                <w:sz w:val="24"/>
                <w:szCs w:val="24"/>
                <w:highlight w:val="none"/>
                <w:lang w:eastAsia="zh-CN"/>
              </w:rPr>
              <w:instrText xml:space="preserve"> = 3 \* GB3 \* MERGEFORMAT </w:instrText>
            </w:r>
            <w:r>
              <w:rPr>
                <w:rFonts w:hint="default" w:ascii="Times New Roman" w:hAnsi="Times New Roman" w:cs="Times New Roman"/>
                <w:color w:val="auto"/>
                <w:sz w:val="24"/>
                <w:szCs w:val="24"/>
                <w:highlight w:val="none"/>
                <w:lang w:eastAsia="zh-CN"/>
              </w:rPr>
              <w:fldChar w:fldCharType="separate"/>
            </w:r>
            <w:r>
              <w:rPr>
                <w:rFonts w:hint="default" w:ascii="Times New Roman" w:hAnsi="Times New Roman" w:cs="Times New Roman"/>
                <w:color w:val="auto"/>
                <w:sz w:val="24"/>
                <w:szCs w:val="24"/>
                <w:highlight w:val="none"/>
              </w:rPr>
              <w:t>③</w:t>
            </w:r>
            <w:r>
              <w:rPr>
                <w:rFonts w:hint="default" w:ascii="Times New Roman" w:hAnsi="Times New Roman" w:cs="Times New Roman"/>
                <w:color w:val="auto"/>
                <w:sz w:val="24"/>
                <w:szCs w:val="24"/>
                <w:highlight w:val="none"/>
                <w:lang w:eastAsia="zh-CN"/>
              </w:rPr>
              <w:fldChar w:fldCharType="end"/>
            </w:r>
            <w:r>
              <w:rPr>
                <w:rFonts w:hint="default" w:ascii="Times New Roman" w:hAnsi="Times New Roman" w:cs="Times New Roman"/>
                <w:color w:val="auto"/>
                <w:sz w:val="24"/>
                <w:szCs w:val="24"/>
                <w:highlight w:val="none"/>
              </w:rPr>
              <w:t>施工场地内运输通道应及时清扫和平整，以尽量减少运输车辆行驶产生的扬尘，所有临时道路均需清洁、湿润，并加强管理，使运输车辆尽可能减缓行驶速度</w:t>
            </w:r>
            <w:r>
              <w:rPr>
                <w:rFonts w:hint="default" w:ascii="Times New Roman" w:hAnsi="Times New Roman" w:cs="Times New Roman"/>
                <w:color w:val="auto"/>
                <w:sz w:val="24"/>
                <w:szCs w:val="24"/>
                <w:highlight w:val="none"/>
                <w:lang w:eastAsia="zh-CN"/>
              </w:rPr>
              <w:t>；</w:t>
            </w:r>
          </w:p>
          <w:p w14:paraId="109424FA">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fldChar w:fldCharType="begin"/>
            </w:r>
            <w:r>
              <w:rPr>
                <w:rFonts w:hint="default" w:ascii="Times New Roman" w:hAnsi="Times New Roman" w:cs="Times New Roman"/>
                <w:color w:val="auto"/>
                <w:sz w:val="24"/>
                <w:szCs w:val="24"/>
                <w:highlight w:val="none"/>
                <w:lang w:eastAsia="zh-CN"/>
              </w:rPr>
              <w:instrText xml:space="preserve"> = 4 \* GB3 \* MERGEFORMAT </w:instrText>
            </w:r>
            <w:r>
              <w:rPr>
                <w:rFonts w:hint="default" w:ascii="Times New Roman" w:hAnsi="Times New Roman" w:cs="Times New Roman"/>
                <w:color w:val="auto"/>
                <w:sz w:val="24"/>
                <w:szCs w:val="24"/>
                <w:highlight w:val="none"/>
                <w:lang w:eastAsia="zh-CN"/>
              </w:rPr>
              <w:fldChar w:fldCharType="separate"/>
            </w:r>
            <w:r>
              <w:rPr>
                <w:rFonts w:hint="default" w:ascii="Times New Roman" w:hAnsi="Times New Roman" w:cs="Times New Roman"/>
                <w:color w:val="auto"/>
                <w:sz w:val="24"/>
                <w:szCs w:val="24"/>
                <w:highlight w:val="none"/>
              </w:rPr>
              <w:t>④</w:t>
            </w:r>
            <w:r>
              <w:rPr>
                <w:rFonts w:hint="default" w:ascii="Times New Roman" w:hAnsi="Times New Roman" w:cs="Times New Roman"/>
                <w:color w:val="auto"/>
                <w:sz w:val="24"/>
                <w:szCs w:val="24"/>
                <w:highlight w:val="none"/>
                <w:lang w:eastAsia="zh-CN"/>
              </w:rPr>
              <w:fldChar w:fldCharType="end"/>
            </w:r>
            <w:r>
              <w:rPr>
                <w:rFonts w:hint="default" w:ascii="Times New Roman" w:hAnsi="Times New Roman" w:cs="Times New Roman"/>
                <w:color w:val="auto"/>
                <w:sz w:val="24"/>
                <w:szCs w:val="24"/>
                <w:highlight w:val="none"/>
              </w:rPr>
              <w:t>开挖出的土石方应及时回填厂区低洼处，并进行压实处理。</w:t>
            </w:r>
          </w:p>
          <w:p w14:paraId="30CAF8D6">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该项目在采取上述措施后，可以有效降低施工期扬尘的影响，施工扬尘随着施工期结束而消失，从而对评价区域环境空气质量及项目周围保护目标影响不大。</w:t>
            </w:r>
          </w:p>
          <w:p w14:paraId="0211AB34">
            <w:pPr>
              <w:adjustRightInd w:val="0"/>
              <w:ind w:firstLine="482"/>
              <w:rPr>
                <w:rFonts w:hint="default" w:ascii="Times New Roman" w:hAnsi="Times New Roman" w:cs="Times New Roman"/>
                <w:b/>
                <w:bCs/>
                <w:snapToGrid w:val="0"/>
                <w:color w:val="auto"/>
                <w:kern w:val="0"/>
                <w:szCs w:val="21"/>
                <w:highlight w:val="none"/>
              </w:rPr>
            </w:pPr>
            <w:r>
              <w:rPr>
                <w:rFonts w:hint="default" w:ascii="Times New Roman" w:hAnsi="Times New Roman" w:cs="Times New Roman"/>
                <w:b/>
                <w:bCs/>
                <w:snapToGrid w:val="0"/>
                <w:color w:val="auto"/>
                <w:kern w:val="0"/>
                <w:szCs w:val="21"/>
                <w:highlight w:val="none"/>
                <w:lang w:eastAsia="zh-CN"/>
              </w:rPr>
              <w:t>（</w:t>
            </w:r>
            <w:r>
              <w:rPr>
                <w:rFonts w:hint="default" w:ascii="Times New Roman" w:hAnsi="Times New Roman" w:cs="Times New Roman"/>
                <w:b/>
                <w:bCs/>
                <w:snapToGrid w:val="0"/>
                <w:color w:val="auto"/>
                <w:kern w:val="0"/>
                <w:szCs w:val="21"/>
                <w:highlight w:val="none"/>
                <w:lang w:val="en-US" w:eastAsia="zh-CN"/>
              </w:rPr>
              <w:t>2</w:t>
            </w:r>
            <w:r>
              <w:rPr>
                <w:rFonts w:hint="default" w:ascii="Times New Roman" w:hAnsi="Times New Roman" w:cs="Times New Roman"/>
                <w:b/>
                <w:bCs/>
                <w:snapToGrid w:val="0"/>
                <w:color w:val="auto"/>
                <w:kern w:val="0"/>
                <w:szCs w:val="21"/>
                <w:highlight w:val="none"/>
                <w:lang w:eastAsia="zh-CN"/>
              </w:rPr>
              <w:t>）</w:t>
            </w:r>
            <w:r>
              <w:rPr>
                <w:rFonts w:hint="default" w:ascii="Times New Roman" w:hAnsi="Times New Roman" w:cs="Times New Roman"/>
                <w:b/>
                <w:bCs/>
                <w:snapToGrid w:val="0"/>
                <w:color w:val="auto"/>
                <w:kern w:val="0"/>
                <w:szCs w:val="21"/>
                <w:highlight w:val="none"/>
              </w:rPr>
              <w:t>车辆及机械尾气</w:t>
            </w:r>
          </w:p>
          <w:p w14:paraId="7AE19FB0">
            <w:pPr>
              <w:adjustRightInd w:val="0"/>
              <w:ind w:firstLine="480"/>
              <w:rPr>
                <w:rFonts w:hint="default" w:ascii="Times New Roman" w:hAnsi="Times New Roman" w:cs="Times New Roman"/>
                <w:snapToGrid w:val="0"/>
                <w:color w:val="auto"/>
                <w:kern w:val="0"/>
                <w:szCs w:val="21"/>
                <w:highlight w:val="none"/>
              </w:rPr>
            </w:pPr>
            <w:r>
              <w:rPr>
                <w:rFonts w:hint="default" w:ascii="Times New Roman" w:hAnsi="Times New Roman" w:cs="Times New Roman"/>
                <w:snapToGrid w:val="0"/>
                <w:color w:val="auto"/>
                <w:kern w:val="0"/>
                <w:szCs w:val="21"/>
                <w:highlight w:val="none"/>
              </w:rPr>
              <w:t>运输车辆、施工机械运行产生的废气污染物主要是CO、CH及NO</w:t>
            </w:r>
            <w:r>
              <w:rPr>
                <w:rFonts w:hint="default" w:ascii="Times New Roman" w:hAnsi="Times New Roman" w:cs="Times New Roman"/>
                <w:snapToGrid w:val="0"/>
                <w:color w:val="auto"/>
                <w:kern w:val="0"/>
                <w:szCs w:val="21"/>
                <w:highlight w:val="none"/>
                <w:vertAlign w:val="subscript"/>
              </w:rPr>
              <w:t>x</w:t>
            </w:r>
            <w:r>
              <w:rPr>
                <w:rFonts w:hint="default" w:ascii="Times New Roman" w:hAnsi="Times New Roman" w:cs="Times New Roman"/>
                <w:snapToGrid w:val="0"/>
                <w:color w:val="auto"/>
                <w:kern w:val="0"/>
                <w:szCs w:val="21"/>
                <w:highlight w:val="none"/>
              </w:rPr>
              <w:t>等，产生量少，且为无组织间断排放，会对周围环境造成一定影响，但影响不大，在可接受范围内。</w:t>
            </w:r>
          </w:p>
          <w:p w14:paraId="3CB80CD0">
            <w:pPr>
              <w:adjustRightInd w:val="0"/>
              <w:ind w:firstLine="482"/>
              <w:rPr>
                <w:rFonts w:hint="default" w:ascii="Times New Roman" w:hAnsi="Times New Roman" w:cs="Times New Roman"/>
                <w:b/>
                <w:bCs/>
                <w:snapToGrid w:val="0"/>
                <w:color w:val="auto"/>
                <w:kern w:val="0"/>
                <w:szCs w:val="21"/>
                <w:highlight w:val="none"/>
              </w:rPr>
            </w:pPr>
            <w:r>
              <w:rPr>
                <w:rFonts w:hint="default" w:ascii="Times New Roman" w:hAnsi="Times New Roman" w:cs="Times New Roman"/>
                <w:b/>
                <w:bCs/>
                <w:snapToGrid w:val="0"/>
                <w:color w:val="auto"/>
                <w:kern w:val="0"/>
                <w:szCs w:val="21"/>
                <w:highlight w:val="none"/>
              </w:rPr>
              <w:t>2、施工期废气环境影响分析</w:t>
            </w:r>
          </w:p>
          <w:p w14:paraId="7BD06B4A">
            <w:pPr>
              <w:adjustRightInd w:val="0"/>
              <w:ind w:firstLine="480"/>
              <w:rPr>
                <w:rFonts w:hint="default" w:ascii="Times New Roman" w:hAnsi="Times New Roman" w:cs="Times New Roman"/>
                <w:b/>
                <w:bCs/>
                <w:snapToGrid w:val="0"/>
                <w:color w:val="auto"/>
                <w:kern w:val="0"/>
                <w:szCs w:val="21"/>
                <w:highlight w:val="none"/>
              </w:rPr>
            </w:pPr>
            <w:r>
              <w:rPr>
                <w:rFonts w:hint="default" w:ascii="Times New Roman" w:hAnsi="Times New Roman" w:cs="Times New Roman"/>
                <w:bCs/>
                <w:snapToGrid w:val="0"/>
                <w:color w:val="auto"/>
                <w:kern w:val="0"/>
                <w:szCs w:val="21"/>
                <w:highlight w:val="none"/>
              </w:rPr>
              <w:t>项目施工期废气主要是施工扬尘、车辆及机械尾气等，</w:t>
            </w:r>
            <w:r>
              <w:rPr>
                <w:rFonts w:hint="default" w:ascii="Times New Roman" w:hAnsi="Times New Roman" w:cs="Times New Roman"/>
                <w:color w:val="auto"/>
                <w:highlight w:val="none"/>
                <w:lang w:eastAsia="zh-CN"/>
              </w:rPr>
              <w:t>距离本项目最近的居民点为</w:t>
            </w:r>
            <w:r>
              <w:rPr>
                <w:rFonts w:hint="default" w:ascii="Times New Roman" w:hAnsi="Times New Roman" w:cs="Times New Roman"/>
                <w:color w:val="auto"/>
                <w:highlight w:val="none"/>
                <w:lang w:val="en-US" w:eastAsia="zh-CN"/>
              </w:rPr>
              <w:t>项目</w:t>
            </w:r>
            <w:r>
              <w:rPr>
                <w:rFonts w:hint="default" w:ascii="Times New Roman" w:hAnsi="Times New Roman" w:cs="Times New Roman"/>
                <w:color w:val="auto"/>
                <w:highlight w:val="none"/>
                <w:lang w:eastAsia="zh-CN"/>
              </w:rPr>
              <w:t>北侧直距约</w:t>
            </w:r>
            <w:r>
              <w:rPr>
                <w:rFonts w:hint="default" w:ascii="Times New Roman" w:hAnsi="Times New Roman" w:cs="Times New Roman"/>
                <w:color w:val="auto"/>
                <w:highlight w:val="none"/>
                <w:lang w:val="en-US" w:eastAsia="zh-CN"/>
              </w:rPr>
              <w:t>546m</w:t>
            </w:r>
            <w:r>
              <w:rPr>
                <w:rFonts w:hint="default" w:ascii="Times New Roman" w:hAnsi="Times New Roman" w:cs="Times New Roman"/>
                <w:color w:val="auto"/>
                <w:highlight w:val="none"/>
                <w:lang w:eastAsia="zh-CN"/>
              </w:rPr>
              <w:t>的</w:t>
            </w:r>
            <w:r>
              <w:rPr>
                <w:rFonts w:hint="default" w:ascii="Times New Roman" w:hAnsi="Times New Roman" w:cs="Times New Roman"/>
                <w:color w:val="auto"/>
                <w:highlight w:val="none"/>
                <w:lang w:val="en-US" w:eastAsia="zh-CN"/>
              </w:rPr>
              <w:t>稗子田村</w:t>
            </w:r>
            <w:r>
              <w:rPr>
                <w:rFonts w:hint="default" w:ascii="Times New Roman" w:hAnsi="Times New Roman" w:cs="Times New Roman"/>
                <w:color w:val="auto"/>
                <w:highlight w:val="none"/>
                <w:lang w:eastAsia="zh-CN"/>
              </w:rPr>
              <w:t>，项目施工扬尘对其影响较小。</w:t>
            </w:r>
            <w:r>
              <w:rPr>
                <w:rFonts w:hint="default" w:ascii="Times New Roman" w:hAnsi="Times New Roman" w:cs="Times New Roman"/>
                <w:bCs/>
                <w:snapToGrid w:val="0"/>
                <w:color w:val="auto"/>
                <w:kern w:val="0"/>
                <w:szCs w:val="21"/>
                <w:highlight w:val="none"/>
              </w:rPr>
              <w:t>项目施工期较短，在采取洒水降尘、控制施工物料运输车辆车速等措施后，项目施工期场界扬尘可满足《大气污染物综合排放标准》（GB16297-1996）表2中无组织排放监控浓度限值要求，项目施工期废气对周围环境影响不大，是可以接受的。</w:t>
            </w:r>
          </w:p>
          <w:p w14:paraId="05B0ED06">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（二）施工期废水环境影响分析</w:t>
            </w:r>
          </w:p>
          <w:p w14:paraId="6F81AB76">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1、施工期废水产生情况</w:t>
            </w:r>
          </w:p>
          <w:p w14:paraId="5C9BB51E">
            <w:pPr>
              <w:adjustRightInd w:val="0"/>
              <w:ind w:firstLine="48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项目施工期废水主要为施工人员生活污水、施工废水及地表径流。</w:t>
            </w:r>
          </w:p>
          <w:p w14:paraId="5C80256D">
            <w:pPr>
              <w:adjustRightInd w:val="0"/>
              <w:ind w:firstLine="482"/>
              <w:rPr>
                <w:rFonts w:hint="default" w:ascii="Times New Roman" w:hAnsi="Times New Roman" w:cs="Times New Roman"/>
                <w:color w:val="auto"/>
                <w:kern w:val="0"/>
                <w:szCs w:val="21"/>
                <w:highlight w:val="none"/>
              </w:rPr>
            </w:pPr>
            <w:r>
              <w:rPr>
                <w:rFonts w:hint="default" w:ascii="Times New Roman" w:hAnsi="Times New Roman" w:cs="Times New Roman"/>
                <w:b/>
                <w:bCs/>
                <w:color w:val="auto"/>
                <w:kern w:val="0"/>
                <w:szCs w:val="21"/>
                <w:highlight w:val="none"/>
                <w:lang w:eastAsia="zh-CN"/>
              </w:rPr>
              <w:t>（</w:t>
            </w:r>
            <w:r>
              <w:rPr>
                <w:rFonts w:hint="default" w:ascii="Times New Roman" w:hAnsi="Times New Roman" w:cs="Times New Roman"/>
                <w:b/>
                <w:bCs/>
                <w:color w:val="auto"/>
                <w:kern w:val="0"/>
                <w:szCs w:val="21"/>
                <w:highlight w:val="none"/>
                <w:lang w:val="en-US" w:eastAsia="zh-CN"/>
              </w:rPr>
              <w:t>1</w:t>
            </w:r>
            <w:r>
              <w:rPr>
                <w:rFonts w:hint="default" w:ascii="Times New Roman" w:hAnsi="Times New Roman" w:cs="Times New Roman"/>
                <w:b/>
                <w:bCs/>
                <w:color w:val="auto"/>
                <w:kern w:val="0"/>
                <w:szCs w:val="21"/>
                <w:highlight w:val="none"/>
                <w:lang w:eastAsia="zh-CN"/>
              </w:rPr>
              <w:t>）</w:t>
            </w:r>
            <w:r>
              <w:rPr>
                <w:rFonts w:hint="default" w:ascii="Times New Roman" w:hAnsi="Times New Roman" w:cs="Times New Roman"/>
                <w:b/>
                <w:bCs/>
                <w:color w:val="auto"/>
                <w:kern w:val="0"/>
                <w:szCs w:val="21"/>
                <w:highlight w:val="none"/>
              </w:rPr>
              <w:t>施工人员生活污水</w:t>
            </w:r>
          </w:p>
          <w:p w14:paraId="3B28A528">
            <w:pPr>
              <w:adjustRightInd w:val="0"/>
              <w:ind w:firstLine="480"/>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color w:val="auto"/>
                <w:kern w:val="0"/>
                <w:szCs w:val="21"/>
                <w:highlight w:val="none"/>
              </w:rPr>
              <w:t>项目施工场地内不设置施工营地，施工期不设食宿，施工人员用水主要是</w:t>
            </w:r>
            <w:r>
              <w:rPr>
                <w:rFonts w:hint="default" w:ascii="Times New Roman" w:hAnsi="Times New Roman" w:cs="Times New Roman"/>
                <w:color w:val="auto"/>
                <w:highlight w:val="none"/>
                <w:lang w:eastAsia="zh-CN"/>
              </w:rPr>
              <w:t>施工人员清洁废水</w:t>
            </w:r>
            <w:r>
              <w:rPr>
                <w:rFonts w:hint="default" w:ascii="Times New Roman" w:hAnsi="Times New Roman" w:cs="Times New Roman"/>
                <w:color w:val="auto"/>
                <w:kern w:val="0"/>
                <w:szCs w:val="21"/>
                <w:highlight w:val="none"/>
                <w:lang w:eastAsia="zh-CN"/>
              </w:rPr>
              <w:t>。</w:t>
            </w:r>
            <w:r>
              <w:rPr>
                <w:rFonts w:hint="default" w:ascii="Times New Roman" w:hAnsi="Times New Roman" w:cs="Times New Roman"/>
                <w:color w:val="auto"/>
                <w:kern w:val="0"/>
                <w:szCs w:val="21"/>
                <w:highlight w:val="none"/>
              </w:rPr>
              <w:t>本项目最大施工人员为</w:t>
            </w:r>
            <w:r>
              <w:rPr>
                <w:rFonts w:hint="default" w:ascii="Times New Roman" w:hAnsi="Times New Roman" w:cs="Times New Roman"/>
                <w:color w:val="auto"/>
                <w:kern w:val="0"/>
                <w:szCs w:val="21"/>
                <w:highlight w:val="none"/>
                <w:lang w:val="en-US" w:eastAsia="zh-CN"/>
              </w:rPr>
              <w:t>20</w:t>
            </w:r>
            <w:r>
              <w:rPr>
                <w:rFonts w:hint="default" w:ascii="Times New Roman" w:hAnsi="Times New Roman" w:cs="Times New Roman"/>
                <w:color w:val="auto"/>
                <w:kern w:val="0"/>
                <w:szCs w:val="21"/>
                <w:highlight w:val="none"/>
              </w:rPr>
              <w:t>人，用水量按</w:t>
            </w:r>
            <w:r>
              <w:rPr>
                <w:rFonts w:hint="default" w:ascii="Times New Roman" w:hAnsi="Times New Roman" w:cs="Times New Roman"/>
                <w:color w:val="auto"/>
                <w:kern w:val="0"/>
                <w:szCs w:val="21"/>
                <w:highlight w:val="none"/>
                <w:lang w:val="en-US" w:eastAsia="zh-CN"/>
              </w:rPr>
              <w:t>30</w:t>
            </w:r>
            <w:r>
              <w:rPr>
                <w:rFonts w:hint="default" w:ascii="Times New Roman" w:hAnsi="Times New Roman" w:cs="Times New Roman"/>
                <w:color w:val="auto"/>
                <w:kern w:val="0"/>
                <w:szCs w:val="21"/>
                <w:highlight w:val="none"/>
              </w:rPr>
              <w:t>L/人·d计，施工人员生活用水量为0.</w:t>
            </w:r>
            <w:r>
              <w:rPr>
                <w:rFonts w:hint="default" w:ascii="Times New Roman" w:hAnsi="Times New Roman" w:cs="Times New Roman"/>
                <w:color w:val="auto"/>
                <w:kern w:val="0"/>
                <w:szCs w:val="21"/>
                <w:highlight w:val="none"/>
                <w:lang w:val="en-US" w:eastAsia="zh-CN"/>
              </w:rPr>
              <w:t>6</w:t>
            </w: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/d，</w:t>
            </w:r>
            <w:r>
              <w:rPr>
                <w:rFonts w:hint="default" w:ascii="Times New Roman" w:hAnsi="Times New Roman" w:cs="Times New Roman"/>
                <w:color w:val="auto"/>
                <w:highlight w:val="none"/>
                <w:lang w:val="en-US" w:eastAsia="zh-CN"/>
              </w:rPr>
              <w:t>施工期总生活用水量为54</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vertAlign w:val="baseline"/>
                <w:lang w:eastAsia="zh-CN"/>
              </w:rPr>
              <w:t>，</w:t>
            </w:r>
            <w:r>
              <w:rPr>
                <w:rFonts w:hint="default" w:ascii="Times New Roman" w:hAnsi="Times New Roman" w:cs="Times New Roman"/>
                <w:color w:val="auto"/>
                <w:kern w:val="0"/>
                <w:szCs w:val="21"/>
                <w:highlight w:val="none"/>
              </w:rPr>
              <w:t>废水产生量按80%计，施工人员生活污水为0.</w:t>
            </w:r>
            <w:r>
              <w:rPr>
                <w:rFonts w:hint="default" w:ascii="Times New Roman" w:hAnsi="Times New Roman" w:cs="Times New Roman"/>
                <w:color w:val="auto"/>
                <w:kern w:val="0"/>
                <w:szCs w:val="21"/>
                <w:highlight w:val="none"/>
                <w:lang w:val="en-US" w:eastAsia="zh-CN"/>
              </w:rPr>
              <w:t>48</w:t>
            </w:r>
            <w:r>
              <w:rPr>
                <w:rFonts w:hint="default" w:ascii="Times New Roman" w:hAnsi="Times New Roman" w:cs="Times New Roman"/>
                <w:color w:val="auto"/>
                <w:kern w:val="0"/>
                <w:szCs w:val="21"/>
                <w:highlight w:val="none"/>
              </w:rPr>
              <w:t>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/d。项目在施工场地内设置1个1m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的临时</w:t>
            </w:r>
            <w:r>
              <w:rPr>
                <w:rFonts w:hint="default" w:ascii="Times New Roman" w:hAnsi="Times New Roman" w:cs="Times New Roman"/>
                <w:color w:val="auto"/>
                <w:kern w:val="0"/>
                <w:szCs w:val="21"/>
                <w:highlight w:val="none"/>
                <w:lang w:eastAsia="zh-CN"/>
              </w:rPr>
              <w:t>沉砂池</w:t>
            </w:r>
            <w:r>
              <w:rPr>
                <w:rFonts w:hint="default" w:ascii="Times New Roman" w:hAnsi="Times New Roman" w:cs="Times New Roman"/>
                <w:color w:val="auto"/>
                <w:kern w:val="0"/>
                <w:szCs w:val="21"/>
                <w:highlight w:val="none"/>
              </w:rPr>
              <w:t>，施工人员产生的生活污水经临时</w:t>
            </w:r>
            <w:r>
              <w:rPr>
                <w:rFonts w:hint="default" w:ascii="Times New Roman" w:hAnsi="Times New Roman" w:cs="Times New Roman"/>
                <w:color w:val="auto"/>
                <w:kern w:val="0"/>
                <w:szCs w:val="21"/>
                <w:highlight w:val="none"/>
                <w:lang w:eastAsia="zh-CN"/>
              </w:rPr>
              <w:t>沉砂池</w:t>
            </w:r>
            <w:r>
              <w:rPr>
                <w:rFonts w:hint="default" w:ascii="Times New Roman" w:hAnsi="Times New Roman" w:cs="Times New Roman"/>
                <w:color w:val="auto"/>
                <w:kern w:val="0"/>
                <w:szCs w:val="21"/>
                <w:highlight w:val="none"/>
              </w:rPr>
              <w:t>处理后回用于施工场地洒水降尘</w:t>
            </w:r>
            <w:r>
              <w:rPr>
                <w:rFonts w:hint="default" w:ascii="Times New Roman" w:hAnsi="Times New Roman" w:cs="Times New Roman"/>
                <w:color w:val="auto"/>
                <w:kern w:val="0"/>
                <w:szCs w:val="21"/>
                <w:highlight w:val="none"/>
                <w:lang w:eastAsia="zh-CN"/>
              </w:rPr>
              <w:t>，</w:t>
            </w:r>
            <w:r>
              <w:rPr>
                <w:rFonts w:hint="default" w:ascii="Times New Roman" w:hAnsi="Times New Roman" w:cs="Times New Roman"/>
                <w:color w:val="auto"/>
                <w:kern w:val="0"/>
                <w:szCs w:val="21"/>
                <w:highlight w:val="none"/>
                <w:lang w:val="en-US" w:eastAsia="zh-CN"/>
              </w:rPr>
              <w:t>不外排。</w:t>
            </w:r>
          </w:p>
          <w:p w14:paraId="2154D237">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lang w:eastAsia="zh-CN"/>
              </w:rPr>
              <w:t>（</w:t>
            </w:r>
            <w:r>
              <w:rPr>
                <w:rFonts w:hint="default" w:ascii="Times New Roman" w:hAnsi="Times New Roman" w:cs="Times New Roman"/>
                <w:b/>
                <w:bCs/>
                <w:color w:val="auto"/>
                <w:kern w:val="0"/>
                <w:szCs w:val="21"/>
                <w:highlight w:val="none"/>
                <w:lang w:val="en-US" w:eastAsia="zh-CN"/>
              </w:rPr>
              <w:t>2</w:t>
            </w:r>
            <w:r>
              <w:rPr>
                <w:rFonts w:hint="default" w:ascii="Times New Roman" w:hAnsi="Times New Roman" w:cs="Times New Roman"/>
                <w:b/>
                <w:bCs/>
                <w:color w:val="auto"/>
                <w:kern w:val="0"/>
                <w:szCs w:val="21"/>
                <w:highlight w:val="none"/>
                <w:lang w:eastAsia="zh-CN"/>
              </w:rPr>
              <w:t>）</w:t>
            </w:r>
            <w:r>
              <w:rPr>
                <w:rFonts w:hint="default" w:ascii="Times New Roman" w:hAnsi="Times New Roman" w:cs="Times New Roman"/>
                <w:b/>
                <w:bCs/>
                <w:color w:val="auto"/>
                <w:kern w:val="0"/>
                <w:szCs w:val="21"/>
                <w:highlight w:val="none"/>
              </w:rPr>
              <w:t>施工废水</w:t>
            </w:r>
          </w:p>
          <w:p w14:paraId="68E6CC85">
            <w:pPr>
              <w:adjustRightInd w:val="0"/>
              <w:ind w:firstLine="48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施工废水主要由施工场地内的混凝土养护废水和工具清洗废水等，类比同类项目并根据本项目的实际情况，施工后期施工废水产生量约为0.5m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/d，与施工人员生活污水一起经1m</w:t>
            </w:r>
            <w:r>
              <w:rPr>
                <w:rFonts w:hint="default" w:ascii="Times New Roman" w:hAnsi="Times New Roman" w:cs="Times New Roman"/>
                <w:color w:val="auto"/>
                <w:kern w:val="0"/>
                <w:szCs w:val="21"/>
                <w:highlight w:val="none"/>
                <w:vertAlign w:val="superscript"/>
              </w:rPr>
              <w:t>3</w:t>
            </w:r>
            <w:r>
              <w:rPr>
                <w:rFonts w:hint="default" w:ascii="Times New Roman" w:hAnsi="Times New Roman" w:cs="Times New Roman"/>
                <w:color w:val="auto"/>
                <w:kern w:val="0"/>
                <w:szCs w:val="21"/>
                <w:highlight w:val="none"/>
              </w:rPr>
              <w:t>的临时</w:t>
            </w:r>
            <w:r>
              <w:rPr>
                <w:rFonts w:hint="default" w:ascii="Times New Roman" w:hAnsi="Times New Roman" w:cs="Times New Roman"/>
                <w:color w:val="auto"/>
                <w:kern w:val="0"/>
                <w:szCs w:val="21"/>
                <w:highlight w:val="none"/>
                <w:lang w:eastAsia="zh-CN"/>
              </w:rPr>
              <w:t>沉砂池</w:t>
            </w:r>
            <w:r>
              <w:rPr>
                <w:rFonts w:hint="default" w:ascii="Times New Roman" w:hAnsi="Times New Roman" w:cs="Times New Roman"/>
                <w:color w:val="auto"/>
                <w:kern w:val="0"/>
                <w:szCs w:val="21"/>
                <w:highlight w:val="none"/>
              </w:rPr>
              <w:t>简单处理后用作施工场地洒水降尘。</w:t>
            </w:r>
          </w:p>
          <w:p w14:paraId="2A63883D">
            <w:pPr>
              <w:ind w:firstLine="480"/>
              <w:rPr>
                <w:rFonts w:hint="default" w:ascii="Times New Roman" w:hAnsi="Times New Roman" w:cs="Times New Roman"/>
                <w:color w:val="auto"/>
                <w:highlight w:val="none"/>
                <w:lang w:eastAsia="zh-CN"/>
              </w:rPr>
            </w:pPr>
            <w:r>
              <w:rPr>
                <w:rFonts w:hint="default" w:ascii="Times New Roman" w:hAnsi="Times New Roman" w:cs="Times New Roman"/>
                <w:b/>
                <w:bCs/>
                <w:color w:val="auto"/>
                <w:highlight w:val="none"/>
                <w:lang w:eastAsia="zh-CN"/>
              </w:rPr>
              <w:t>（3）雨季地表径流</w:t>
            </w:r>
          </w:p>
          <w:p w14:paraId="75342712">
            <w:pPr>
              <w:ind w:firstLine="480"/>
              <w:rPr>
                <w:rFonts w:hint="default" w:ascii="Times New Roman" w:hAnsi="Times New Roman" w:cs="Times New Roman"/>
                <w:b/>
                <w:bCs/>
                <w:color w:val="auto"/>
                <w:kern w:val="0"/>
                <w:szCs w:val="21"/>
                <w:highlight w:val="none"/>
              </w:rPr>
            </w:pPr>
            <w:r>
              <w:rPr>
                <w:rFonts w:hint="default" w:ascii="Times New Roman" w:hAnsi="Times New Roman" w:cs="Times New Roman"/>
                <w:color w:val="auto"/>
                <w:highlight w:val="none"/>
                <w:lang w:eastAsia="zh-CN"/>
              </w:rPr>
              <w:t>施工期项目施工对地表破挖后，会使得地表裸露，下雨天在雨水冲刷下，会产生地表径流，雨季地表径流量与降雨量、裸露的地表面积、径流系数等有关。地表径流中夹带有大量的泥沙，携带的泥沙进入周边地表水环境中，会造成地表水环境的污染。针对雨季地表径流，需要进行截留和沉淀处理。</w:t>
            </w:r>
          </w:p>
          <w:p w14:paraId="07679A91">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2、施工期废水环境影响</w:t>
            </w:r>
          </w:p>
          <w:p w14:paraId="0C1C3BC7">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项目施工场地内不设置施工营地，</w:t>
            </w:r>
            <w:r>
              <w:rPr>
                <w:rFonts w:hint="default" w:ascii="Times New Roman" w:hAnsi="Times New Roman" w:cs="Times New Roman"/>
                <w:color w:val="auto"/>
                <w:highlight w:val="none"/>
                <w:lang w:eastAsia="zh-CN"/>
              </w:rPr>
              <w:t>施工期废水主要是施工废水、雨季地表径流、施工人员的清洁废水。</w:t>
            </w:r>
            <w:r>
              <w:rPr>
                <w:rFonts w:hint="default" w:ascii="Times New Roman" w:hAnsi="Times New Roman" w:cs="Times New Roman"/>
                <w:color w:val="auto"/>
                <w:kern w:val="0"/>
                <w:szCs w:val="21"/>
                <w:highlight w:val="none"/>
              </w:rPr>
              <w:t>施工</w:t>
            </w:r>
            <w:r>
              <w:rPr>
                <w:rFonts w:hint="default" w:ascii="Times New Roman" w:hAnsi="Times New Roman" w:cs="Times New Roman"/>
                <w:color w:val="auto"/>
                <w:kern w:val="0"/>
                <w:szCs w:val="21"/>
                <w:highlight w:val="none"/>
                <w:lang w:val="en-US" w:eastAsia="zh-CN"/>
              </w:rPr>
              <w:t>期</w:t>
            </w:r>
            <w:r>
              <w:rPr>
                <w:rFonts w:hint="default" w:ascii="Times New Roman" w:hAnsi="Times New Roman" w:cs="Times New Roman"/>
                <w:color w:val="auto"/>
                <w:kern w:val="0"/>
                <w:szCs w:val="21"/>
                <w:highlight w:val="none"/>
              </w:rPr>
              <w:t>废水</w:t>
            </w:r>
            <w:r>
              <w:rPr>
                <w:rFonts w:hint="default" w:ascii="Times New Roman" w:hAnsi="Times New Roman" w:cs="Times New Roman"/>
                <w:bCs/>
                <w:color w:val="auto"/>
                <w:kern w:val="0"/>
                <w:szCs w:val="21"/>
                <w:highlight w:val="none"/>
              </w:rPr>
              <w:t>中污染物主要是SS及少量的COD、BOD</w:t>
            </w:r>
            <w:r>
              <w:rPr>
                <w:rFonts w:hint="default" w:ascii="Times New Roman" w:hAnsi="Times New Roman" w:cs="Times New Roman"/>
                <w:bCs/>
                <w:color w:val="auto"/>
                <w:kern w:val="0"/>
                <w:szCs w:val="21"/>
                <w:highlight w:val="none"/>
                <w:vertAlign w:val="subscript"/>
              </w:rPr>
              <w:t>5</w:t>
            </w:r>
            <w:r>
              <w:rPr>
                <w:rFonts w:hint="default" w:ascii="Times New Roman" w:hAnsi="Times New Roman" w:cs="Times New Roman"/>
                <w:bCs/>
                <w:color w:val="auto"/>
                <w:kern w:val="0"/>
                <w:szCs w:val="21"/>
                <w:highlight w:val="none"/>
              </w:rPr>
              <w:t>等污染物，在经过临时</w:t>
            </w:r>
            <w:r>
              <w:rPr>
                <w:rFonts w:hint="default" w:ascii="Times New Roman" w:hAnsi="Times New Roman" w:cs="Times New Roman"/>
                <w:bCs/>
                <w:color w:val="auto"/>
                <w:kern w:val="0"/>
                <w:szCs w:val="21"/>
                <w:highlight w:val="none"/>
                <w:lang w:eastAsia="zh-CN"/>
              </w:rPr>
              <w:t>沉砂池</w:t>
            </w:r>
            <w:r>
              <w:rPr>
                <w:rFonts w:hint="default" w:ascii="Times New Roman" w:hAnsi="Times New Roman" w:cs="Times New Roman"/>
                <w:bCs/>
                <w:color w:val="auto"/>
                <w:kern w:val="0"/>
                <w:szCs w:val="21"/>
                <w:highlight w:val="none"/>
              </w:rPr>
              <w:t>沉淀处理后回用于施工区洒水降尘，不外排，对周围地表水环境影响不大，是可以接受的。</w:t>
            </w:r>
          </w:p>
          <w:p w14:paraId="451533CC">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（三）施工期声环影响分析</w:t>
            </w:r>
          </w:p>
          <w:p w14:paraId="5970FCEA">
            <w:pPr>
              <w:adjustRightInd w:val="0"/>
              <w:ind w:firstLine="482"/>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1、施工期源强</w:t>
            </w:r>
          </w:p>
          <w:p w14:paraId="625B5F96">
            <w:pPr>
              <w:autoSpaceDE w:val="0"/>
              <w:autoSpaceDN w:val="0"/>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项目在施工期间所产生的噪声主要来源于施工机械和运输车辆。其中在基础施工中有挖掘机、推土机、装载机等产生的噪声，结构施工阶段</w:t>
            </w:r>
            <w:r>
              <w:rPr>
                <w:rFonts w:hint="default" w:ascii="Times New Roman" w:hAnsi="Times New Roman" w:cs="Times New Roman"/>
                <w:color w:val="auto"/>
                <w:sz w:val="24"/>
                <w:highlight w:val="none"/>
                <w:lang w:val="en-US" w:eastAsia="zh-CN"/>
              </w:rPr>
              <w:t>有</w:t>
            </w:r>
            <w:r>
              <w:rPr>
                <w:rFonts w:hint="default" w:ascii="Times New Roman" w:hAnsi="Times New Roman" w:cs="Times New Roman"/>
                <w:color w:val="auto"/>
                <w:sz w:val="24"/>
                <w:highlight w:val="none"/>
              </w:rPr>
              <w:t>电锯、焊接机等引起的噪声。施工机械的噪声在80</w:t>
            </w:r>
            <w:r>
              <w:rPr>
                <w:rFonts w:hint="default" w:ascii="Times New Roman" w:hAnsi="Times New Roman" w:cs="Times New Roman"/>
                <w:color w:val="auto"/>
                <w:sz w:val="21"/>
                <w:szCs w:val="21"/>
                <w:highlight w:val="none"/>
                <w:lang w:val="en-US" w:eastAsia="zh-CN"/>
              </w:rPr>
              <w:t>dB(A)</w:t>
            </w:r>
            <w:r>
              <w:rPr>
                <w:rFonts w:hint="default" w:ascii="Times New Roman" w:hAnsi="Times New Roman" w:cs="Times New Roman"/>
                <w:color w:val="auto"/>
                <w:sz w:val="24"/>
                <w:highlight w:val="none"/>
              </w:rPr>
              <w:t>~100dB（A）之间。项目施工期施工机械噪声源强详见下表。</w:t>
            </w:r>
          </w:p>
          <w:p w14:paraId="1527DB69">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表4-</w:t>
            </w:r>
            <w:r>
              <w:rPr>
                <w:rFonts w:hint="default" w:ascii="Times New Roman" w:hAnsi="Times New Roman" w:eastAsia="宋体" w:cs="Times New Roman"/>
                <w:b/>
                <w:bCs/>
                <w:color w:val="auto"/>
                <w:sz w:val="21"/>
                <w:szCs w:val="21"/>
                <w:highlight w:val="none"/>
                <w:lang w:val="en-US" w:eastAsia="zh-CN"/>
              </w:rPr>
              <w:t>1</w:t>
            </w:r>
            <w:r>
              <w:rPr>
                <w:rFonts w:hint="default" w:ascii="Times New Roman" w:hAnsi="Times New Roman" w:eastAsia="宋体" w:cs="Times New Roman"/>
                <w:b/>
                <w:bCs/>
                <w:color w:val="auto"/>
                <w:sz w:val="21"/>
                <w:szCs w:val="21"/>
                <w:highlight w:val="none"/>
              </w:rPr>
              <w:t xml:space="preserve"> 施工机械噪声强度</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3473"/>
              <w:gridCol w:w="2996"/>
            </w:tblGrid>
            <w:tr w14:paraId="5FD8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67" w:type="pct"/>
                  <w:noWrap w:val="0"/>
                  <w:vAlign w:val="center"/>
                </w:tcPr>
                <w:p w14:paraId="72DF321E">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2219" w:type="pct"/>
                  <w:noWrap w:val="0"/>
                  <w:vAlign w:val="center"/>
                </w:tcPr>
                <w:p w14:paraId="4F399AEB">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设备名称</w:t>
                  </w:r>
                </w:p>
              </w:tc>
              <w:tc>
                <w:tcPr>
                  <w:tcW w:w="1913" w:type="pct"/>
                  <w:noWrap w:val="0"/>
                  <w:vAlign w:val="center"/>
                </w:tcPr>
                <w:p w14:paraId="1F24A165">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测量声级dB（A）</w:t>
                  </w:r>
                </w:p>
              </w:tc>
            </w:tr>
            <w:tr w14:paraId="1976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867" w:type="pct"/>
                  <w:noWrap w:val="0"/>
                  <w:vAlign w:val="center"/>
                </w:tcPr>
                <w:p w14:paraId="40AEE802">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2219" w:type="pct"/>
                  <w:noWrap w:val="0"/>
                  <w:vAlign w:val="center"/>
                </w:tcPr>
                <w:p w14:paraId="047825ED">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推土机</w:t>
                  </w:r>
                </w:p>
              </w:tc>
              <w:tc>
                <w:tcPr>
                  <w:tcW w:w="1913" w:type="pct"/>
                  <w:noWrap w:val="0"/>
                  <w:vAlign w:val="center"/>
                </w:tcPr>
                <w:p w14:paraId="7C82809E">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86</w:t>
                  </w:r>
                </w:p>
              </w:tc>
            </w:tr>
            <w:tr w14:paraId="316C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67" w:type="pct"/>
                  <w:noWrap w:val="0"/>
                  <w:vAlign w:val="center"/>
                </w:tcPr>
                <w:p w14:paraId="0EACCC08">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2219" w:type="pct"/>
                  <w:noWrap w:val="0"/>
                  <w:vAlign w:val="center"/>
                </w:tcPr>
                <w:p w14:paraId="63CA4456">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装载机</w:t>
                  </w:r>
                </w:p>
              </w:tc>
              <w:tc>
                <w:tcPr>
                  <w:tcW w:w="1913" w:type="pct"/>
                  <w:noWrap w:val="0"/>
                  <w:vAlign w:val="center"/>
                </w:tcPr>
                <w:p w14:paraId="4DA51A48">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90</w:t>
                  </w:r>
                </w:p>
              </w:tc>
            </w:tr>
            <w:tr w14:paraId="506D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67" w:type="pct"/>
                  <w:noWrap w:val="0"/>
                  <w:vAlign w:val="center"/>
                </w:tcPr>
                <w:p w14:paraId="55531295">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2219" w:type="pct"/>
                  <w:noWrap w:val="0"/>
                  <w:vAlign w:val="center"/>
                </w:tcPr>
                <w:p w14:paraId="391CF72A">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挖掘机</w:t>
                  </w:r>
                </w:p>
              </w:tc>
              <w:tc>
                <w:tcPr>
                  <w:tcW w:w="1913" w:type="pct"/>
                  <w:noWrap w:val="0"/>
                  <w:vAlign w:val="center"/>
                </w:tcPr>
                <w:p w14:paraId="0FA16F92">
                  <w:pPr>
                    <w:pStyle w:val="94"/>
                    <w:bidi w:val="0"/>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8</w:t>
                  </w:r>
                  <w:r>
                    <w:rPr>
                      <w:rFonts w:hint="eastAsia" w:cs="Times New Roman"/>
                      <w:color w:val="auto"/>
                      <w:sz w:val="21"/>
                      <w:szCs w:val="21"/>
                      <w:highlight w:val="none"/>
                      <w:lang w:val="en-US" w:eastAsia="zh-CN"/>
                    </w:rPr>
                    <w:t>5</w:t>
                  </w:r>
                </w:p>
              </w:tc>
            </w:tr>
            <w:tr w14:paraId="46AE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67" w:type="pct"/>
                  <w:noWrap w:val="0"/>
                  <w:vAlign w:val="center"/>
                </w:tcPr>
                <w:p w14:paraId="2A921264">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2219" w:type="pct"/>
                  <w:noWrap w:val="0"/>
                  <w:vAlign w:val="center"/>
                </w:tcPr>
                <w:p w14:paraId="60FDFDAA">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运输</w:t>
                  </w:r>
                  <w:r>
                    <w:rPr>
                      <w:rFonts w:hint="default" w:ascii="Times New Roman" w:hAnsi="Times New Roman" w:eastAsia="宋体" w:cs="Times New Roman"/>
                      <w:color w:val="auto"/>
                      <w:sz w:val="21"/>
                      <w:szCs w:val="21"/>
                      <w:highlight w:val="none"/>
                    </w:rPr>
                    <w:t>车辆</w:t>
                  </w:r>
                </w:p>
              </w:tc>
              <w:tc>
                <w:tcPr>
                  <w:tcW w:w="1913" w:type="pct"/>
                  <w:noWrap w:val="0"/>
                  <w:vAlign w:val="center"/>
                </w:tcPr>
                <w:p w14:paraId="6448235C">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92</w:t>
                  </w:r>
                </w:p>
              </w:tc>
            </w:tr>
            <w:tr w14:paraId="009E0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867" w:type="pct"/>
                  <w:noWrap w:val="0"/>
                  <w:vAlign w:val="center"/>
                </w:tcPr>
                <w:p w14:paraId="729EF237">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c>
                <w:tcPr>
                  <w:tcW w:w="2219" w:type="pct"/>
                  <w:noWrap w:val="0"/>
                  <w:vAlign w:val="center"/>
                </w:tcPr>
                <w:p w14:paraId="5F31C27C">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电锯、电钻</w:t>
                  </w:r>
                </w:p>
              </w:tc>
              <w:tc>
                <w:tcPr>
                  <w:tcW w:w="1913" w:type="pct"/>
                  <w:noWrap w:val="0"/>
                  <w:vAlign w:val="center"/>
                </w:tcPr>
                <w:p w14:paraId="6BC9B133">
                  <w:pPr>
                    <w:pStyle w:val="94"/>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100</w:t>
                  </w:r>
                </w:p>
              </w:tc>
            </w:tr>
          </w:tbl>
          <w:p w14:paraId="094D5E86">
            <w:pPr>
              <w:pStyle w:val="44"/>
              <w:widowControl w:val="0"/>
              <w:adjustRightInd w:val="0"/>
              <w:snapToGrid w:val="0"/>
              <w:spacing w:line="360" w:lineRule="auto"/>
              <w:ind w:firstLine="482" w:firstLineChars="200"/>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2、预测模式</w:t>
            </w:r>
          </w:p>
          <w:p w14:paraId="0ABACEE2">
            <w:pPr>
              <w:pStyle w:val="44"/>
              <w:widowControl w:val="0"/>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zh-TW" w:eastAsia="zh-TW"/>
              </w:rPr>
              <w:t>施工噪声可近似视为点声源处理，根据点声源噪声衰减模式，估算出离声源不同距离处的噪声值，预测模式如下</w:t>
            </w:r>
            <w:r>
              <w:rPr>
                <w:rFonts w:hint="default" w:ascii="Times New Roman" w:hAnsi="Times New Roman" w:cs="Times New Roman"/>
                <w:color w:val="auto"/>
                <w:sz w:val="24"/>
                <w:szCs w:val="24"/>
                <w:highlight w:val="none"/>
              </w:rPr>
              <w:t>：</w:t>
            </w:r>
          </w:p>
          <w:p w14:paraId="617FA481">
            <w:pPr>
              <w:adjustRightInd w:val="0"/>
              <w:snapToGrid w:val="0"/>
              <w:spacing w:line="360" w:lineRule="auto"/>
              <w:ind w:firstLine="1680" w:firstLineChars="7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vertAlign w:val="baseline"/>
                <w:lang w:eastAsia="zh-CN"/>
              </w:rPr>
              <w:t>=</w:t>
            </w: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1</w:t>
            </w:r>
            <w:r>
              <w:rPr>
                <w:rFonts w:hint="default" w:ascii="Times New Roman" w:hAnsi="Times New Roman" w:eastAsia="宋体" w:cs="Times New Roman"/>
                <w:color w:val="auto"/>
                <w:sz w:val="24"/>
                <w:highlight w:val="none"/>
                <w:vertAlign w:val="baseline"/>
              </w:rPr>
              <w:t>－</w:t>
            </w:r>
            <w:r>
              <w:rPr>
                <w:rFonts w:hint="default" w:ascii="Times New Roman" w:hAnsi="Times New Roman" w:cs="Times New Roman"/>
                <w:color w:val="auto"/>
                <w:sz w:val="24"/>
                <w:highlight w:val="none"/>
              </w:rPr>
              <w:t>20lg(r</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/r</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w:t>
            </w:r>
          </w:p>
          <w:p w14:paraId="72D7B458">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式中：L</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2</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highlight w:val="none"/>
              </w:rPr>
              <w:t>距声源r</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、r</w:t>
            </w:r>
            <w:r>
              <w:rPr>
                <w:rFonts w:hint="default" w:ascii="Times New Roman" w:hAnsi="Times New Roman" w:cs="Times New Roman"/>
                <w:color w:val="auto"/>
                <w:sz w:val="24"/>
                <w:highlight w:val="none"/>
                <w:vertAlign w:val="subscript"/>
              </w:rPr>
              <w:t>2</w:t>
            </w:r>
            <w:r>
              <w:rPr>
                <w:rFonts w:hint="default" w:ascii="Times New Roman" w:hAnsi="Times New Roman" w:cs="Times New Roman"/>
                <w:color w:val="auto"/>
                <w:sz w:val="24"/>
                <w:highlight w:val="none"/>
              </w:rPr>
              <w:t>处的噪声值，dB(A)。</w:t>
            </w:r>
          </w:p>
          <w:p w14:paraId="766359E2">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 xml:space="preserve"> r</w:t>
            </w:r>
            <w:r>
              <w:rPr>
                <w:rFonts w:hint="default" w:ascii="Times New Roman" w:hAnsi="Times New Roman" w:cs="Times New Roman"/>
                <w:color w:val="auto"/>
                <w:sz w:val="24"/>
                <w:highlight w:val="none"/>
                <w:vertAlign w:val="subscript"/>
              </w:rPr>
              <w:t>1</w:t>
            </w:r>
            <w:r>
              <w:rPr>
                <w:rFonts w:hint="default" w:ascii="Times New Roman" w:hAnsi="Times New Roman" w:cs="Times New Roman"/>
                <w:color w:val="auto"/>
                <w:sz w:val="24"/>
                <w:highlight w:val="none"/>
              </w:rPr>
              <w:t>、r</w:t>
            </w:r>
            <w:r>
              <w:rPr>
                <w:rFonts w:hint="default" w:ascii="Times New Roman" w:hAnsi="Times New Roman" w:cs="Times New Roman"/>
                <w:color w:val="auto"/>
                <w:sz w:val="24"/>
                <w:highlight w:val="none"/>
                <w:vertAlign w:val="subscript"/>
              </w:rPr>
              <w:t>2</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highlight w:val="none"/>
              </w:rPr>
              <w:t>预测点距声源的距离</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m</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w:t>
            </w:r>
          </w:p>
          <w:p w14:paraId="0B53D4F3">
            <w:pPr>
              <w:adjustRightInd w:val="0"/>
              <w:snapToGrid w:val="0"/>
              <w:spacing w:line="360" w:lineRule="auto"/>
              <w:ind w:firstLine="480" w:firstLineChars="200"/>
              <w:rPr>
                <w:rFonts w:hint="default" w:ascii="Times New Roman" w:hAnsi="Times New Roman" w:eastAsia="宋体" w:cs="Times New Roman"/>
                <w:color w:val="auto"/>
                <w:sz w:val="24"/>
                <w:highlight w:val="none"/>
                <w:lang w:val="zh-TW" w:eastAsia="zh-CN"/>
              </w:rPr>
            </w:pPr>
            <w:r>
              <w:rPr>
                <w:rFonts w:hint="default" w:ascii="Times New Roman" w:hAnsi="Times New Roman" w:eastAsia="宋体" w:cs="Times New Roman"/>
                <w:color w:val="auto"/>
                <w:sz w:val="24"/>
                <w:highlight w:val="none"/>
                <w:lang w:val="zh-TW" w:eastAsia="zh-TW"/>
              </w:rPr>
              <w:t>根据噪声衰减模式，各施工机具声源在不同距离处的噪声影响值（未考虑吸声、隔声等效果</w:t>
            </w:r>
            <w:r>
              <w:rPr>
                <w:rFonts w:hint="default" w:ascii="Times New Roman" w:hAnsi="Times New Roman" w:eastAsia="宋体" w:cs="Times New Roman"/>
                <w:color w:val="auto"/>
                <w:sz w:val="24"/>
                <w:highlight w:val="none"/>
                <w:lang w:val="en-US" w:eastAsia="en-US"/>
              </w:rPr>
              <w:t>）</w:t>
            </w:r>
            <w:r>
              <w:rPr>
                <w:rFonts w:hint="default" w:ascii="Times New Roman" w:hAnsi="Times New Roman" w:eastAsia="宋体" w:cs="Times New Roman"/>
                <w:color w:val="auto"/>
                <w:sz w:val="24"/>
                <w:highlight w:val="none"/>
                <w:lang w:val="zh-TW" w:eastAsia="zh-TW"/>
              </w:rPr>
              <w:t>参见表</w:t>
            </w:r>
            <w:r>
              <w:rPr>
                <w:rFonts w:hint="default" w:ascii="Times New Roman" w:hAnsi="Times New Roman" w:eastAsia="宋体" w:cs="Times New Roman"/>
                <w:color w:val="auto"/>
                <w:sz w:val="24"/>
                <w:highlight w:val="none"/>
                <w:lang w:val="en-US" w:eastAsia="zh-CN"/>
              </w:rPr>
              <w:t>4-5</w:t>
            </w:r>
            <w:r>
              <w:rPr>
                <w:rFonts w:hint="default" w:ascii="Times New Roman" w:hAnsi="Times New Roman" w:eastAsia="宋体" w:cs="Times New Roman"/>
                <w:color w:val="auto"/>
                <w:sz w:val="24"/>
                <w:highlight w:val="none"/>
                <w:lang w:val="zh-TW" w:eastAsia="zh-TW"/>
              </w:rPr>
              <w:t>。</w:t>
            </w:r>
          </w:p>
          <w:p w14:paraId="1B478C74">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w:t>
            </w:r>
            <w:r>
              <w:rPr>
                <w:rFonts w:hint="default" w:ascii="Times New Roman" w:hAnsi="Times New Roman" w:eastAsia="宋体" w:cs="Times New Roman"/>
                <w:b/>
                <w:bCs/>
                <w:color w:val="auto"/>
                <w:sz w:val="21"/>
                <w:szCs w:val="21"/>
                <w:highlight w:val="none"/>
                <w:lang w:val="en-US" w:eastAsia="zh-CN"/>
              </w:rPr>
              <w:t>4-2</w:t>
            </w:r>
            <w:r>
              <w:rPr>
                <w:rFonts w:hint="default" w:ascii="Times New Roman" w:hAnsi="Times New Roman" w:eastAsia="宋体" w:cs="Times New Roman"/>
                <w:b/>
                <w:bCs/>
                <w:color w:val="auto"/>
                <w:sz w:val="21"/>
                <w:szCs w:val="21"/>
                <w:highlight w:val="none"/>
              </w:rPr>
              <w:t xml:space="preserve"> </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rPr>
              <w:t>距声源不同距离</w:t>
            </w:r>
            <w:r>
              <w:rPr>
                <w:rFonts w:hint="default" w:ascii="Times New Roman" w:hAnsi="Times New Roman" w:eastAsia="宋体" w:cs="Times New Roman"/>
                <w:b/>
                <w:bCs/>
                <w:color w:val="auto"/>
                <w:sz w:val="21"/>
                <w:szCs w:val="21"/>
                <w:highlight w:val="none"/>
                <w:lang w:val="en-US" w:eastAsia="zh-CN"/>
              </w:rPr>
              <w:t>处</w:t>
            </w:r>
            <w:r>
              <w:rPr>
                <w:rFonts w:hint="default" w:ascii="Times New Roman" w:hAnsi="Times New Roman" w:eastAsia="宋体" w:cs="Times New Roman"/>
                <w:b/>
                <w:bCs/>
                <w:color w:val="auto"/>
                <w:sz w:val="21"/>
                <w:szCs w:val="21"/>
                <w:highlight w:val="none"/>
              </w:rPr>
              <w:t>的噪声值  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55"/>
              <w:gridCol w:w="750"/>
              <w:gridCol w:w="758"/>
              <w:gridCol w:w="758"/>
              <w:gridCol w:w="746"/>
              <w:gridCol w:w="758"/>
              <w:gridCol w:w="726"/>
              <w:gridCol w:w="897"/>
            </w:tblGrid>
            <w:tr w14:paraId="121C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0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03C981">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设备名称</w:t>
                  </w:r>
                </w:p>
              </w:tc>
              <w:tc>
                <w:tcPr>
                  <w:tcW w:w="4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028F031">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1m</w:t>
                  </w:r>
                </w:p>
              </w:tc>
              <w:tc>
                <w:tcPr>
                  <w:tcW w:w="47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FA94B86">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5m</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3587359">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10m</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D0DA3A8">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20m</w:t>
                  </w:r>
                </w:p>
              </w:tc>
              <w:tc>
                <w:tcPr>
                  <w:tcW w:w="476" w:type="pct"/>
                  <w:tcBorders>
                    <w:top w:val="single" w:color="auto" w:sz="4" w:space="0"/>
                    <w:left w:val="single" w:color="auto" w:sz="4" w:space="0"/>
                    <w:bottom w:val="single" w:color="auto" w:sz="4" w:space="0"/>
                    <w:right w:val="single" w:color="auto" w:sz="4" w:space="0"/>
                    <w:tl2br w:val="nil"/>
                    <w:tr2bl w:val="nil"/>
                  </w:tcBorders>
                  <w:noWrap w:val="0"/>
                  <w:vAlign w:val="top"/>
                </w:tcPr>
                <w:p w14:paraId="3750E7EA">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30m</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1DA2924">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40m</w:t>
                  </w:r>
                </w:p>
              </w:tc>
              <w:tc>
                <w:tcPr>
                  <w:tcW w:w="4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489DDF">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50m</w:t>
                  </w:r>
                </w:p>
              </w:tc>
              <w:tc>
                <w:tcPr>
                  <w:tcW w:w="57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AE16BE9">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100m</w:t>
                  </w:r>
                </w:p>
              </w:tc>
            </w:tr>
            <w:tr w14:paraId="22A9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0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3F4588">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推土机</w:t>
                  </w:r>
                </w:p>
              </w:tc>
              <w:tc>
                <w:tcPr>
                  <w:tcW w:w="4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AAC6DA2">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86</w:t>
                  </w:r>
                </w:p>
              </w:tc>
              <w:tc>
                <w:tcPr>
                  <w:tcW w:w="47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CE10B29">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72</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E5616B5">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66</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AA0A640">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476" w:type="pct"/>
                  <w:tcBorders>
                    <w:top w:val="single" w:color="auto" w:sz="4" w:space="0"/>
                    <w:left w:val="single" w:color="auto" w:sz="4" w:space="0"/>
                    <w:bottom w:val="single" w:color="auto" w:sz="4" w:space="0"/>
                    <w:right w:val="single" w:color="auto" w:sz="4" w:space="0"/>
                    <w:tl2br w:val="nil"/>
                    <w:tr2bl w:val="nil"/>
                  </w:tcBorders>
                  <w:noWrap w:val="0"/>
                  <w:vAlign w:val="top"/>
                </w:tcPr>
                <w:p w14:paraId="1A5031B3">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56</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41187FB">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54</w:t>
                  </w:r>
                </w:p>
              </w:tc>
              <w:tc>
                <w:tcPr>
                  <w:tcW w:w="4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BFE3786">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w:t>
                  </w:r>
                </w:p>
              </w:tc>
              <w:tc>
                <w:tcPr>
                  <w:tcW w:w="57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8133923">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46</w:t>
                  </w:r>
                </w:p>
              </w:tc>
            </w:tr>
            <w:tr w14:paraId="3A87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0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3A69F4B">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装载机</w:t>
                  </w:r>
                </w:p>
              </w:tc>
              <w:tc>
                <w:tcPr>
                  <w:tcW w:w="4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AA87824">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w:t>
                  </w:r>
                </w:p>
              </w:tc>
              <w:tc>
                <w:tcPr>
                  <w:tcW w:w="47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516031E">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76</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843B957">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CEA605F">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64</w:t>
                  </w:r>
                </w:p>
              </w:tc>
              <w:tc>
                <w:tcPr>
                  <w:tcW w:w="476" w:type="pct"/>
                  <w:tcBorders>
                    <w:top w:val="single" w:color="auto" w:sz="4" w:space="0"/>
                    <w:left w:val="single" w:color="auto" w:sz="4" w:space="0"/>
                    <w:bottom w:val="single" w:color="auto" w:sz="4" w:space="0"/>
                    <w:right w:val="single" w:color="auto" w:sz="4" w:space="0"/>
                    <w:tl2br w:val="nil"/>
                    <w:tr2bl w:val="nil"/>
                  </w:tcBorders>
                  <w:noWrap w:val="0"/>
                  <w:vAlign w:val="top"/>
                </w:tcPr>
                <w:p w14:paraId="5C5222D7">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7F2139">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w:t>
                  </w:r>
                </w:p>
              </w:tc>
              <w:tc>
                <w:tcPr>
                  <w:tcW w:w="4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E0B8D9">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56</w:t>
                  </w:r>
                </w:p>
              </w:tc>
              <w:tc>
                <w:tcPr>
                  <w:tcW w:w="57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9A4574">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r>
            <w:tr w14:paraId="262A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0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5D85698">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挖掘机</w:t>
                  </w:r>
                </w:p>
              </w:tc>
              <w:tc>
                <w:tcPr>
                  <w:tcW w:w="4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0A3070B">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84</w:t>
                  </w:r>
                </w:p>
              </w:tc>
              <w:tc>
                <w:tcPr>
                  <w:tcW w:w="47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343AE17">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70</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C88A165">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64</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682283A">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w:t>
                  </w:r>
                </w:p>
              </w:tc>
              <w:tc>
                <w:tcPr>
                  <w:tcW w:w="476" w:type="pct"/>
                  <w:tcBorders>
                    <w:top w:val="single" w:color="auto" w:sz="4" w:space="0"/>
                    <w:left w:val="single" w:color="auto" w:sz="4" w:space="0"/>
                    <w:bottom w:val="single" w:color="auto" w:sz="4" w:space="0"/>
                    <w:right w:val="single" w:color="auto" w:sz="4" w:space="0"/>
                    <w:tl2br w:val="nil"/>
                    <w:tr2bl w:val="nil"/>
                  </w:tcBorders>
                  <w:noWrap w:val="0"/>
                  <w:vAlign w:val="top"/>
                </w:tcPr>
                <w:p w14:paraId="5D71477D">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54</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5DE5519">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w:t>
                  </w:r>
                </w:p>
              </w:tc>
              <w:tc>
                <w:tcPr>
                  <w:tcW w:w="4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5E3AD2D">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c>
                <w:tcPr>
                  <w:tcW w:w="57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AD43386">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44</w:t>
                  </w:r>
                </w:p>
              </w:tc>
            </w:tr>
            <w:tr w14:paraId="40BB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10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52F4F83">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电锯、电钻</w:t>
                  </w:r>
                </w:p>
              </w:tc>
              <w:tc>
                <w:tcPr>
                  <w:tcW w:w="4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9C56CA5">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w:t>
                  </w:r>
                </w:p>
              </w:tc>
              <w:tc>
                <w:tcPr>
                  <w:tcW w:w="47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FD4198">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71</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54ED6F">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65</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141B42">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59</w:t>
                  </w:r>
                </w:p>
              </w:tc>
              <w:tc>
                <w:tcPr>
                  <w:tcW w:w="476" w:type="pct"/>
                  <w:tcBorders>
                    <w:top w:val="single" w:color="auto" w:sz="4" w:space="0"/>
                    <w:left w:val="single" w:color="auto" w:sz="4" w:space="0"/>
                    <w:bottom w:val="single" w:color="auto" w:sz="4" w:space="0"/>
                    <w:right w:val="single" w:color="auto" w:sz="4" w:space="0"/>
                    <w:tl2br w:val="nil"/>
                    <w:tr2bl w:val="nil"/>
                  </w:tcBorders>
                  <w:noWrap w:val="0"/>
                  <w:vAlign w:val="top"/>
                </w:tcPr>
                <w:p w14:paraId="6BA63D84">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55</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2FBBDE5">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53</w:t>
                  </w:r>
                </w:p>
              </w:tc>
              <w:tc>
                <w:tcPr>
                  <w:tcW w:w="4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AC9E84C">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51</w:t>
                  </w:r>
                </w:p>
              </w:tc>
              <w:tc>
                <w:tcPr>
                  <w:tcW w:w="57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108A63A">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45</w:t>
                  </w:r>
                </w:p>
              </w:tc>
            </w:tr>
            <w:tr w14:paraId="7F1A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07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E5155DC">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运输车辆</w:t>
                  </w:r>
                </w:p>
              </w:tc>
              <w:tc>
                <w:tcPr>
                  <w:tcW w:w="48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A9A9E93">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92</w:t>
                  </w:r>
                </w:p>
              </w:tc>
              <w:tc>
                <w:tcPr>
                  <w:tcW w:w="47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F25A6FE">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78</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617AA68">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72</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1DB035">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66</w:t>
                  </w:r>
                </w:p>
              </w:tc>
              <w:tc>
                <w:tcPr>
                  <w:tcW w:w="476" w:type="pct"/>
                  <w:tcBorders>
                    <w:top w:val="single" w:color="auto" w:sz="4" w:space="0"/>
                    <w:left w:val="single" w:color="auto" w:sz="4" w:space="0"/>
                    <w:bottom w:val="single" w:color="auto" w:sz="4" w:space="0"/>
                    <w:right w:val="single" w:color="auto" w:sz="4" w:space="0"/>
                    <w:tl2br w:val="nil"/>
                    <w:tr2bl w:val="nil"/>
                  </w:tcBorders>
                  <w:noWrap w:val="0"/>
                  <w:vAlign w:val="top"/>
                </w:tcPr>
                <w:p w14:paraId="0B57E573">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62</w:t>
                  </w:r>
                </w:p>
              </w:tc>
              <w:tc>
                <w:tcPr>
                  <w:tcW w:w="4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D4F2E4E">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60</w:t>
                  </w:r>
                </w:p>
              </w:tc>
              <w:tc>
                <w:tcPr>
                  <w:tcW w:w="4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E90F631">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58</w:t>
                  </w:r>
                </w:p>
              </w:tc>
              <w:tc>
                <w:tcPr>
                  <w:tcW w:w="57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6E51EB6">
                  <w:pPr>
                    <w:pStyle w:val="94"/>
                    <w:bidi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52</w:t>
                  </w:r>
                </w:p>
              </w:tc>
            </w:tr>
          </w:tbl>
          <w:p w14:paraId="0362503D">
            <w:pPr>
              <w:adjustRightInd w:val="0"/>
              <w:snapToGrid w:val="0"/>
              <w:spacing w:line="360" w:lineRule="auto"/>
              <w:ind w:firstLine="480" w:firstLineChars="200"/>
              <w:rPr>
                <w:rFonts w:hint="default" w:ascii="Times New Roman" w:hAnsi="Times New Roman" w:eastAsia="宋体" w:cs="Times New Roman"/>
                <w:color w:val="auto"/>
                <w:sz w:val="24"/>
                <w:highlight w:val="none"/>
                <w:lang w:val="zh-TW" w:eastAsia="zh-TW"/>
              </w:rPr>
            </w:pPr>
            <w:r>
              <w:rPr>
                <w:rFonts w:hint="default" w:ascii="Times New Roman" w:hAnsi="Times New Roman" w:eastAsia="宋体" w:cs="Times New Roman"/>
                <w:color w:val="auto"/>
                <w:sz w:val="24"/>
                <w:highlight w:val="none"/>
                <w:lang w:val="zh-TW" w:eastAsia="zh-TW"/>
              </w:rPr>
              <w:t>噪声叠加公式为：</w:t>
            </w:r>
          </w:p>
          <w:p w14:paraId="04E8937E">
            <w:pPr>
              <w:spacing w:beforeLines="0" w:afterLines="0" w:line="360" w:lineRule="auto"/>
              <w:ind w:firstLine="48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L</w:t>
            </w:r>
            <w:r>
              <w:rPr>
                <w:rFonts w:hint="default" w:ascii="Times New Roman" w:hAnsi="Times New Roman" w:cs="Times New Roman"/>
                <w:color w:val="auto"/>
                <w:sz w:val="24"/>
                <w:highlight w:val="none"/>
                <w:vertAlign w:val="subscript"/>
              </w:rPr>
              <w:t>P</w:t>
            </w:r>
            <w:r>
              <w:rPr>
                <w:rFonts w:hint="default" w:ascii="Times New Roman" w:hAnsi="Times New Roman" w:cs="Times New Roman"/>
                <w:color w:val="auto"/>
                <w:sz w:val="24"/>
                <w:highlight w:val="none"/>
              </w:rPr>
              <w:t>=10lg</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10</w:t>
            </w:r>
            <w:r>
              <w:rPr>
                <w:rFonts w:hint="default" w:ascii="Times New Roman" w:hAnsi="Times New Roman" w:cs="Times New Roman"/>
                <w:color w:val="auto"/>
                <w:sz w:val="24"/>
                <w:highlight w:val="none"/>
                <w:vertAlign w:val="superscript"/>
              </w:rPr>
              <w:t>Lp1/10</w:t>
            </w:r>
            <w:r>
              <w:rPr>
                <w:rFonts w:hint="default" w:ascii="Times New Roman" w:hAnsi="Times New Roman" w:cs="Times New Roman"/>
                <w:color w:val="auto"/>
                <w:sz w:val="24"/>
                <w:highlight w:val="none"/>
              </w:rPr>
              <w:t>+10</w:t>
            </w:r>
            <w:r>
              <w:rPr>
                <w:rFonts w:hint="default" w:ascii="Times New Roman" w:hAnsi="Times New Roman" w:cs="Times New Roman"/>
                <w:color w:val="auto"/>
                <w:sz w:val="24"/>
                <w:highlight w:val="none"/>
                <w:vertAlign w:val="superscript"/>
              </w:rPr>
              <w:t>Lp2/10</w:t>
            </w:r>
            <w:r>
              <w:rPr>
                <w:rFonts w:hint="default" w:ascii="Times New Roman" w:hAnsi="Times New Roman" w:cs="Times New Roman"/>
                <w:color w:val="auto"/>
                <w:sz w:val="24"/>
                <w:highlight w:val="none"/>
              </w:rPr>
              <w:t>）</w:t>
            </w:r>
          </w:p>
          <w:p w14:paraId="2396C328">
            <w:pPr>
              <w:adjustRightInd w:val="0"/>
              <w:snapToGrid w:val="0"/>
              <w:spacing w:line="360" w:lineRule="auto"/>
              <w:ind w:firstLine="480" w:firstLineChars="200"/>
              <w:rPr>
                <w:rFonts w:hint="default" w:ascii="Times New Roman" w:hAnsi="Times New Roman" w:eastAsia="宋体" w:cs="Times New Roman"/>
                <w:color w:val="auto"/>
                <w:sz w:val="24"/>
                <w:highlight w:val="none"/>
                <w:lang w:val="zh-TW" w:eastAsia="zh-TW"/>
              </w:rPr>
            </w:pPr>
            <w:r>
              <w:rPr>
                <w:rFonts w:hint="default" w:ascii="Times New Roman" w:hAnsi="Times New Roman" w:eastAsia="宋体" w:cs="Times New Roman"/>
                <w:color w:val="auto"/>
                <w:sz w:val="24"/>
                <w:highlight w:val="none"/>
                <w:lang w:val="zh-TW" w:eastAsia="zh-TW"/>
              </w:rPr>
              <w:t>多声源叠加时，逐次两两叠加，与次序无关，施工期机械声源产生噪声经叠加后，具体噪声值见下表。</w:t>
            </w:r>
          </w:p>
          <w:p w14:paraId="08B15A3D">
            <w:pPr>
              <w:pStyle w:val="36"/>
              <w:snapToGrid/>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w:t>
            </w:r>
            <w:r>
              <w:rPr>
                <w:rFonts w:hint="default" w:ascii="Times New Roman" w:hAnsi="Times New Roman" w:eastAsia="宋体" w:cs="Times New Roman"/>
                <w:b/>
                <w:bCs/>
                <w:color w:val="auto"/>
                <w:sz w:val="21"/>
                <w:szCs w:val="21"/>
                <w:highlight w:val="none"/>
                <w:lang w:val="en-US" w:eastAsia="zh-CN"/>
              </w:rPr>
              <w:t>4-3</w:t>
            </w:r>
            <w:r>
              <w:rPr>
                <w:rFonts w:hint="default" w:ascii="Times New Roman" w:hAnsi="Times New Roman" w:eastAsia="宋体" w:cs="Times New Roman"/>
                <w:b/>
                <w:bCs/>
                <w:color w:val="auto"/>
                <w:sz w:val="21"/>
                <w:szCs w:val="21"/>
                <w:highlight w:val="none"/>
              </w:rPr>
              <w:t xml:space="preserve"> 叠加后噪声源强表</w:t>
            </w:r>
          </w:p>
          <w:tbl>
            <w:tblPr>
              <w:tblStyle w:val="30"/>
              <w:tblW w:w="7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2"/>
              <w:gridCol w:w="818"/>
              <w:gridCol w:w="809"/>
              <w:gridCol w:w="809"/>
              <w:gridCol w:w="938"/>
              <w:gridCol w:w="809"/>
              <w:gridCol w:w="810"/>
              <w:gridCol w:w="779"/>
            </w:tblGrid>
            <w:tr w14:paraId="39B9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8E9E001">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距离(m)</w:t>
                  </w:r>
                </w:p>
              </w:tc>
              <w:tc>
                <w:tcPr>
                  <w:tcW w:w="55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B945392">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5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D640F1D">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5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4FFDE87">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63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DC20D22">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5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54BADCD">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40</w:t>
                  </w:r>
                </w:p>
              </w:tc>
              <w:tc>
                <w:tcPr>
                  <w:tcW w:w="54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BF4B773">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c>
                <w:tcPr>
                  <w:tcW w:w="52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222637E">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100m</w:t>
                  </w:r>
                </w:p>
              </w:tc>
            </w:tr>
            <w:tr w14:paraId="674D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0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E9B6CCE">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白天LP(dB(A))</w:t>
                  </w:r>
                </w:p>
              </w:tc>
              <w:tc>
                <w:tcPr>
                  <w:tcW w:w="55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CF7A36D">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101</w:t>
                  </w:r>
                </w:p>
              </w:tc>
              <w:tc>
                <w:tcPr>
                  <w:tcW w:w="5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947F856">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82</w:t>
                  </w:r>
                </w:p>
              </w:tc>
              <w:tc>
                <w:tcPr>
                  <w:tcW w:w="5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6AB3981">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76</w:t>
                  </w:r>
                </w:p>
              </w:tc>
              <w:tc>
                <w:tcPr>
                  <w:tcW w:w="63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6635F6D">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70</w:t>
                  </w:r>
                </w:p>
              </w:tc>
              <w:tc>
                <w:tcPr>
                  <w:tcW w:w="5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AEFE833">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66</w:t>
                  </w:r>
                </w:p>
              </w:tc>
              <w:tc>
                <w:tcPr>
                  <w:tcW w:w="54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62E3784">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64</w:t>
                  </w:r>
                </w:p>
              </w:tc>
              <w:tc>
                <w:tcPr>
                  <w:tcW w:w="52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D5C3AB5">
                  <w:pPr>
                    <w:pStyle w:val="94"/>
                    <w:bidi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62</w:t>
                  </w:r>
                </w:p>
              </w:tc>
            </w:tr>
          </w:tbl>
          <w:p w14:paraId="298E393B">
            <w:pPr>
              <w:adjustRightInd w:val="0"/>
              <w:snapToGrid w:val="0"/>
              <w:spacing w:line="360" w:lineRule="auto"/>
              <w:ind w:firstLine="480" w:firstLineChars="200"/>
              <w:rPr>
                <w:rFonts w:hint="default" w:ascii="Times New Roman" w:hAnsi="Times New Roman" w:eastAsia="宋体" w:cs="Times New Roman"/>
                <w:color w:val="auto"/>
                <w:sz w:val="24"/>
                <w:highlight w:val="none"/>
                <w:lang w:val="zh-TW" w:eastAsia="zh-TW"/>
              </w:rPr>
            </w:pPr>
            <w:r>
              <w:rPr>
                <w:rFonts w:hint="default" w:ascii="Times New Roman" w:hAnsi="Times New Roman" w:eastAsia="宋体" w:cs="Times New Roman"/>
                <w:color w:val="auto"/>
                <w:sz w:val="24"/>
                <w:highlight w:val="none"/>
                <w:lang w:val="zh-TW" w:eastAsia="zh-TW"/>
              </w:rPr>
              <w:t>从上表可以看出，施工机械施工时，昼间</w:t>
            </w:r>
            <w:r>
              <w:rPr>
                <w:rFonts w:hint="default" w:ascii="Times New Roman" w:hAnsi="Times New Roman" w:eastAsia="宋体" w:cs="Times New Roman"/>
                <w:color w:val="auto"/>
                <w:sz w:val="24"/>
                <w:highlight w:val="none"/>
                <w:lang w:val="en-US" w:eastAsia="zh-CN"/>
              </w:rPr>
              <w:t>30</w:t>
            </w:r>
            <w:r>
              <w:rPr>
                <w:rFonts w:hint="default" w:ascii="Times New Roman" w:hAnsi="Times New Roman" w:eastAsia="宋体" w:cs="Times New Roman"/>
                <w:color w:val="auto"/>
                <w:sz w:val="24"/>
                <w:highlight w:val="none"/>
                <w:lang w:val="zh-TW" w:eastAsia="zh-TW"/>
              </w:rPr>
              <w:t>m以外可满足《</w:t>
            </w:r>
            <w:r>
              <w:rPr>
                <w:rFonts w:hint="default" w:ascii="Times New Roman" w:hAnsi="Times New Roman" w:eastAsia="宋体" w:cs="Times New Roman"/>
                <w:color w:val="auto"/>
                <w:sz w:val="24"/>
                <w:highlight w:val="none"/>
                <w:lang w:val="zh-TW" w:eastAsia="zh-TW"/>
              </w:rPr>
              <w:fldChar w:fldCharType="begin"/>
            </w:r>
            <w:r>
              <w:rPr>
                <w:rFonts w:hint="default" w:ascii="Times New Roman" w:hAnsi="Times New Roman" w:eastAsia="宋体" w:cs="Times New Roman"/>
                <w:color w:val="auto"/>
                <w:sz w:val="24"/>
                <w:highlight w:val="none"/>
                <w:lang w:val="zh-TW" w:eastAsia="zh-TW"/>
              </w:rPr>
              <w:instrText xml:space="preserve"> HYPERLINK "https://www.mee.gov.cn/ywgz/fgbz/bz/bzwb/wlhj/hjzspfbz/202512/W020251211372008803765.pdf" </w:instrText>
            </w:r>
            <w:r>
              <w:rPr>
                <w:rFonts w:hint="default" w:ascii="Times New Roman" w:hAnsi="Times New Roman" w:eastAsia="宋体" w:cs="Times New Roman"/>
                <w:color w:val="auto"/>
                <w:sz w:val="24"/>
                <w:highlight w:val="none"/>
                <w:lang w:val="zh-TW" w:eastAsia="zh-TW"/>
              </w:rPr>
              <w:fldChar w:fldCharType="separate"/>
            </w:r>
            <w:r>
              <w:rPr>
                <w:rFonts w:hint="default" w:ascii="Times New Roman" w:hAnsi="Times New Roman" w:eastAsia="宋体" w:cs="Times New Roman"/>
                <w:color w:val="auto"/>
                <w:sz w:val="24"/>
                <w:highlight w:val="none"/>
                <w:lang w:val="zh-TW" w:eastAsia="zh-TW"/>
              </w:rPr>
              <w:t>建筑施工噪声排放标准</w:t>
            </w:r>
            <w:r>
              <w:rPr>
                <w:rFonts w:hint="default" w:ascii="Times New Roman" w:hAnsi="Times New Roman" w:eastAsia="宋体" w:cs="Times New Roman"/>
                <w:color w:val="auto"/>
                <w:sz w:val="24"/>
                <w:highlight w:val="none"/>
                <w:lang w:val="zh-TW" w:eastAsia="zh-TW"/>
              </w:rPr>
              <w:fldChar w:fldCharType="end"/>
            </w:r>
            <w:r>
              <w:rPr>
                <w:rFonts w:hint="default" w:ascii="Times New Roman" w:hAnsi="Times New Roman" w:eastAsia="宋体" w:cs="Times New Roman"/>
                <w:color w:val="auto"/>
                <w:sz w:val="24"/>
                <w:highlight w:val="none"/>
                <w:lang w:val="zh-TW" w:eastAsia="zh-TW"/>
              </w:rPr>
              <w:t>》（GB12523—2025）要求。</w:t>
            </w:r>
          </w:p>
          <w:p w14:paraId="123C4AA0">
            <w:pPr>
              <w:adjustRightInd w:val="0"/>
              <w:snapToGrid w:val="0"/>
              <w:spacing w:line="360" w:lineRule="auto"/>
              <w:ind w:firstLine="480" w:firstLineChars="200"/>
              <w:rPr>
                <w:rFonts w:hint="default" w:ascii="Times New Roman" w:hAnsi="Times New Roman" w:eastAsia="宋体" w:cs="Times New Roman"/>
                <w:color w:val="auto"/>
                <w:sz w:val="24"/>
                <w:highlight w:val="none"/>
                <w:lang w:val="zh-TW" w:eastAsia="zh-TW"/>
              </w:rPr>
            </w:pPr>
            <w:r>
              <w:rPr>
                <w:rFonts w:hint="default" w:ascii="Times New Roman" w:hAnsi="Times New Roman" w:eastAsia="宋体" w:cs="Times New Roman"/>
                <w:color w:val="auto"/>
                <w:sz w:val="24"/>
                <w:highlight w:val="none"/>
                <w:lang w:val="en-US" w:eastAsia="zh-CN"/>
              </w:rPr>
              <w:t>为减小噪声对外环境的影响，本环评提出</w:t>
            </w:r>
            <w:r>
              <w:rPr>
                <w:rFonts w:hint="default" w:ascii="Times New Roman" w:hAnsi="Times New Roman" w:eastAsia="宋体" w:cs="Times New Roman"/>
                <w:color w:val="auto"/>
                <w:sz w:val="24"/>
                <w:highlight w:val="none"/>
                <w:lang w:val="zh-TW" w:eastAsia="zh-TW"/>
              </w:rPr>
              <w:t>项目采取以下措施进行控制：</w:t>
            </w:r>
          </w:p>
          <w:p w14:paraId="10192A78">
            <w:pPr>
              <w:adjustRightInd w:val="0"/>
              <w:snapToGrid w:val="0"/>
              <w:spacing w:line="360" w:lineRule="auto"/>
              <w:ind w:firstLine="480" w:firstLineChars="200"/>
              <w:rPr>
                <w:rFonts w:hint="default" w:ascii="Times New Roman" w:hAnsi="Times New Roman" w:eastAsia="宋体" w:cs="Times New Roman"/>
                <w:color w:val="auto"/>
                <w:sz w:val="24"/>
                <w:highlight w:val="none"/>
                <w:lang w:val="zh-TW" w:eastAsia="zh-TW"/>
              </w:rPr>
            </w:pPr>
            <w:r>
              <w:rPr>
                <w:rFonts w:hint="default" w:ascii="Times New Roman" w:hAnsi="Times New Roman" w:eastAsia="宋体" w:cs="Times New Roman"/>
                <w:color w:val="auto"/>
                <w:sz w:val="24"/>
                <w:highlight w:val="none"/>
                <w:lang w:val="zh-TW" w:eastAsia="zh-TW"/>
              </w:rPr>
              <w:t>①从声源上控制：尽量使用性能好、低噪声机械设备，选用低噪声的工艺；</w:t>
            </w:r>
          </w:p>
          <w:p w14:paraId="3F067A67">
            <w:pPr>
              <w:adjustRightInd w:val="0"/>
              <w:snapToGrid w:val="0"/>
              <w:spacing w:line="360" w:lineRule="auto"/>
              <w:ind w:firstLine="480" w:firstLineChars="200"/>
              <w:rPr>
                <w:rFonts w:hint="default" w:ascii="Times New Roman" w:hAnsi="Times New Roman" w:eastAsia="宋体" w:cs="Times New Roman"/>
                <w:color w:val="auto"/>
                <w:sz w:val="24"/>
                <w:highlight w:val="none"/>
                <w:lang w:val="zh-TW" w:eastAsia="zh-TW"/>
              </w:rPr>
            </w:pPr>
            <w:r>
              <w:rPr>
                <w:rFonts w:hint="default" w:ascii="Times New Roman" w:hAnsi="Times New Roman" w:eastAsia="宋体" w:cs="Times New Roman"/>
                <w:color w:val="auto"/>
                <w:sz w:val="24"/>
                <w:highlight w:val="none"/>
                <w:lang w:val="zh-TW" w:eastAsia="zh-TW"/>
              </w:rPr>
              <w:t>②禁止切割机、电锯、装载机等高噪声设备同时施工，以降低噪声源强；</w:t>
            </w:r>
          </w:p>
          <w:p w14:paraId="4AE32410">
            <w:pPr>
              <w:adjustRightInd w:val="0"/>
              <w:snapToGrid w:val="0"/>
              <w:spacing w:line="360" w:lineRule="auto"/>
              <w:ind w:firstLine="480" w:firstLineChars="200"/>
              <w:rPr>
                <w:rFonts w:hint="default" w:ascii="Times New Roman" w:hAnsi="Times New Roman" w:eastAsia="宋体" w:cs="Times New Roman"/>
                <w:color w:val="auto"/>
                <w:sz w:val="24"/>
                <w:highlight w:val="none"/>
                <w:lang w:val="zh-TW" w:eastAsia="zh-TW"/>
              </w:rPr>
            </w:pPr>
            <w:r>
              <w:rPr>
                <w:rFonts w:hint="default" w:ascii="Times New Roman" w:hAnsi="Times New Roman" w:eastAsia="宋体" w:cs="Times New Roman"/>
                <w:color w:val="auto"/>
                <w:sz w:val="24"/>
                <w:highlight w:val="none"/>
                <w:lang w:val="zh-TW" w:eastAsia="zh-TW"/>
              </w:rPr>
              <w:t>③合理布局施工机械设备；缩短施工期限，尽量合理安排工期，合理安排作业时序，禁止午间12:00至14:00及夜间22:00~次日6:00作业；</w:t>
            </w:r>
          </w:p>
          <w:p w14:paraId="1F39E769">
            <w:pPr>
              <w:adjustRightInd w:val="0"/>
              <w:snapToGrid w:val="0"/>
              <w:spacing w:line="360" w:lineRule="auto"/>
              <w:ind w:firstLine="480" w:firstLineChars="200"/>
              <w:rPr>
                <w:rFonts w:hint="default" w:ascii="Times New Roman" w:hAnsi="Times New Roman" w:eastAsia="宋体" w:cs="Times New Roman"/>
                <w:color w:val="auto"/>
                <w:sz w:val="24"/>
                <w:highlight w:val="none"/>
                <w:lang w:val="zh-TW" w:eastAsia="zh-TW"/>
              </w:rPr>
            </w:pPr>
            <w:r>
              <w:rPr>
                <w:rFonts w:hint="default" w:ascii="Times New Roman" w:hAnsi="Times New Roman" w:eastAsia="宋体" w:cs="Times New Roman"/>
                <w:color w:val="auto"/>
                <w:sz w:val="24"/>
                <w:highlight w:val="none"/>
                <w:lang w:val="zh-TW" w:eastAsia="zh-TW"/>
              </w:rPr>
              <w:t>④施工场地的施工车辆出入现场时应低速、禁鸣；</w:t>
            </w:r>
          </w:p>
          <w:p w14:paraId="053A6DC6">
            <w:pPr>
              <w:adjustRightInd w:val="0"/>
              <w:snapToGrid w:val="0"/>
              <w:spacing w:line="360" w:lineRule="auto"/>
              <w:ind w:firstLine="480" w:firstLineChars="200"/>
              <w:rPr>
                <w:rFonts w:hint="default" w:ascii="Times New Roman" w:hAnsi="Times New Roman" w:eastAsia="宋体" w:cs="Times New Roman"/>
                <w:color w:val="auto"/>
                <w:sz w:val="24"/>
                <w:highlight w:val="none"/>
                <w:lang w:val="zh-TW" w:eastAsia="zh-TW"/>
              </w:rPr>
            </w:pPr>
            <w:r>
              <w:rPr>
                <w:rFonts w:hint="default" w:ascii="Times New Roman" w:hAnsi="Times New Roman" w:eastAsia="宋体" w:cs="Times New Roman"/>
                <w:color w:val="auto"/>
                <w:sz w:val="24"/>
                <w:highlight w:val="none"/>
                <w:lang w:val="zh-TW" w:eastAsia="zh-TW"/>
              </w:rPr>
              <w:t>⑤加强施工机械的维修和保养，保证其良好的工作状态，以降低噪声源强。</w:t>
            </w:r>
          </w:p>
          <w:p w14:paraId="1C8C2DB9">
            <w:pPr>
              <w:adjustRightInd w:val="0"/>
              <w:snapToGrid w:val="0"/>
              <w:spacing w:line="360" w:lineRule="auto"/>
              <w:ind w:firstLine="482" w:firstLineChars="200"/>
              <w:rPr>
                <w:rFonts w:hint="default" w:ascii="Times New Roman" w:hAnsi="Times New Roman" w:eastAsia="宋体" w:cs="Times New Roman"/>
                <w:b/>
                <w:bCs/>
                <w:color w:val="auto"/>
                <w:sz w:val="24"/>
                <w:highlight w:val="none"/>
                <w:lang w:val="zh-TW" w:eastAsia="zh-TW"/>
              </w:rPr>
            </w:pPr>
            <w:r>
              <w:rPr>
                <w:rFonts w:hint="default"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lang w:val="zh-TW" w:eastAsia="zh-TW"/>
              </w:rPr>
              <w:t>、施工期噪声环境影响分析</w:t>
            </w:r>
          </w:p>
          <w:p w14:paraId="346981FA">
            <w:pPr>
              <w:pStyle w:val="95"/>
              <w:widowControl w:val="0"/>
              <w:adjustRightInd w:val="0"/>
              <w:snapToGrid w:val="0"/>
              <w:ind w:firstLine="480"/>
              <w:jc w:val="both"/>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rPr>
              <w:t>根据调查项目周边200m范围内无声环境敏感目标，</w:t>
            </w:r>
            <w:r>
              <w:rPr>
                <w:rFonts w:hint="default" w:ascii="Times New Roman" w:hAnsi="Times New Roman" w:eastAsia="宋体" w:cs="Times New Roman"/>
                <w:bCs/>
                <w:color w:val="auto"/>
                <w:kern w:val="0"/>
                <w:szCs w:val="21"/>
                <w:highlight w:val="none"/>
                <w:lang w:val="zh-TW" w:eastAsia="zh-TW"/>
              </w:rPr>
              <w:t>项目夜间不施工，项目</w:t>
            </w:r>
            <w:r>
              <w:rPr>
                <w:rFonts w:hint="default" w:ascii="Times New Roman" w:hAnsi="Times New Roman" w:eastAsia="宋体" w:cs="Times New Roman"/>
                <w:bCs/>
                <w:color w:val="auto"/>
                <w:kern w:val="0"/>
                <w:szCs w:val="21"/>
                <w:highlight w:val="none"/>
                <w:lang w:val="en-US" w:eastAsia="zh-CN"/>
              </w:rPr>
              <w:t>通过</w:t>
            </w:r>
            <w:r>
              <w:rPr>
                <w:rFonts w:hint="default" w:ascii="Times New Roman" w:hAnsi="Times New Roman" w:eastAsia="宋体" w:cs="Times New Roman"/>
                <w:bCs/>
                <w:color w:val="auto"/>
                <w:kern w:val="0"/>
                <w:szCs w:val="21"/>
                <w:highlight w:val="none"/>
                <w:lang w:val="zh-TW" w:eastAsia="zh-TW"/>
              </w:rPr>
              <w:t>合理安排施工机械施工时间，不同时使用施工机械设备、高噪声设备安装减震垫等措施进行降噪，在做好</w:t>
            </w:r>
            <w:r>
              <w:rPr>
                <w:rFonts w:hint="default" w:ascii="Times New Roman" w:hAnsi="Times New Roman" w:eastAsia="宋体" w:cs="Times New Roman"/>
                <w:bCs/>
                <w:color w:val="auto"/>
                <w:kern w:val="0"/>
                <w:szCs w:val="21"/>
                <w:highlight w:val="none"/>
                <w:lang w:val="en-US" w:eastAsia="zh-CN"/>
              </w:rPr>
              <w:t>以上</w:t>
            </w:r>
            <w:r>
              <w:rPr>
                <w:rFonts w:hint="default" w:ascii="Times New Roman" w:hAnsi="Times New Roman" w:eastAsia="宋体" w:cs="Times New Roman"/>
                <w:bCs/>
                <w:color w:val="auto"/>
                <w:kern w:val="0"/>
                <w:szCs w:val="21"/>
                <w:highlight w:val="none"/>
                <w:lang w:val="zh-TW" w:eastAsia="zh-TW"/>
              </w:rPr>
              <w:t>噪声防治措施后，</w:t>
            </w:r>
            <w:r>
              <w:rPr>
                <w:rFonts w:hint="default" w:ascii="Times New Roman" w:hAnsi="Times New Roman" w:eastAsia="宋体" w:cs="Times New Roman"/>
                <w:bCs/>
                <w:color w:val="auto"/>
                <w:kern w:val="0"/>
                <w:szCs w:val="21"/>
                <w:highlight w:val="none"/>
              </w:rPr>
              <w:t>施工场界噪声能满足《建筑施工噪声排放标准》（GB12523-2025）标准要求，</w:t>
            </w:r>
            <w:r>
              <w:rPr>
                <w:rFonts w:hint="default" w:ascii="Times New Roman" w:hAnsi="Times New Roman" w:eastAsia="宋体" w:cs="Times New Roman"/>
                <w:bCs/>
                <w:color w:val="auto"/>
                <w:kern w:val="0"/>
                <w:szCs w:val="21"/>
                <w:highlight w:val="none"/>
                <w:lang w:val="zh-TW" w:eastAsia="zh-TW"/>
              </w:rPr>
              <w:t>同时</w:t>
            </w:r>
            <w:r>
              <w:rPr>
                <w:rFonts w:hint="default" w:ascii="Times New Roman" w:hAnsi="Times New Roman" w:eastAsia="宋体" w:cs="Times New Roman"/>
                <w:bCs/>
                <w:color w:val="auto"/>
                <w:kern w:val="0"/>
                <w:szCs w:val="21"/>
                <w:highlight w:val="none"/>
                <w:lang w:val="zh-TW" w:eastAsia="zh-CN"/>
              </w:rPr>
              <w:t>，</w:t>
            </w:r>
            <w:r>
              <w:rPr>
                <w:rFonts w:hint="default" w:ascii="Times New Roman" w:hAnsi="Times New Roman" w:eastAsia="宋体" w:cs="Times New Roman"/>
                <w:bCs/>
                <w:color w:val="auto"/>
                <w:kern w:val="0"/>
                <w:szCs w:val="21"/>
                <w:highlight w:val="none"/>
                <w:lang w:val="zh-TW" w:eastAsia="zh-TW"/>
              </w:rPr>
              <w:t>施工期的噪声对周围环境的影响只是暂时的，随施工期的结束而结束。</w:t>
            </w:r>
            <w:r>
              <w:rPr>
                <w:rFonts w:hint="default" w:ascii="Times New Roman" w:hAnsi="Times New Roman" w:eastAsia="宋体" w:cs="Times New Roman"/>
                <w:bCs/>
                <w:color w:val="auto"/>
                <w:kern w:val="0"/>
                <w:szCs w:val="21"/>
                <w:highlight w:val="none"/>
              </w:rPr>
              <w:t>施工噪声对周围环境影响不大，是可以接受的。</w:t>
            </w:r>
          </w:p>
          <w:p w14:paraId="4EAC23C5">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（四）施工期固体废物影响分析</w:t>
            </w:r>
          </w:p>
          <w:p w14:paraId="3CE50F23">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1、施工期固体废物产生情况</w:t>
            </w:r>
          </w:p>
          <w:p w14:paraId="3A829200">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施工期产生的固体废物主要为废弃土石方、建筑垃圾及少量施工人员的生活垃圾。</w:t>
            </w:r>
          </w:p>
          <w:p w14:paraId="3E27CD23">
            <w:pPr>
              <w:adjustRightInd w:val="0"/>
              <w:ind w:firstLine="480"/>
              <w:rPr>
                <w:rFonts w:hint="default" w:ascii="Times New Roman" w:hAnsi="Times New Roman" w:eastAsia="宋体" w:cs="Times New Roman"/>
                <w:bCs/>
                <w:color w:val="auto"/>
                <w:kern w:val="0"/>
                <w:szCs w:val="21"/>
                <w:highlight w:val="none"/>
              </w:rPr>
            </w:pPr>
            <w:r>
              <w:rPr>
                <w:rFonts w:hint="default" w:ascii="Times New Roman" w:hAnsi="Times New Roman" w:cs="Times New Roman"/>
                <w:bCs/>
                <w:color w:val="auto"/>
                <w:kern w:val="0"/>
                <w:szCs w:val="21"/>
                <w:highlight w:val="none"/>
              </w:rPr>
              <w:t>（1</w:t>
            </w:r>
            <w:r>
              <w:rPr>
                <w:rFonts w:hint="default" w:ascii="Times New Roman" w:hAnsi="Times New Roman" w:eastAsia="宋体" w:cs="Times New Roman"/>
                <w:bCs/>
                <w:color w:val="auto"/>
                <w:kern w:val="0"/>
                <w:szCs w:val="21"/>
                <w:highlight w:val="none"/>
              </w:rPr>
              <w:t>）废弃土石方</w:t>
            </w:r>
          </w:p>
          <w:p w14:paraId="17F587F7">
            <w:pPr>
              <w:adjustRightInd w:val="0"/>
              <w:snapToGrid w:val="0"/>
              <w:ind w:left="0" w:leftChars="0" w:firstLine="480" w:firstLineChars="200"/>
              <w:rPr>
                <w:rFonts w:hint="default" w:ascii="Times New Roman" w:hAnsi="Times New Roman" w:eastAsia="宋体" w:cs="Times New Roman"/>
                <w:bCs/>
                <w:color w:val="auto"/>
                <w:kern w:val="0"/>
                <w:szCs w:val="21"/>
                <w:highlight w:val="none"/>
                <w:lang w:val="en-US"/>
              </w:rPr>
            </w:pPr>
            <w:r>
              <w:rPr>
                <w:rFonts w:hint="default" w:ascii="Times New Roman" w:hAnsi="Times New Roman" w:cs="Times New Roman"/>
                <w:bCs/>
                <w:color w:val="auto"/>
                <w:highlight w:val="none"/>
              </w:rPr>
              <w:t>项目施工期间主要为</w:t>
            </w:r>
            <w:r>
              <w:rPr>
                <w:rFonts w:hint="default" w:ascii="Times New Roman" w:hAnsi="Times New Roman" w:cs="Times New Roman"/>
                <w:bCs/>
                <w:color w:val="auto"/>
                <w:highlight w:val="none"/>
                <w:lang w:val="en-US" w:eastAsia="zh-CN"/>
              </w:rPr>
              <w:t>办公生活区、工业场地、</w:t>
            </w:r>
            <w:r>
              <w:rPr>
                <w:rFonts w:hint="default" w:ascii="Times New Roman" w:hAnsi="Times New Roman" w:cs="Times New Roman"/>
                <w:bCs/>
                <w:color w:val="auto"/>
                <w:highlight w:val="none"/>
              </w:rPr>
              <w:t>截</w:t>
            </w:r>
            <w:r>
              <w:rPr>
                <w:rFonts w:hint="default" w:ascii="Times New Roman" w:hAnsi="Times New Roman" w:cs="Times New Roman"/>
                <w:bCs/>
                <w:color w:val="auto"/>
                <w:highlight w:val="none"/>
                <w:lang w:val="en-US" w:eastAsia="zh-CN"/>
              </w:rPr>
              <w:t>排</w:t>
            </w:r>
            <w:r>
              <w:rPr>
                <w:rFonts w:hint="default" w:ascii="Times New Roman" w:hAnsi="Times New Roman" w:cs="Times New Roman"/>
                <w:bCs/>
                <w:color w:val="auto"/>
                <w:highlight w:val="none"/>
              </w:rPr>
              <w:t>水沟及</w:t>
            </w:r>
            <w:r>
              <w:rPr>
                <w:rFonts w:hint="default" w:ascii="Times New Roman" w:hAnsi="Times New Roman" w:cs="Times New Roman"/>
                <w:bCs/>
                <w:color w:val="auto"/>
                <w:highlight w:val="none"/>
                <w:lang w:eastAsia="zh-CN"/>
              </w:rPr>
              <w:t>沉砂池</w:t>
            </w:r>
            <w:r>
              <w:rPr>
                <w:rFonts w:hint="default" w:ascii="Times New Roman" w:hAnsi="Times New Roman" w:cs="Times New Roman"/>
                <w:bCs/>
                <w:color w:val="auto"/>
                <w:highlight w:val="none"/>
                <w:lang w:val="en-US" w:eastAsia="zh-CN"/>
              </w:rPr>
              <w:t>的</w:t>
            </w:r>
            <w:r>
              <w:rPr>
                <w:rFonts w:hint="default" w:ascii="Times New Roman" w:hAnsi="Times New Roman" w:cs="Times New Roman"/>
                <w:bCs/>
                <w:color w:val="auto"/>
                <w:highlight w:val="none"/>
              </w:rPr>
              <w:t>建设、生产设备安装等</w:t>
            </w:r>
            <w:r>
              <w:rPr>
                <w:rFonts w:hint="default" w:ascii="Times New Roman" w:hAnsi="Times New Roman" w:cs="Times New Roman"/>
                <w:bCs/>
                <w:color w:val="auto"/>
                <w:highlight w:val="none"/>
                <w:vertAlign w:val="baseline"/>
                <w:lang w:val="en-US" w:eastAsia="zh-CN"/>
              </w:rPr>
              <w:t>，</w:t>
            </w:r>
            <w:r>
              <w:rPr>
                <w:rFonts w:hint="eastAsia"/>
                <w:caps w:val="0"/>
                <w:smallCaps w:val="0"/>
                <w:color w:val="auto"/>
                <w:lang w:val="en-US" w:eastAsia="zh-CN"/>
              </w:rPr>
              <w:t>施工期</w:t>
            </w:r>
            <w:r>
              <w:rPr>
                <w:rFonts w:hint="eastAsia" w:ascii="Times New Roman" w:hAnsi="Times New Roman"/>
                <w:caps w:val="0"/>
                <w:smallCaps w:val="0"/>
                <w:color w:val="auto"/>
              </w:rPr>
              <w:t>项目区土石方开挖总量</w:t>
            </w:r>
            <w:r>
              <w:rPr>
                <w:rFonts w:hint="eastAsia"/>
                <w:caps w:val="0"/>
                <w:smallCaps w:val="0"/>
                <w:color w:val="auto"/>
                <w:lang w:val="en-US" w:eastAsia="zh-CN"/>
              </w:rPr>
              <w:t>0.2</w:t>
            </w:r>
            <w:r>
              <w:rPr>
                <w:rFonts w:hint="eastAsia" w:ascii="Times New Roman" w:hAnsi="Times New Roman"/>
                <w:caps w:val="0"/>
                <w:smallCaps w:val="0"/>
                <w:color w:val="auto"/>
              </w:rPr>
              <w:t>万m³（其中一般土石方</w:t>
            </w:r>
            <w:r>
              <w:rPr>
                <w:rFonts w:hint="eastAsia"/>
                <w:caps w:val="0"/>
                <w:smallCaps w:val="0"/>
                <w:color w:val="auto"/>
                <w:lang w:val="en-US" w:eastAsia="zh-CN"/>
              </w:rPr>
              <w:t>0.15</w:t>
            </w:r>
            <w:r>
              <w:rPr>
                <w:rFonts w:hint="eastAsia" w:ascii="Times New Roman" w:hAnsi="Times New Roman"/>
                <w:caps w:val="0"/>
                <w:smallCaps w:val="0"/>
                <w:color w:val="auto"/>
              </w:rPr>
              <w:t>万m³，表土</w:t>
            </w:r>
            <w:r>
              <w:rPr>
                <w:rFonts w:hint="eastAsia"/>
                <w:caps w:val="0"/>
                <w:smallCaps w:val="0"/>
                <w:color w:val="auto"/>
                <w:lang w:val="en-US" w:eastAsia="zh-CN"/>
              </w:rPr>
              <w:t>0.05</w:t>
            </w:r>
            <w:r>
              <w:rPr>
                <w:rFonts w:hint="eastAsia" w:ascii="Times New Roman" w:hAnsi="Times New Roman"/>
                <w:caps w:val="0"/>
                <w:smallCaps w:val="0"/>
                <w:color w:val="auto"/>
              </w:rPr>
              <w:t>万m³），土石方回填总量</w:t>
            </w:r>
            <w:r>
              <w:rPr>
                <w:rFonts w:hint="eastAsia"/>
                <w:caps w:val="0"/>
                <w:smallCaps w:val="0"/>
                <w:color w:val="auto"/>
                <w:lang w:val="en-US" w:eastAsia="zh-CN"/>
              </w:rPr>
              <w:t>0.15</w:t>
            </w:r>
            <w:r>
              <w:rPr>
                <w:rFonts w:hint="eastAsia" w:ascii="Times New Roman" w:hAnsi="Times New Roman"/>
                <w:caps w:val="0"/>
                <w:smallCaps w:val="0"/>
                <w:color w:val="auto"/>
              </w:rPr>
              <w:t>万m³，调出至</w:t>
            </w:r>
            <w:r>
              <w:rPr>
                <w:rFonts w:hint="eastAsia"/>
                <w:caps w:val="0"/>
                <w:smallCaps w:val="0"/>
                <w:color w:val="auto"/>
                <w:lang w:val="en-US" w:eastAsia="zh-CN"/>
              </w:rPr>
              <w:t>临时表土堆场</w:t>
            </w:r>
            <w:r>
              <w:rPr>
                <w:rFonts w:hint="eastAsia" w:ascii="Times New Roman" w:hAnsi="Times New Roman"/>
                <w:caps w:val="0"/>
                <w:smallCaps w:val="0"/>
                <w:color w:val="auto"/>
              </w:rPr>
              <w:t>堆放</w:t>
            </w:r>
            <w:r>
              <w:rPr>
                <w:rFonts w:hint="eastAsia"/>
                <w:caps w:val="0"/>
                <w:smallCaps w:val="0"/>
                <w:color w:val="auto"/>
                <w:lang w:val="en-US" w:eastAsia="zh-CN"/>
              </w:rPr>
              <w:t>0.05</w:t>
            </w:r>
            <w:r>
              <w:rPr>
                <w:rFonts w:hint="eastAsia" w:ascii="Times New Roman" w:hAnsi="Times New Roman"/>
                <w:caps w:val="0"/>
                <w:smallCaps w:val="0"/>
                <w:color w:val="auto"/>
              </w:rPr>
              <w:t>万m³</w:t>
            </w:r>
            <w:r>
              <w:rPr>
                <w:rFonts w:hint="eastAsia"/>
                <w:caps w:val="0"/>
                <w:smallCaps w:val="0"/>
                <w:color w:val="auto"/>
                <w:lang w:eastAsia="zh-CN"/>
              </w:rPr>
              <w:t>土石方（其中表土</w:t>
            </w:r>
            <w:r>
              <w:rPr>
                <w:rFonts w:hint="eastAsia"/>
                <w:caps w:val="0"/>
                <w:smallCaps w:val="0"/>
                <w:color w:val="auto"/>
                <w:lang w:val="en-US" w:eastAsia="zh-CN"/>
              </w:rPr>
              <w:t>0.03</w:t>
            </w:r>
            <w:r>
              <w:rPr>
                <w:rFonts w:hint="eastAsia" w:ascii="Times New Roman" w:hAnsi="Times New Roman"/>
                <w:caps w:val="0"/>
                <w:smallCaps w:val="0"/>
                <w:color w:val="auto"/>
              </w:rPr>
              <w:t>万m³</w:t>
            </w:r>
            <w:r>
              <w:rPr>
                <w:rFonts w:hint="eastAsia" w:ascii="Times New Roman" w:hAnsi="Times New Roman"/>
                <w:caps w:val="0"/>
                <w:smallCaps w:val="0"/>
                <w:color w:val="auto"/>
                <w:lang w:eastAsia="zh-CN"/>
              </w:rPr>
              <w:t>，废石</w:t>
            </w:r>
            <w:r>
              <w:rPr>
                <w:rFonts w:hint="eastAsia" w:ascii="Times New Roman" w:hAnsi="Times New Roman"/>
                <w:caps w:val="0"/>
                <w:smallCaps w:val="0"/>
                <w:color w:val="auto"/>
                <w:lang w:val="en-US" w:eastAsia="zh-CN"/>
              </w:rPr>
              <w:t>0.0</w:t>
            </w:r>
            <w:r>
              <w:rPr>
                <w:rFonts w:hint="eastAsia"/>
                <w:caps w:val="0"/>
                <w:smallCaps w:val="0"/>
                <w:color w:val="auto"/>
                <w:lang w:val="en-US" w:eastAsia="zh-CN"/>
              </w:rPr>
              <w:t>2</w:t>
            </w:r>
            <w:r>
              <w:rPr>
                <w:rFonts w:hint="eastAsia" w:ascii="Times New Roman" w:hAnsi="Times New Roman"/>
                <w:caps w:val="0"/>
                <w:smallCaps w:val="0"/>
                <w:color w:val="auto"/>
              </w:rPr>
              <w:t>万m³</w:t>
            </w:r>
            <w:r>
              <w:rPr>
                <w:rFonts w:hint="eastAsia"/>
                <w:caps w:val="0"/>
                <w:smallCaps w:val="0"/>
                <w:color w:val="auto"/>
                <w:lang w:eastAsia="zh-CN"/>
              </w:rPr>
              <w:t>），</w:t>
            </w:r>
            <w:r>
              <w:rPr>
                <w:rFonts w:hint="default" w:ascii="Times New Roman" w:hAnsi="Times New Roman" w:cs="Times New Roman"/>
                <w:color w:val="auto"/>
                <w:sz w:val="24"/>
              </w:rPr>
              <w:t>用于</w:t>
            </w:r>
            <w:r>
              <w:rPr>
                <w:rFonts w:hint="eastAsia" w:cs="Times New Roman"/>
                <w:color w:val="auto"/>
                <w:sz w:val="24"/>
                <w:lang w:val="en-US" w:eastAsia="zh-CN"/>
              </w:rPr>
              <w:t>后续矿区</w:t>
            </w:r>
            <w:r>
              <w:rPr>
                <w:rFonts w:hint="default" w:ascii="Times New Roman" w:hAnsi="Times New Roman" w:cs="Times New Roman"/>
                <w:color w:val="auto"/>
                <w:sz w:val="24"/>
              </w:rPr>
              <w:t>绿化覆土使用</w:t>
            </w:r>
            <w:r>
              <w:rPr>
                <w:rFonts w:hint="eastAsia" w:ascii="Times New Roman" w:hAnsi="Times New Roman"/>
                <w:caps w:val="0"/>
                <w:smallCaps w:val="0"/>
                <w:color w:val="auto"/>
              </w:rPr>
              <w:t>。</w:t>
            </w:r>
          </w:p>
          <w:p w14:paraId="416DD6D0">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（2）建筑垃圾</w:t>
            </w:r>
          </w:p>
          <w:p w14:paraId="2DD6B95D">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施工期间产生的建筑垃圾主要是施工过程中产生的各种废建筑材料，如碎砖块、材料包装袋等。产生的建筑废料应进行充分回收利用，不能回收利用的部分应给予统一收集，不能随意丢弃，统一收集后运往城建部门指定地点进行处置。</w:t>
            </w:r>
          </w:p>
          <w:p w14:paraId="2191E96C">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（3）生活垃圾</w:t>
            </w:r>
          </w:p>
          <w:p w14:paraId="75B49665">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项目施工期共</w:t>
            </w:r>
            <w:r>
              <w:rPr>
                <w:rFonts w:hint="default" w:ascii="Times New Roman" w:hAnsi="Times New Roman" w:cs="Times New Roman"/>
                <w:bCs/>
                <w:color w:val="auto"/>
                <w:kern w:val="0"/>
                <w:szCs w:val="21"/>
                <w:highlight w:val="none"/>
                <w:lang w:val="en-US" w:eastAsia="zh-CN"/>
              </w:rPr>
              <w:t>20</w:t>
            </w:r>
            <w:r>
              <w:rPr>
                <w:rFonts w:hint="default" w:ascii="Times New Roman" w:hAnsi="Times New Roman" w:cs="Times New Roman"/>
                <w:bCs/>
                <w:color w:val="auto"/>
                <w:kern w:val="0"/>
                <w:szCs w:val="21"/>
                <w:highlight w:val="none"/>
              </w:rPr>
              <w:t>名施工人员，不在项目区内食宿，生活垃圾的产生量按0.25kg/人·d计，则生活垃圾产生量为</w:t>
            </w:r>
            <w:r>
              <w:rPr>
                <w:rFonts w:hint="default" w:ascii="Times New Roman" w:hAnsi="Times New Roman" w:cs="Times New Roman"/>
                <w:bCs/>
                <w:color w:val="auto"/>
                <w:kern w:val="0"/>
                <w:szCs w:val="21"/>
                <w:highlight w:val="none"/>
                <w:lang w:val="en-US" w:eastAsia="zh-CN"/>
              </w:rPr>
              <w:t>5</w:t>
            </w:r>
            <w:r>
              <w:rPr>
                <w:rFonts w:hint="default" w:ascii="Times New Roman" w:hAnsi="Times New Roman" w:cs="Times New Roman"/>
                <w:bCs/>
                <w:color w:val="auto"/>
                <w:kern w:val="0"/>
                <w:szCs w:val="21"/>
                <w:highlight w:val="none"/>
              </w:rPr>
              <w:t>kg/d，生活垃圾经过</w:t>
            </w:r>
            <w:bookmarkStart w:id="28" w:name="_Hlk216969523"/>
            <w:r>
              <w:rPr>
                <w:rFonts w:hint="default" w:ascii="Times New Roman" w:hAnsi="Times New Roman" w:cs="Times New Roman"/>
                <w:bCs/>
                <w:color w:val="auto"/>
                <w:kern w:val="0"/>
                <w:szCs w:val="21"/>
                <w:highlight w:val="none"/>
              </w:rPr>
              <w:t>统一收集后委托环卫部门清运处置</w:t>
            </w:r>
            <w:bookmarkEnd w:id="28"/>
            <w:r>
              <w:rPr>
                <w:rFonts w:hint="default" w:ascii="Times New Roman" w:hAnsi="Times New Roman" w:cs="Times New Roman"/>
                <w:bCs/>
                <w:color w:val="auto"/>
                <w:kern w:val="0"/>
                <w:szCs w:val="21"/>
                <w:highlight w:val="none"/>
              </w:rPr>
              <w:t>。</w:t>
            </w:r>
          </w:p>
          <w:p w14:paraId="2BFA8971">
            <w:pPr>
              <w:adjustRightInd w:val="0"/>
              <w:ind w:firstLine="482"/>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2、施工期固废影响分析</w:t>
            </w:r>
          </w:p>
          <w:p w14:paraId="45778B7E">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项目施工期土石方</w:t>
            </w:r>
            <w:r>
              <w:rPr>
                <w:rFonts w:hint="default" w:ascii="Times New Roman" w:hAnsi="Times New Roman" w:cs="Times New Roman"/>
                <w:bCs/>
                <w:color w:val="auto"/>
                <w:kern w:val="0"/>
                <w:szCs w:val="21"/>
                <w:highlight w:val="none"/>
                <w:lang w:val="en-US" w:eastAsia="zh-CN"/>
              </w:rPr>
              <w:t>全部</w:t>
            </w:r>
            <w:r>
              <w:rPr>
                <w:rFonts w:hint="default" w:ascii="Times New Roman" w:hAnsi="Times New Roman" w:cs="Times New Roman"/>
                <w:bCs/>
                <w:color w:val="auto"/>
                <w:kern w:val="0"/>
                <w:szCs w:val="21"/>
                <w:highlight w:val="none"/>
              </w:rPr>
              <w:t>回填；建筑垃圾能回收利用的回收利用，不能回收利用的清运至住建部门指定的地方堆存，生活垃圾统一收集后委托环卫部门清运处置。项目施工期固废处置可达100%，对周围环境影响不大。</w:t>
            </w:r>
          </w:p>
          <w:p w14:paraId="162F39A4">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（五）施工期生态环境影响分析</w:t>
            </w:r>
          </w:p>
          <w:p w14:paraId="2CC30C64">
            <w:pPr>
              <w:adjustRightInd w:val="0"/>
              <w:ind w:firstLine="482"/>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1、对土地利用的影响</w:t>
            </w:r>
          </w:p>
          <w:p w14:paraId="47ACCF10">
            <w:pPr>
              <w:ind w:firstLine="480"/>
              <w:rPr>
                <w:rFonts w:hint="default"/>
                <w:color w:val="auto"/>
                <w:highlight w:val="none"/>
                <w:lang w:val="en-US" w:eastAsia="zh-CN"/>
              </w:rPr>
            </w:pPr>
            <w:r>
              <w:rPr>
                <w:rFonts w:hint="default" w:ascii="Times New Roman" w:hAnsi="Times New Roman" w:cs="Times New Roman"/>
                <w:bCs/>
                <w:color w:val="auto"/>
                <w:kern w:val="0"/>
                <w:szCs w:val="21"/>
                <w:highlight w:val="none"/>
              </w:rPr>
              <w:t>项目施工期主要进行道路、</w:t>
            </w:r>
            <w:r>
              <w:rPr>
                <w:rFonts w:hint="default" w:ascii="Times New Roman" w:hAnsi="Times New Roman" w:cs="Times New Roman"/>
                <w:bCs/>
                <w:color w:val="auto"/>
                <w:kern w:val="0"/>
                <w:szCs w:val="21"/>
                <w:highlight w:val="none"/>
                <w:lang w:val="en-US" w:eastAsia="zh-CN"/>
              </w:rPr>
              <w:t>工业场地区、办公生活区</w:t>
            </w:r>
            <w:r>
              <w:rPr>
                <w:rFonts w:hint="default" w:ascii="Times New Roman" w:hAnsi="Times New Roman" w:cs="Times New Roman"/>
                <w:bCs/>
                <w:color w:val="auto"/>
                <w:kern w:val="0"/>
                <w:szCs w:val="21"/>
                <w:highlight w:val="none"/>
              </w:rPr>
              <w:t>及截（排）水沟建设等，项目区占地土地利用现状为</w:t>
            </w:r>
            <w:r>
              <w:rPr>
                <w:rFonts w:hint="default" w:ascii="Times New Roman" w:hAnsi="Times New Roman" w:cs="Times New Roman"/>
                <w:bCs/>
                <w:color w:val="auto"/>
                <w:kern w:val="0"/>
                <w:szCs w:val="21"/>
                <w:highlight w:val="none"/>
                <w:lang w:val="en-US" w:eastAsia="zh-CN"/>
              </w:rPr>
              <w:t>林地、</w:t>
            </w:r>
            <w:r>
              <w:rPr>
                <w:rFonts w:hint="default" w:ascii="Times New Roman" w:hAnsi="Times New Roman" w:cs="Times New Roman"/>
                <w:bCs/>
                <w:color w:val="auto"/>
                <w:kern w:val="0"/>
                <w:szCs w:val="21"/>
                <w:highlight w:val="none"/>
              </w:rPr>
              <w:t>草地，</w:t>
            </w:r>
            <w:r>
              <w:rPr>
                <w:rFonts w:hint="default" w:ascii="Times New Roman" w:hAnsi="Times New Roman" w:cs="Times New Roman"/>
                <w:bCs/>
                <w:color w:val="auto"/>
                <w:kern w:val="0"/>
                <w:szCs w:val="21"/>
                <w:highlight w:val="none"/>
                <w:lang w:eastAsia="zh-CN"/>
              </w:rPr>
              <w:t>随着矿山的建设开采，原有的土地利用类型将会发生变化，对生态环境产生影响，使区域自然体系的生产能力受到一定影响，区域内的生物量也将随之减少。项目施工期严格控制施工扰动面积，后期按照“边开采、边恢复”原则，落实复垦绿化恢复措施后，矿山占地范围内土地利用方式将会逐渐恢复原状，总体不会改变当地土地利用格局。</w:t>
            </w:r>
          </w:p>
          <w:p w14:paraId="2B6AF608">
            <w:pPr>
              <w:ind w:firstLine="480"/>
              <w:jc w:val="left"/>
              <w:rPr>
                <w:rFonts w:hint="default" w:ascii="Times New Roman" w:hAnsi="Times New Roman" w:cs="Times New Roman"/>
                <w:color w:val="auto"/>
                <w:szCs w:val="24"/>
                <w:highlight w:val="none"/>
              </w:rPr>
            </w:pPr>
            <w:r>
              <w:rPr>
                <w:rFonts w:hint="default" w:ascii="Times New Roman" w:hAnsi="Times New Roman" w:cs="Times New Roman"/>
                <w:bCs/>
                <w:color w:val="auto"/>
                <w:kern w:val="0"/>
                <w:szCs w:val="21"/>
                <w:highlight w:val="none"/>
              </w:rPr>
              <w:t>因此，项目施工期对土地利用的影响不会导致区域土地利用格局变化，且具有短期性和可恢复性，项目施工对土地利用的影响是可以接受的</w:t>
            </w:r>
            <w:r>
              <w:rPr>
                <w:rFonts w:hint="default" w:ascii="Times New Roman" w:hAnsi="Times New Roman" w:cs="Times New Roman"/>
                <w:color w:val="auto"/>
                <w:szCs w:val="24"/>
                <w:highlight w:val="none"/>
              </w:rPr>
              <w:t>。</w:t>
            </w:r>
          </w:p>
          <w:p w14:paraId="416D6414">
            <w:pPr>
              <w:ind w:firstLine="480"/>
              <w:rPr>
                <w:rFonts w:hint="default" w:ascii="Times New Roman" w:hAnsi="Times New Roman" w:cs="Times New Roman"/>
                <w:color w:val="auto"/>
                <w:szCs w:val="24"/>
                <w:highlight w:val="none"/>
              </w:rPr>
            </w:pPr>
            <w:r>
              <w:rPr>
                <w:rFonts w:hint="default" w:ascii="Times New Roman" w:hAnsi="Times New Roman" w:cs="Times New Roman"/>
                <w:b/>
                <w:bCs/>
                <w:color w:val="auto"/>
                <w:szCs w:val="24"/>
                <w:highlight w:val="none"/>
              </w:rPr>
              <w:t>2）对植物的影响</w:t>
            </w:r>
          </w:p>
          <w:p w14:paraId="1CA51E92">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lang w:val="en-US" w:eastAsia="zh-CN"/>
              </w:rPr>
              <w:t>项目范围内植被类型为暖温性针叶林、暖温性稀树灌木草丛，</w:t>
            </w:r>
            <w:r>
              <w:rPr>
                <w:rFonts w:hint="default" w:ascii="Times New Roman" w:hAnsi="Times New Roman" w:cs="Times New Roman"/>
                <w:color w:val="auto"/>
                <w:szCs w:val="24"/>
                <w:highlight w:val="none"/>
              </w:rPr>
              <w:t>工程施工将清除施工场地的植被，使区域的植被个体数量减少，受施工影响的都是区域常见的植物种类，工程将使项目区内的物种种群个体数量减少，但不会导致这些物种种群结构的明显改变，更不会导致物种的灭绝。</w:t>
            </w:r>
          </w:p>
          <w:p w14:paraId="05928F93">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施工期间噪声、粉尘、可能的塌方、施工人员的流动性和公路运输带来的外来物种的入侵等可能对植物造成一定影响。由于施工范围有限，粉尘对植物及其生境造成不会造成明显的影响；目前已有公路存在，外来物种入侵问题不会在现有基础上显著增加。</w:t>
            </w:r>
          </w:p>
          <w:p w14:paraId="629AA748">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工程施工将导致施工区裸地的增加，可能导致杂草的数量增加，也为入侵物种创造了入侵条件，使区域原有的物种结构发生改变，但随着水保措施的实施和临时占地的恢复，区域的物种结构将逐步得到恢复。</w:t>
            </w:r>
          </w:p>
          <w:p w14:paraId="62106DCA">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施工期间施工人员将会</w:t>
            </w:r>
            <w:r>
              <w:rPr>
                <w:rFonts w:hint="default" w:ascii="Times New Roman" w:hAnsi="Times New Roman" w:cs="Times New Roman"/>
                <w:color w:val="auto"/>
                <w:szCs w:val="24"/>
                <w:highlight w:val="none"/>
                <w:lang w:val="en-US" w:eastAsia="zh-CN"/>
              </w:rPr>
              <w:t>踩踏</w:t>
            </w:r>
            <w:r>
              <w:rPr>
                <w:rFonts w:hint="default" w:ascii="Times New Roman" w:hAnsi="Times New Roman" w:cs="Times New Roman"/>
                <w:color w:val="auto"/>
                <w:szCs w:val="24"/>
                <w:highlight w:val="none"/>
              </w:rPr>
              <w:t>施工区周围的草本植物，但施工结束后</w:t>
            </w:r>
            <w:r>
              <w:rPr>
                <w:rFonts w:hint="default" w:ascii="Times New Roman" w:hAnsi="Times New Roman" w:cs="Times New Roman"/>
                <w:color w:val="auto"/>
                <w:szCs w:val="24"/>
                <w:highlight w:val="none"/>
                <w:lang w:eastAsia="zh-CN"/>
              </w:rPr>
              <w:t>办公生活区</w:t>
            </w:r>
            <w:r>
              <w:rPr>
                <w:rFonts w:hint="default" w:ascii="Times New Roman" w:hAnsi="Times New Roman" w:cs="Times New Roman"/>
                <w:color w:val="auto"/>
                <w:szCs w:val="24"/>
                <w:highlight w:val="none"/>
              </w:rPr>
              <w:t>域及施工人员的</w:t>
            </w:r>
            <w:r>
              <w:rPr>
                <w:rFonts w:hint="default" w:ascii="Times New Roman" w:hAnsi="Times New Roman" w:cs="Times New Roman"/>
                <w:color w:val="auto"/>
                <w:szCs w:val="24"/>
                <w:highlight w:val="none"/>
                <w:lang w:eastAsia="zh-CN"/>
              </w:rPr>
              <w:t>踩踏</w:t>
            </w:r>
            <w:r>
              <w:rPr>
                <w:rFonts w:hint="default" w:ascii="Times New Roman" w:hAnsi="Times New Roman" w:cs="Times New Roman"/>
                <w:color w:val="auto"/>
                <w:szCs w:val="24"/>
                <w:highlight w:val="none"/>
              </w:rPr>
              <w:t>问题也将消失。施工区邻近区域的植被也将受到一定程度的损毁，如施工道路的建设等。随着工程的结束，这些影响将逐步减弱。</w:t>
            </w:r>
          </w:p>
          <w:p w14:paraId="59E7C1EB">
            <w:pPr>
              <w:ind w:firstLine="480"/>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lang w:val="en-US" w:eastAsia="zh-CN"/>
              </w:rPr>
              <w:t>3</w:t>
            </w:r>
            <w:r>
              <w:rPr>
                <w:rFonts w:hint="default" w:ascii="Times New Roman" w:hAnsi="Times New Roman" w:cs="Times New Roman"/>
                <w:b/>
                <w:bCs/>
                <w:color w:val="auto"/>
                <w:szCs w:val="24"/>
                <w:highlight w:val="none"/>
              </w:rPr>
              <w:t>）对野生动物的影响</w:t>
            </w:r>
          </w:p>
          <w:p w14:paraId="47FB3CDD">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建设期施工人员活动、机械车辆轰鸣等均会对区域野生动物的栖息、活动、觅食等造成一定的影响，</w:t>
            </w:r>
            <w:r>
              <w:rPr>
                <w:rFonts w:hint="default" w:ascii="Times New Roman" w:hAnsi="Times New Roman" w:cs="Times New Roman"/>
                <w:color w:val="auto"/>
                <w:szCs w:val="24"/>
                <w:highlight w:val="none"/>
                <w:lang w:val="en-US" w:eastAsia="zh-CN"/>
              </w:rPr>
              <w:t>根据现场调查及访问</w:t>
            </w:r>
            <w:r>
              <w:rPr>
                <w:rFonts w:hint="default" w:ascii="Times New Roman" w:hAnsi="Times New Roman" w:cs="Times New Roman"/>
                <w:color w:val="auto"/>
                <w:szCs w:val="24"/>
                <w:highlight w:val="none"/>
              </w:rPr>
              <w:t>本项目评价区</w:t>
            </w:r>
            <w:r>
              <w:rPr>
                <w:rFonts w:hint="default" w:ascii="Times New Roman" w:hAnsi="Times New Roman" w:cs="Times New Roman"/>
                <w:color w:val="auto"/>
                <w:szCs w:val="24"/>
                <w:highlight w:val="none"/>
                <w:lang w:val="en-US" w:eastAsia="zh-CN"/>
              </w:rPr>
              <w:t>未发现</w:t>
            </w:r>
            <w:r>
              <w:rPr>
                <w:rFonts w:hint="default" w:ascii="Times New Roman" w:hAnsi="Times New Roman" w:cs="Times New Roman"/>
                <w:color w:val="auto"/>
                <w:szCs w:val="24"/>
                <w:highlight w:val="none"/>
              </w:rPr>
              <w:t>国家重点保护</w:t>
            </w:r>
            <w:r>
              <w:rPr>
                <w:rFonts w:hint="default" w:ascii="Times New Roman" w:hAnsi="Times New Roman" w:cs="Times New Roman"/>
                <w:color w:val="auto"/>
                <w:szCs w:val="24"/>
                <w:highlight w:val="none"/>
                <w:lang w:val="en-US" w:eastAsia="zh-CN"/>
              </w:rPr>
              <w:t>野生</w:t>
            </w:r>
            <w:r>
              <w:rPr>
                <w:rFonts w:hint="default" w:ascii="Times New Roman" w:hAnsi="Times New Roman" w:cs="Times New Roman"/>
                <w:color w:val="auto"/>
                <w:szCs w:val="24"/>
                <w:highlight w:val="none"/>
              </w:rPr>
              <w:t>动物</w:t>
            </w:r>
            <w:r>
              <w:rPr>
                <w:rFonts w:hint="default" w:ascii="Times New Roman" w:hAnsi="Times New Roman" w:cs="Times New Roman"/>
                <w:color w:val="auto"/>
                <w:szCs w:val="24"/>
                <w:highlight w:val="none"/>
                <w:lang w:val="en-US" w:eastAsia="zh-CN"/>
              </w:rPr>
              <w:t>及云南省重点保护陆生野生动物的分布</w:t>
            </w:r>
            <w:r>
              <w:rPr>
                <w:rFonts w:hint="default" w:ascii="Times New Roman" w:hAnsi="Times New Roman" w:cs="Times New Roman"/>
                <w:color w:val="auto"/>
                <w:szCs w:val="24"/>
                <w:highlight w:val="none"/>
              </w:rPr>
              <w:t>，均为常见野生动物</w:t>
            </w: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lang w:val="en-US" w:eastAsia="zh-CN"/>
              </w:rPr>
              <w:t>如</w:t>
            </w:r>
            <w:r>
              <w:rPr>
                <w:rFonts w:hint="default" w:ascii="Times New Roman" w:hAnsi="Times New Roman" w:cs="Times New Roman"/>
                <w:color w:val="auto"/>
                <w:szCs w:val="24"/>
                <w:highlight w:val="none"/>
              </w:rPr>
              <w:t>野兔、鼠类、麻雀等。在当地常见野生动物的繁殖期、孵化期减少爆破施工，夜间停止施工，通过增加检修、保养及降低工程车辆速度使得施工机械对周围存在的野生动物影响降低。因此，建设期活动对野生动物的影响较小。</w:t>
            </w:r>
          </w:p>
          <w:p w14:paraId="270CDCEB">
            <w:pPr>
              <w:ind w:firstLine="480"/>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lang w:val="en-US" w:eastAsia="zh-CN"/>
              </w:rPr>
              <w:t>4</w:t>
            </w:r>
            <w:r>
              <w:rPr>
                <w:rFonts w:hint="default" w:ascii="Times New Roman" w:hAnsi="Times New Roman" w:cs="Times New Roman"/>
                <w:b/>
                <w:bCs/>
                <w:color w:val="auto"/>
                <w:szCs w:val="24"/>
                <w:highlight w:val="none"/>
              </w:rPr>
              <w:t>）水土流失的影响</w:t>
            </w:r>
          </w:p>
          <w:p w14:paraId="6B5A61B8">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区水土流失类型以水力侵蚀为主。矿区基建过程中对矿区植被、表土的挖损、破坏将加强区域内水土流失强度，但建设过程中地面扰动面积小，施工时间较为短暂，可通过加强管理、合理规划施工场地、加快施工进度、洒水降尘、对剥离表土实施保护临时堆存等措施来减少水土流失量，随着地面工程的完工，水土流失将趋于现状水平。</w:t>
            </w:r>
          </w:p>
          <w:p w14:paraId="4CF7C5A0">
            <w:pPr>
              <w:ind w:firstLine="480"/>
              <w:rPr>
                <w:rFonts w:hint="default" w:ascii="Times New Roman" w:hAnsi="Times New Roman" w:cs="Times New Roman"/>
                <w:b/>
                <w:bCs/>
                <w:color w:val="auto"/>
                <w:szCs w:val="24"/>
                <w:highlight w:val="none"/>
              </w:rPr>
            </w:pPr>
            <w:r>
              <w:rPr>
                <w:rFonts w:hint="default" w:ascii="Times New Roman" w:hAnsi="Times New Roman" w:cs="Times New Roman"/>
                <w:b/>
                <w:bCs/>
                <w:color w:val="auto"/>
                <w:szCs w:val="24"/>
                <w:highlight w:val="none"/>
              </w:rPr>
              <w:t>5）对矿区景观的影响</w:t>
            </w:r>
          </w:p>
          <w:p w14:paraId="58656EA1">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本项目建设期为</w:t>
            </w:r>
            <w:r>
              <w:rPr>
                <w:rFonts w:hint="eastAsia" w:cs="Times New Roman"/>
                <w:color w:val="auto"/>
                <w:szCs w:val="24"/>
                <w:highlight w:val="none"/>
                <w:lang w:val="en-US" w:eastAsia="zh-CN"/>
              </w:rPr>
              <w:t>6</w:t>
            </w:r>
            <w:r>
              <w:rPr>
                <w:rFonts w:hint="default" w:ascii="Times New Roman" w:hAnsi="Times New Roman" w:cs="Times New Roman"/>
                <w:color w:val="auto"/>
                <w:szCs w:val="24"/>
                <w:highlight w:val="none"/>
              </w:rPr>
              <w:t>个月，开挖、整地、填土、平地、填方及建筑材料的堆存摆放，使本项目在评价区范围局部区域的地形地貌发生改变。由于挖土方、填土方造成大量表土堆放；同时建设场地裸露，旱季将会导致施工现场内尘土飞扬，而雨季将造成泥沙流失，废土、构筑物及建筑材料的堆放，将使场地的视觉景观质量变得很差，但项目建设期对评价区内景观格局的改变与影响是不可避免的。同时由于本工程区处于山区，区域内过往人员较少，施工扬尘将会引起当地居民的注意，对该区域的视觉景观产生影响，通过采取临时堆土、开挖区苫盖、按照水土保持要求，对临时工程实施绿化，对建设区实施围挡等措施可减轻建设期对景观的影响。</w:t>
            </w:r>
          </w:p>
          <w:p w14:paraId="4651F8B8">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为了减小因工程占地和工程施工造成的扰动范围内对地表植被的破坏及水土保持的影响，要求工程施工过程中严格按照用地规划和施工设计要求施工，做好沿规划施工道路行进，不随意开辟施工便道，做到永临结合及占地面积的最小化和对施工用地的高效利用，可减轻由于工程建设对区域生态环境的负面影响。通过严格控制施工过程中的用地面积，也可以做到控制并减少工程扰动范围的作用。同时加强对施工人员的环保意识教育，积极参加环保部门组织的环保培训，在施工管理过程中增加对环保意识的考核。在建设期做好对设备的养护，文明施工，在保证安全、质量、进度的同时把保护环境放在同等重要的位置，使得施工过程中对生态环境的影响尽可能的降至最低。</w:t>
            </w:r>
          </w:p>
          <w:p w14:paraId="51BF89B4">
            <w:pPr>
              <w:ind w:firstLine="48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综上所述，建设期生态环境影响范围有限，持续时间短暂，地表植被破坏、水土流失增加量有限。</w:t>
            </w:r>
          </w:p>
          <w:p w14:paraId="7181195C">
            <w:pPr>
              <w:numPr>
                <w:ilvl w:val="0"/>
                <w:numId w:val="0"/>
              </w:numPr>
              <w:ind w:firstLine="482" w:firstLineChars="200"/>
              <w:rPr>
                <w:rFonts w:hint="eastAsia" w:ascii="Times New Roman" w:hAnsi="Times New Roman" w:cs="Times New Roman"/>
                <w:b/>
                <w:bCs/>
                <w:color w:val="auto"/>
                <w:szCs w:val="24"/>
                <w:highlight w:val="none"/>
                <w:lang w:val="en-US" w:eastAsia="zh-CN"/>
              </w:rPr>
            </w:pPr>
            <w:r>
              <w:rPr>
                <w:rFonts w:hint="eastAsia" w:ascii="Times New Roman" w:hAnsi="Times New Roman" w:eastAsia="宋体" w:cs="Times New Roman"/>
                <w:b/>
                <w:bCs/>
                <w:color w:val="auto"/>
                <w:kern w:val="2"/>
                <w:sz w:val="24"/>
                <w:szCs w:val="24"/>
                <w:lang w:val="en-US" w:eastAsia="zh-CN" w:bidi="ar-SA"/>
              </w:rPr>
              <w:t>6）</w:t>
            </w:r>
            <w:r>
              <w:rPr>
                <w:rFonts w:hint="eastAsia" w:ascii="Times New Roman" w:hAnsi="Times New Roman" w:cs="Times New Roman"/>
                <w:b/>
                <w:bCs/>
                <w:color w:val="auto"/>
                <w:szCs w:val="24"/>
                <w:highlight w:val="none"/>
                <w:lang w:val="en-US" w:eastAsia="zh-CN"/>
              </w:rPr>
              <w:t>对永久基本农田的影响分析</w:t>
            </w:r>
          </w:p>
          <w:p w14:paraId="3E50FF39">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cs="Times New Roman"/>
                <w:b/>
                <w:bCs/>
                <w:color w:val="auto"/>
                <w:szCs w:val="24"/>
                <w:highlight w:val="none"/>
                <w:lang w:val="en-US" w:eastAsia="zh-CN"/>
              </w:rPr>
            </w:pPr>
            <w:r>
              <w:rPr>
                <w:rFonts w:hint="eastAsia"/>
                <w:color w:val="auto"/>
                <w:highlight w:val="none"/>
                <w:lang w:val="en-US" w:eastAsia="zh-CN"/>
              </w:rPr>
              <w:t>项目占地范围不涉及永久基本农田，但项目评价区涉及永久基本农田，位于项目用地范围北侧，紧邻项目边界线，距离约1m。项目施工期设置边界围栏，不超边界施工，不在项目范围外堆放施工材料，设置提示标牌禁止施工人员进入永久基本农田，不破坏永久基本农田及其农作物，采取上述措施后，项目施工期对评价区的永久基本农田的影响是可接受的。</w:t>
            </w:r>
          </w:p>
        </w:tc>
      </w:tr>
      <w:tr w14:paraId="5A127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959" w:hRule="atLeast"/>
        </w:trPr>
        <w:tc>
          <w:tcPr>
            <w:tcW w:w="275" w:type="pct"/>
            <w:vAlign w:val="center"/>
          </w:tcPr>
          <w:p w14:paraId="3027A3F4">
            <w:pPr>
              <w:spacing w:line="240" w:lineRule="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运营期生态环境影响分析</w:t>
            </w:r>
          </w:p>
        </w:tc>
        <w:tc>
          <w:tcPr>
            <w:tcW w:w="4724" w:type="pct"/>
          </w:tcPr>
          <w:p w14:paraId="7BC9889A">
            <w:pPr>
              <w:spacing w:before="156" w:beforeLines="50"/>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一、运营期工艺流程及产排污节点</w:t>
            </w:r>
          </w:p>
          <w:p w14:paraId="6C53159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本项目为矿山开采，项目采用露天自上而下台阶式开采，工艺开采具体工艺流程及产污节点图见图4-</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w:t>
            </w:r>
          </w:p>
          <w:p w14:paraId="1BA6B0D8">
            <w:pPr>
              <w:ind w:firstLine="0" w:firstLineChars="0"/>
              <w:jc w:val="center"/>
              <w:rPr>
                <w:rFonts w:hint="default" w:ascii="Times New Roman" w:hAnsi="Times New Roman" w:cs="Times New Roman"/>
                <w:color w:val="auto"/>
                <w:highlight w:val="none"/>
              </w:rPr>
            </w:pPr>
            <w:r>
              <w:rPr>
                <w:rFonts w:hint="default" w:ascii="Times New Roman" w:hAnsi="Times New Roman" w:eastAsia="宋体" w:cs="Times New Roman"/>
                <w:caps w:val="0"/>
                <w:smallCaps w:val="0"/>
                <w:color w:val="auto"/>
                <w:highlight w:val="none"/>
              </w:rPr>
              <w:object>
                <v:shape id="_x0000_i1026" o:spt="75" type="#_x0000_t75" style="height:443.1pt;width:370.1pt;" o:ole="t" filled="f" o:preferrelative="t" stroked="f" coordsize="21600,21600">
                  <v:path/>
                  <v:fill on="f" focussize="0,0"/>
                  <v:stroke on="f"/>
                  <v:imagedata r:id="rId25" o:title=""/>
                  <o:lock v:ext="edit" aspectratio="f"/>
                  <w10:wrap type="none"/>
                  <w10:anchorlock/>
                </v:shape>
                <o:OLEObject Type="Embed" ProgID="Visio.Drawing.11" ShapeID="_x0000_i1026" DrawAspect="Content" ObjectID="_1468075726" r:id="rId24">
                  <o:LockedField>false</o:LockedField>
                </o:OLEObject>
              </w:object>
            </w:r>
          </w:p>
          <w:p w14:paraId="41CFD1E6">
            <w:pPr>
              <w:spacing w:line="240" w:lineRule="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sz w:val="21"/>
                <w:szCs w:val="21"/>
                <w:highlight w:val="none"/>
              </w:rPr>
              <w:t>图4-</w:t>
            </w:r>
            <w:r>
              <w:rPr>
                <w:rFonts w:hint="default" w:ascii="Times New Roman" w:hAnsi="Times New Roman" w:cs="Times New Roman"/>
                <w:b/>
                <w:bCs/>
                <w:color w:val="auto"/>
                <w:sz w:val="21"/>
                <w:szCs w:val="21"/>
                <w:highlight w:val="none"/>
                <w:lang w:val="en-US" w:eastAsia="zh-CN"/>
              </w:rPr>
              <w:t>2</w:t>
            </w:r>
            <w:r>
              <w:rPr>
                <w:rFonts w:hint="default" w:ascii="Times New Roman" w:hAnsi="Times New Roman" w:cs="Times New Roman"/>
                <w:b/>
                <w:bCs/>
                <w:color w:val="auto"/>
                <w:sz w:val="21"/>
                <w:szCs w:val="21"/>
                <w:highlight w:val="none"/>
              </w:rPr>
              <w:t xml:space="preserve">  运营期工艺流程及产污节点图</w:t>
            </w:r>
          </w:p>
          <w:p w14:paraId="5CB43780">
            <w:pPr>
              <w:adjustRightInd w:val="0"/>
              <w:ind w:firstLine="482"/>
              <w:rPr>
                <w:rFonts w:hint="default" w:ascii="Times New Roman" w:hAnsi="Times New Roman" w:cs="Times New Roman"/>
                <w:b/>
                <w:color w:val="auto"/>
                <w:highlight w:val="none"/>
              </w:rPr>
            </w:pPr>
            <w:r>
              <w:rPr>
                <w:rFonts w:hint="default" w:ascii="Times New Roman" w:hAnsi="Times New Roman" w:cs="Times New Roman"/>
                <w:b/>
                <w:color w:val="auto"/>
                <w:highlight w:val="none"/>
                <w:lang w:eastAsia="zh-CN"/>
              </w:rPr>
              <w:t>（</w:t>
            </w:r>
            <w:r>
              <w:rPr>
                <w:rFonts w:hint="default" w:ascii="Times New Roman" w:hAnsi="Times New Roman" w:cs="Times New Roman"/>
                <w:b/>
                <w:color w:val="auto"/>
                <w:highlight w:val="none"/>
                <w:lang w:val="en-US" w:eastAsia="zh-CN"/>
              </w:rPr>
              <w:t>1</w:t>
            </w:r>
            <w:r>
              <w:rPr>
                <w:rFonts w:hint="default" w:ascii="Times New Roman" w:hAnsi="Times New Roman" w:cs="Times New Roman"/>
                <w:b/>
                <w:color w:val="auto"/>
                <w:highlight w:val="none"/>
                <w:lang w:eastAsia="zh-CN"/>
              </w:rPr>
              <w:t>）</w:t>
            </w:r>
            <w:r>
              <w:rPr>
                <w:rFonts w:hint="default" w:ascii="Times New Roman" w:hAnsi="Times New Roman" w:cs="Times New Roman"/>
                <w:b/>
                <w:color w:val="auto"/>
                <w:highlight w:val="none"/>
              </w:rPr>
              <w:t>工艺流程简述：</w:t>
            </w:r>
          </w:p>
          <w:p w14:paraId="43762C38">
            <w:pPr>
              <w:adjustRightInd w:val="0"/>
              <w:ind w:firstLine="482"/>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color w:val="auto"/>
                <w:highlight w:val="none"/>
              </w:rPr>
              <w:t>表土剥离：</w:t>
            </w:r>
            <w:r>
              <w:rPr>
                <w:rFonts w:hint="default" w:ascii="Times New Roman" w:hAnsi="Times New Roman" w:eastAsia="宋体" w:cs="Times New Roman"/>
                <w:b w:val="0"/>
                <w:bCs/>
                <w:color w:val="auto"/>
                <w:highlight w:val="none"/>
              </w:rPr>
              <w:t>在开采初期要对表层土壤进行剥离，此过程中会造成地表植被的破坏和水土流失。</w:t>
            </w:r>
            <w:r>
              <w:rPr>
                <w:rFonts w:hint="default" w:ascii="Times New Roman" w:hAnsi="Times New Roman" w:cs="Times New Roman"/>
                <w:b w:val="0"/>
                <w:bCs/>
                <w:color w:val="auto"/>
                <w:highlight w:val="none"/>
                <w:lang w:val="en-US" w:eastAsia="zh-CN"/>
              </w:rPr>
              <w:t>现有项目</w:t>
            </w:r>
            <w:r>
              <w:rPr>
                <w:rFonts w:hint="default" w:ascii="Times New Roman" w:hAnsi="Times New Roman" w:eastAsia="宋体" w:cs="Times New Roman"/>
                <w:b w:val="0"/>
                <w:bCs/>
                <w:color w:val="auto"/>
                <w:highlight w:val="none"/>
                <w:lang w:val="en-US" w:eastAsia="zh-CN"/>
              </w:rPr>
              <w:t>已完成2200m、2192m开采平台的表土剥离，剥离的表土</w:t>
            </w:r>
            <w:r>
              <w:rPr>
                <w:rFonts w:hint="default" w:ascii="Times New Roman" w:hAnsi="Times New Roman" w:cs="Times New Roman"/>
                <w:b w:val="0"/>
                <w:bCs/>
                <w:color w:val="auto"/>
                <w:highlight w:val="none"/>
                <w:lang w:val="en-US" w:eastAsia="zh-CN"/>
              </w:rPr>
              <w:t>堆放于矿界西侧的临时表土堆场</w:t>
            </w:r>
            <w:r>
              <w:rPr>
                <w:rFonts w:hint="default" w:ascii="Times New Roman" w:hAnsi="Times New Roman" w:eastAsia="宋体" w:cs="Times New Roman"/>
                <w:b w:val="0"/>
                <w:bCs/>
                <w:color w:val="auto"/>
                <w:highlight w:val="none"/>
                <w:lang w:val="en-US" w:eastAsia="zh-CN"/>
              </w:rPr>
              <w:t>，用于工业场地区、办公生活区平整及运输公路的铺垫。采空区回填复垦。后期生产过程中产生的剥离表土用于对采空区进行逐步覆土复垦工作，故项目不设排土场。表土剥离导致</w:t>
            </w:r>
            <w:r>
              <w:rPr>
                <w:rFonts w:hint="default" w:ascii="Times New Roman" w:hAnsi="Times New Roman" w:eastAsia="宋体" w:cs="Times New Roman"/>
                <w:b w:val="0"/>
                <w:bCs/>
                <w:color w:val="auto"/>
                <w:highlight w:val="none"/>
              </w:rPr>
              <w:t>植被破坏</w:t>
            </w:r>
            <w:r>
              <w:rPr>
                <w:rFonts w:hint="default" w:ascii="Times New Roman" w:hAnsi="Times New Roman" w:eastAsia="宋体" w:cs="Times New Roman"/>
                <w:b w:val="0"/>
                <w:bCs/>
                <w:color w:val="auto"/>
                <w:highlight w:val="none"/>
                <w:lang w:eastAsia="zh-CN"/>
              </w:rPr>
              <w:t>，</w:t>
            </w:r>
            <w:r>
              <w:rPr>
                <w:rFonts w:hint="default" w:ascii="Times New Roman" w:hAnsi="Times New Roman" w:eastAsia="宋体" w:cs="Times New Roman"/>
                <w:b w:val="0"/>
                <w:bCs/>
                <w:color w:val="auto"/>
                <w:highlight w:val="none"/>
              </w:rPr>
              <w:t>待采矿结束后，全面进行土地整治，覆土绿化，恢复植被。</w:t>
            </w:r>
          </w:p>
          <w:p w14:paraId="16770D3D">
            <w:pPr>
              <w:adjustRightInd w:val="0"/>
              <w:ind w:firstLine="482"/>
              <w:rPr>
                <w:rFonts w:hint="default" w:ascii="Times New Roman" w:hAnsi="Times New Roman" w:cs="Times New Roman"/>
                <w:color w:val="auto"/>
                <w:highlight w:val="none"/>
              </w:rPr>
            </w:pPr>
            <w:r>
              <w:rPr>
                <w:rFonts w:hint="default" w:ascii="Times New Roman" w:hAnsi="Times New Roman" w:cs="Times New Roman"/>
                <w:b/>
                <w:color w:val="auto"/>
                <w:highlight w:val="none"/>
              </w:rPr>
              <w:t>凿岩：</w:t>
            </w:r>
            <w:r>
              <w:rPr>
                <w:rFonts w:hint="default" w:ascii="Times New Roman" w:hAnsi="Times New Roman" w:cs="Times New Roman"/>
                <w:color w:val="auto"/>
                <w:highlight w:val="none"/>
              </w:rPr>
              <w:t>经剥离表土后的采区，穿孔采用KQD-100型潜孔钻机凿岩，炮孔布置形式为平行布置，炮孔直径100mm，炮孔倾角90°，炮孔深度10.5m，最小抵抗线（排距）3m，孔间距1.5m，孔排距1.5m。本工程采用自带收尘设施的钻机。</w:t>
            </w:r>
          </w:p>
          <w:p w14:paraId="704388EA">
            <w:pPr>
              <w:adjustRightInd w:val="0"/>
              <w:ind w:firstLine="482"/>
              <w:rPr>
                <w:rFonts w:hint="default" w:ascii="Times New Roman" w:hAnsi="Times New Roman" w:cs="Times New Roman"/>
                <w:color w:val="auto"/>
                <w:highlight w:val="none"/>
              </w:rPr>
            </w:pPr>
            <w:r>
              <w:rPr>
                <w:rFonts w:hint="default" w:ascii="Times New Roman" w:hAnsi="Times New Roman" w:cs="Times New Roman"/>
                <w:b/>
                <w:color w:val="auto"/>
                <w:highlight w:val="none"/>
              </w:rPr>
              <w:t>爆破：</w:t>
            </w:r>
            <w:r>
              <w:rPr>
                <w:rFonts w:hint="default" w:ascii="Times New Roman" w:hAnsi="Times New Roman" w:cs="Times New Roman"/>
                <w:color w:val="auto"/>
                <w:highlight w:val="none"/>
              </w:rPr>
              <w:t>爆破作业由民爆队统一爆破，每次所用炸药和爆破器材由民爆队统一运输到现场，每次爆破完毕后所剩炸药及爆破器材由民爆队运回管理。</w:t>
            </w:r>
          </w:p>
          <w:p w14:paraId="69E87C34">
            <w:pPr>
              <w:adjustRightInd w:val="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采用排间微差爆破，各排炮孔之间微差时间由微差管控制。地表雷管采用50ms、75ms、150ms，孔内雷管采用550ms，炸药采用乳化炸药，使用装药车装药。采用起爆装置引爆工业数码电子雷管方式起爆。矿山爆破工作由专业爆破队实施，因此矿山应定时定量组织爆破作业，控制一段雷管起爆炸药量，防止冲天炮和飞石产生。大块矿岩应当采用机械方式进行破碎，不得使用爆破方式进行二次破碎。爆破产生的粉尘经雾炮降尘、大气自然稀释、扩散后呈无组织形式排放。</w:t>
            </w:r>
          </w:p>
          <w:p w14:paraId="16F1D932">
            <w:pPr>
              <w:adjustRightInd w:val="0"/>
              <w:ind w:firstLine="480"/>
              <w:rPr>
                <w:rFonts w:hint="default" w:ascii="Times New Roman" w:hAnsi="Times New Roman" w:eastAsia="宋体" w:cs="Times New Roman"/>
                <w:color w:val="auto"/>
                <w:highlight w:val="none"/>
              </w:rPr>
            </w:pPr>
            <w:r>
              <w:rPr>
                <w:rFonts w:hint="default" w:ascii="Times New Roman" w:hAnsi="Times New Roman" w:cs="Times New Roman"/>
                <w:b/>
                <w:color w:val="auto"/>
                <w:highlight w:val="none"/>
              </w:rPr>
              <w:t>铲装、汽车运输：</w:t>
            </w:r>
            <w:r>
              <w:rPr>
                <w:rFonts w:hint="default" w:ascii="Times New Roman" w:hAnsi="Times New Roman" w:cs="Times New Roman"/>
                <w:color w:val="auto"/>
                <w:highlight w:val="none"/>
              </w:rPr>
              <w:t>爆破后的矿石采用挖掘机及装载机铲装矿石，</w:t>
            </w:r>
            <w:r>
              <w:rPr>
                <w:rFonts w:hint="default" w:ascii="Times New Roman" w:hAnsi="Times New Roman" w:cs="Times New Roman"/>
                <w:color w:val="auto"/>
                <w:highlight w:val="none"/>
                <w:lang w:val="en-US" w:eastAsia="zh-CN"/>
              </w:rPr>
              <w:t>25</w:t>
            </w:r>
            <w:r>
              <w:rPr>
                <w:rFonts w:hint="default" w:ascii="Times New Roman" w:hAnsi="Times New Roman" w:cs="Times New Roman"/>
                <w:color w:val="auto"/>
                <w:highlight w:val="none"/>
              </w:rPr>
              <w:t>t矿用自卸汽车运输至</w:t>
            </w:r>
            <w:r>
              <w:rPr>
                <w:rFonts w:hint="default" w:ascii="Times New Roman" w:hAnsi="Times New Roman" w:cs="Times New Roman"/>
                <w:bCs/>
                <w:color w:val="auto"/>
                <w:highlight w:val="none"/>
                <w:lang w:val="en-US" w:eastAsia="zh-CN"/>
              </w:rPr>
              <w:t>工业场地进行破碎加工</w:t>
            </w:r>
            <w:r>
              <w:rPr>
                <w:rFonts w:hint="default" w:ascii="Times New Roman" w:hAnsi="Times New Roman" w:cs="Times New Roman"/>
                <w:color w:val="auto"/>
                <w:highlight w:val="none"/>
              </w:rPr>
              <w:t>，铲装产生的粉尘经</w:t>
            </w:r>
            <w:r>
              <w:rPr>
                <w:rFonts w:hint="default" w:ascii="Times New Roman" w:hAnsi="Times New Roman" w:cs="Times New Roman"/>
                <w:color w:val="auto"/>
                <w:highlight w:val="none"/>
                <w:lang w:val="en-US" w:eastAsia="zh-CN"/>
              </w:rPr>
              <w:t>雾炮</w:t>
            </w:r>
            <w:r>
              <w:rPr>
                <w:rFonts w:hint="default" w:ascii="Times New Roman" w:hAnsi="Times New Roman" w:cs="Times New Roman"/>
                <w:color w:val="auto"/>
                <w:highlight w:val="none"/>
              </w:rPr>
              <w:t>洒水降尘后呈无组织排</w:t>
            </w:r>
            <w:r>
              <w:rPr>
                <w:rFonts w:hint="default" w:ascii="Times New Roman" w:hAnsi="Times New Roman" w:eastAsia="宋体" w:cs="Times New Roman"/>
                <w:color w:val="auto"/>
                <w:highlight w:val="none"/>
              </w:rPr>
              <w:t>放，道路起尘，通过洒水抑尘后无组织排放。</w:t>
            </w:r>
          </w:p>
          <w:p w14:paraId="0A99437F">
            <w:pPr>
              <w:adjustRightInd w:val="0"/>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highlight w:val="none"/>
              </w:rPr>
              <w:t>破碎、筛分</w:t>
            </w:r>
            <w:r>
              <w:rPr>
                <w:rFonts w:hint="default" w:ascii="Times New Roman" w:hAnsi="Times New Roman" w:eastAsia="宋体" w:cs="Times New Roman"/>
                <w:b/>
                <w:bCs/>
                <w:color w:val="auto"/>
                <w:highlight w:val="none"/>
                <w:lang w:eastAsia="zh-CN"/>
              </w:rPr>
              <w:t>：</w:t>
            </w:r>
            <w:r>
              <w:rPr>
                <w:rFonts w:hint="default" w:ascii="Times New Roman" w:hAnsi="Times New Roman" w:eastAsia="宋体" w:cs="Times New Roman"/>
                <w:color w:val="auto"/>
                <w:highlight w:val="none"/>
              </w:rPr>
              <w:t>本项目运营过程中矿石通过给料机给料后经过一破破碎后进入二级破碎机进行破碎，二级破碎后产品经过振动筛筛</w:t>
            </w:r>
            <w:r>
              <w:rPr>
                <w:rFonts w:hint="default" w:ascii="Times New Roman" w:hAnsi="Times New Roman" w:eastAsia="宋体" w:cs="Times New Roman"/>
                <w:color w:val="auto"/>
                <w:highlight w:val="none"/>
                <w:lang w:val="en-US" w:eastAsia="zh-CN"/>
              </w:rPr>
              <w:t>不合规格的返回二级破碎进行再次破碎，其余的矿石进入制砂机，制砂后进入筛分机，≤4mm的矿石运至砂料堆场，&gt;4mm</w:t>
            </w:r>
            <w:r>
              <w:rPr>
                <w:rFonts w:hint="default" w:ascii="Times New Roman" w:hAnsi="Times New Roman" w:eastAsia="宋体" w:cs="Times New Roman"/>
                <w:color w:val="auto"/>
                <w:highlight w:val="none"/>
              </w:rPr>
              <w:t>的细</w:t>
            </w:r>
            <w:r>
              <w:rPr>
                <w:rFonts w:hint="default" w:ascii="Times New Roman" w:hAnsi="Times New Roman" w:eastAsia="宋体" w:cs="Times New Roman"/>
                <w:color w:val="auto"/>
                <w:highlight w:val="none"/>
                <w:lang w:val="en-US" w:eastAsia="zh-CN"/>
              </w:rPr>
              <w:t>砂返回制砂机再次制砂</w:t>
            </w:r>
            <w:r>
              <w:rPr>
                <w:rFonts w:hint="default" w:ascii="Times New Roman" w:hAnsi="Times New Roman" w:eastAsia="宋体" w:cs="Times New Roman"/>
                <w:color w:val="auto"/>
                <w:highlight w:val="none"/>
              </w:rPr>
              <w:t>。</w:t>
            </w:r>
          </w:p>
          <w:p w14:paraId="7B566DFC">
            <w:pPr>
              <w:adjustRightInd w:val="0"/>
              <w:ind w:firstLine="480"/>
              <w:rPr>
                <w:rFonts w:hint="default" w:ascii="Times New Roman" w:hAnsi="Times New Roman" w:cs="Times New Roman"/>
                <w:caps w:val="0"/>
                <w:smallCaps w:val="0"/>
                <w:color w:val="auto"/>
                <w:highlight w:val="none"/>
              </w:rPr>
            </w:pPr>
            <w:r>
              <w:rPr>
                <w:rFonts w:hint="default" w:ascii="Times New Roman" w:hAnsi="Times New Roman" w:eastAsia="宋体" w:cs="Times New Roman"/>
                <w:color w:val="auto"/>
                <w:highlight w:val="none"/>
              </w:rPr>
              <w:t>本环评提出在项目一级破碎、二级破碎、筛分、制砂的</w:t>
            </w:r>
            <w:r>
              <w:rPr>
                <w:rFonts w:hint="default" w:ascii="Times New Roman" w:hAnsi="Times New Roman" w:eastAsia="宋体" w:cs="Times New Roman"/>
                <w:color w:val="auto"/>
                <w:highlight w:val="none"/>
                <w:lang w:val="en-US" w:eastAsia="zh-CN"/>
              </w:rPr>
              <w:t>产尘点</w:t>
            </w:r>
            <w:r>
              <w:rPr>
                <w:rFonts w:hint="default" w:ascii="Times New Roman" w:hAnsi="Times New Roman" w:eastAsia="宋体" w:cs="Times New Roman"/>
                <w:color w:val="auto"/>
                <w:highlight w:val="none"/>
              </w:rPr>
              <w:t>分别设置</w:t>
            </w:r>
            <w:r>
              <w:rPr>
                <w:rFonts w:hint="default" w:ascii="Times New Roman" w:hAnsi="Times New Roman" w:eastAsia="宋体" w:cs="Times New Roman"/>
                <w:color w:val="auto"/>
                <w:highlight w:val="none"/>
                <w:lang w:val="en-US" w:eastAsia="zh-CN"/>
              </w:rPr>
              <w:t>集气罩收尘装置，收集的粉尘经</w:t>
            </w:r>
            <w:r>
              <w:rPr>
                <w:rFonts w:hint="default" w:ascii="Times New Roman" w:hAnsi="Times New Roman" w:eastAsia="宋体" w:cs="Times New Roman"/>
                <w:color w:val="auto"/>
                <w:highlight w:val="none"/>
              </w:rPr>
              <w:t>1台布袋除尘器处理</w:t>
            </w:r>
            <w:r>
              <w:rPr>
                <w:rFonts w:hint="default" w:ascii="Times New Roman" w:hAnsi="Times New Roman" w:eastAsia="宋体" w:cs="Times New Roman"/>
                <w:color w:val="auto"/>
                <w:highlight w:val="none"/>
                <w:lang w:val="en-US" w:eastAsia="zh-CN"/>
              </w:rPr>
              <w:t>后</w:t>
            </w:r>
            <w:r>
              <w:rPr>
                <w:rFonts w:hint="default" w:ascii="Times New Roman" w:hAnsi="Times New Roman" w:eastAsia="宋体" w:cs="Times New Roman"/>
                <w:color w:val="auto"/>
                <w:highlight w:val="none"/>
              </w:rPr>
              <w:t>最终经1根高</w:t>
            </w:r>
            <w:r>
              <w:rPr>
                <w:rFonts w:hint="default" w:ascii="Times New Roman" w:hAnsi="Times New Roman" w:cs="Times New Roman"/>
                <w:color w:val="auto"/>
                <w:highlight w:val="none"/>
              </w:rPr>
              <w:t>度为15m高的排气筒排放</w:t>
            </w:r>
            <w:r>
              <w:rPr>
                <w:rFonts w:hint="default" w:ascii="Times New Roman" w:hAnsi="Times New Roman" w:cs="Times New Roman"/>
                <w:bCs/>
                <w:color w:val="auto"/>
                <w:highlight w:val="none"/>
              </w:rPr>
              <w:t>。</w:t>
            </w:r>
          </w:p>
          <w:p w14:paraId="77813B41">
            <w:pPr>
              <w:pStyle w:val="89"/>
              <w:ind w:firstLine="482"/>
              <w:rPr>
                <w:rFonts w:hint="default" w:ascii="Times New Roman" w:hAnsi="Times New Roman" w:eastAsia="宋体" w:cs="Times New Roman"/>
                <w:b w:val="0"/>
                <w:bCs/>
                <w:caps w:val="0"/>
                <w:smallCaps w:val="0"/>
                <w:color w:val="auto"/>
                <w:highlight w:val="none"/>
              </w:rPr>
            </w:pPr>
            <w:r>
              <w:rPr>
                <w:rFonts w:hint="default" w:ascii="Times New Roman" w:hAnsi="Times New Roman" w:cs="Times New Roman"/>
                <w:color w:val="auto"/>
                <w:highlight w:val="none"/>
              </w:rPr>
              <w:t>产品堆存与外售</w:t>
            </w:r>
            <w:r>
              <w:rPr>
                <w:rFonts w:hint="default" w:ascii="Times New Roman" w:hAnsi="Times New Roman" w:cs="Times New Roman"/>
                <w:color w:val="auto"/>
                <w:highlight w:val="none"/>
                <w:lang w:eastAsia="zh-CN"/>
              </w:rPr>
              <w:t>：</w:t>
            </w:r>
            <w:r>
              <w:rPr>
                <w:rFonts w:hint="default" w:ascii="Times New Roman" w:hAnsi="Times New Roman" w:cs="Times New Roman"/>
                <w:b w:val="0"/>
                <w:bCs/>
                <w:caps w:val="0"/>
                <w:smallCaps w:val="0"/>
                <w:color w:val="auto"/>
                <w:highlight w:val="none"/>
                <w:lang w:val="en-US" w:eastAsia="zh-CN"/>
              </w:rPr>
              <w:t>成品</w:t>
            </w:r>
            <w:r>
              <w:rPr>
                <w:rFonts w:hint="default" w:ascii="Times New Roman" w:hAnsi="Times New Roman" w:cs="Times New Roman"/>
                <w:b w:val="0"/>
                <w:bCs/>
                <w:caps w:val="0"/>
                <w:smallCaps w:val="0"/>
                <w:color w:val="auto"/>
                <w:highlight w:val="none"/>
              </w:rPr>
              <w:t>砂料</w:t>
            </w:r>
            <w:r>
              <w:rPr>
                <w:rFonts w:hint="default" w:ascii="Times New Roman" w:hAnsi="Times New Roman" w:cs="Times New Roman"/>
                <w:b w:val="0"/>
                <w:bCs/>
                <w:caps w:val="0"/>
                <w:smallCaps w:val="0"/>
                <w:color w:val="auto"/>
                <w:highlight w:val="none"/>
                <w:lang w:val="en-US" w:eastAsia="zh-CN"/>
              </w:rPr>
              <w:t>堆存于三</w:t>
            </w:r>
            <w:r>
              <w:rPr>
                <w:rFonts w:hint="default" w:ascii="Times New Roman" w:hAnsi="Times New Roman" w:eastAsia="宋体" w:cs="Times New Roman"/>
                <w:b w:val="0"/>
                <w:bCs/>
                <w:caps w:val="0"/>
                <w:smallCaps w:val="0"/>
                <w:color w:val="auto"/>
                <w:highlight w:val="none"/>
                <w:lang w:val="en-US" w:eastAsia="zh-CN"/>
              </w:rPr>
              <w:t>面围挡，上方设置顶棚，进出口设置喷淋装置的砂料场</w:t>
            </w:r>
            <w:r>
              <w:rPr>
                <w:rFonts w:hint="default" w:ascii="Times New Roman" w:hAnsi="Times New Roman" w:eastAsia="宋体" w:cs="Times New Roman"/>
                <w:b w:val="0"/>
                <w:bCs/>
                <w:caps w:val="0"/>
                <w:smallCaps w:val="0"/>
                <w:color w:val="auto"/>
                <w:highlight w:val="none"/>
              </w:rPr>
              <w:t>，项目砂料通过汽车运输外售。</w:t>
            </w:r>
            <w:r>
              <w:rPr>
                <w:rFonts w:hint="default" w:ascii="Times New Roman" w:hAnsi="Times New Roman" w:eastAsia="宋体" w:cs="Times New Roman"/>
                <w:b w:val="0"/>
                <w:bCs/>
                <w:caps w:val="0"/>
                <w:smallCaps w:val="0"/>
                <w:color w:val="auto"/>
                <w:highlight w:val="none"/>
                <w:lang w:val="en-US" w:eastAsia="zh-CN"/>
              </w:rPr>
              <w:t>通过采取对进出口设置喷淋装置，运输车辆进行篷布遮盖、运输道路洒水降尘的措施以减</w:t>
            </w:r>
            <w:r>
              <w:rPr>
                <w:rFonts w:hint="default" w:ascii="Times New Roman" w:hAnsi="Times New Roman" w:eastAsia="宋体" w:cs="Times New Roman"/>
                <w:b w:val="0"/>
                <w:bCs/>
                <w:caps w:val="0"/>
                <w:smallCaps w:val="0"/>
                <w:color w:val="auto"/>
                <w:highlight w:val="none"/>
              </w:rPr>
              <w:t>少无组织粉尘的产生。</w:t>
            </w:r>
          </w:p>
          <w:p w14:paraId="6DD87071">
            <w:pPr>
              <w:adjustRightInd w:val="0"/>
              <w:snapToGrid w:val="0"/>
              <w:ind w:firstLine="482"/>
              <w:rPr>
                <w:rFonts w:hint="default" w:ascii="Times New Roman" w:hAnsi="Times New Roman" w:cs="Times New Roman"/>
                <w:color w:val="auto"/>
              </w:rPr>
            </w:pPr>
            <w:r>
              <w:rPr>
                <w:rFonts w:hint="default" w:ascii="Times New Roman" w:hAnsi="Times New Roman" w:cs="Times New Roman"/>
                <w:b/>
                <w:bCs/>
                <w:color w:val="auto"/>
              </w:rPr>
              <w:t>（2）其他产污工序：</w:t>
            </w:r>
          </w:p>
          <w:p w14:paraId="45AC4189">
            <w:pPr>
              <w:ind w:firstLine="480"/>
              <w:rPr>
                <w:rFonts w:hint="default" w:ascii="Times New Roman" w:hAnsi="Times New Roman" w:eastAsia="宋体" w:cs="Times New Roman"/>
                <w:color w:val="auto"/>
                <w:lang w:val="en-US" w:eastAsia="zh-CN"/>
              </w:rPr>
            </w:pPr>
            <w:r>
              <w:rPr>
                <w:rFonts w:hint="default" w:ascii="Times New Roman" w:hAnsi="Times New Roman" w:cs="Times New Roman"/>
                <w:color w:val="auto"/>
                <w:lang w:val="en-US" w:eastAsia="zh-CN"/>
              </w:rPr>
              <w:t>废气治理：产生的</w:t>
            </w:r>
            <w:r>
              <w:rPr>
                <w:rFonts w:hint="default" w:ascii="Times New Roman" w:hAnsi="Times New Roman" w:cs="Times New Roman"/>
                <w:bCs/>
                <w:color w:val="auto"/>
              </w:rPr>
              <w:t>破碎</w:t>
            </w:r>
            <w:r>
              <w:rPr>
                <w:rFonts w:hint="default" w:ascii="Times New Roman" w:hAnsi="Times New Roman" w:cs="Times New Roman"/>
                <w:bCs/>
                <w:color w:val="auto"/>
                <w:lang w:val="en-US" w:eastAsia="zh-CN"/>
              </w:rPr>
              <w:t>筛分</w:t>
            </w:r>
            <w:r>
              <w:rPr>
                <w:rFonts w:hint="default" w:ascii="Times New Roman" w:hAnsi="Times New Roman" w:cs="Times New Roman"/>
                <w:bCs/>
                <w:color w:val="auto"/>
              </w:rPr>
              <w:t>扬尘</w:t>
            </w:r>
            <w:r>
              <w:rPr>
                <w:rFonts w:hint="default" w:ascii="Times New Roman" w:hAnsi="Times New Roman" w:cs="Times New Roman"/>
                <w:bCs/>
                <w:color w:val="auto"/>
                <w:lang w:val="en-US" w:eastAsia="zh-CN"/>
              </w:rPr>
              <w:t>经布袋除尘器处理后通过排气筒排放，</w:t>
            </w:r>
            <w:r>
              <w:rPr>
                <w:rFonts w:hint="default" w:ascii="Times New Roman" w:hAnsi="Times New Roman" w:cs="Times New Roman"/>
                <w:color w:val="auto"/>
              </w:rPr>
              <w:t>该过程主要产生</w:t>
            </w:r>
            <w:r>
              <w:rPr>
                <w:rFonts w:hint="default" w:ascii="Times New Roman" w:hAnsi="Times New Roman" w:cs="Times New Roman"/>
                <w:color w:val="auto"/>
                <w:lang w:val="en-US" w:eastAsia="zh-CN"/>
              </w:rPr>
              <w:t>布袋收集粉尘、废布袋。</w:t>
            </w:r>
          </w:p>
          <w:p w14:paraId="14C77359">
            <w:pPr>
              <w:ind w:firstLine="480"/>
              <w:rPr>
                <w:rFonts w:hint="default" w:ascii="Times New Roman" w:hAnsi="Times New Roman" w:cs="Times New Roman"/>
                <w:color w:val="auto"/>
              </w:rPr>
            </w:pPr>
            <w:r>
              <w:rPr>
                <w:rFonts w:hint="default" w:ascii="Times New Roman" w:hAnsi="Times New Roman" w:cs="Times New Roman"/>
                <w:color w:val="auto"/>
              </w:rPr>
              <w:t>雨季：主要产生</w:t>
            </w:r>
            <w:r>
              <w:rPr>
                <w:rFonts w:hint="default" w:ascii="Times New Roman" w:hAnsi="Times New Roman" w:cs="Times New Roman"/>
                <w:color w:val="auto"/>
                <w:lang w:val="en-US" w:eastAsia="zh-CN"/>
              </w:rPr>
              <w:t>淋滤水和初期雨水</w:t>
            </w:r>
            <w:r>
              <w:rPr>
                <w:rFonts w:hint="default" w:ascii="Times New Roman" w:hAnsi="Times New Roman" w:cs="Times New Roman"/>
                <w:color w:val="auto"/>
              </w:rPr>
              <w:t>，</w:t>
            </w:r>
            <w:r>
              <w:rPr>
                <w:rFonts w:hint="default" w:ascii="Times New Roman" w:hAnsi="Times New Roman" w:cs="Times New Roman"/>
                <w:color w:val="auto"/>
                <w:lang w:val="en-US" w:eastAsia="zh-CN"/>
              </w:rPr>
              <w:t>露天</w:t>
            </w:r>
            <w:r>
              <w:rPr>
                <w:rFonts w:hint="default" w:ascii="Times New Roman" w:hAnsi="Times New Roman" w:cs="Times New Roman"/>
                <w:color w:val="auto"/>
              </w:rPr>
              <w:t>开采</w:t>
            </w:r>
            <w:r>
              <w:rPr>
                <w:rFonts w:hint="default" w:ascii="Times New Roman" w:hAnsi="Times New Roman" w:cs="Times New Roman"/>
                <w:color w:val="auto"/>
                <w:lang w:val="en-US" w:eastAsia="zh-CN"/>
              </w:rPr>
              <w:t>区和临时表土堆场</w:t>
            </w:r>
            <w:r>
              <w:rPr>
                <w:rFonts w:hint="default" w:ascii="Times New Roman" w:hAnsi="Times New Roman" w:cs="Times New Roman"/>
                <w:color w:val="auto"/>
                <w:szCs w:val="21"/>
                <w:lang w:val="en-US" w:eastAsia="zh-CN"/>
              </w:rPr>
              <w:t>淋滤水</w:t>
            </w:r>
            <w:r>
              <w:rPr>
                <w:rFonts w:hint="default" w:ascii="Times New Roman" w:hAnsi="Times New Roman" w:cs="Times New Roman"/>
                <w:color w:val="auto"/>
                <w:lang w:val="en-US" w:eastAsia="zh-CN"/>
              </w:rPr>
              <w:t>通过</w:t>
            </w:r>
            <w:r>
              <w:rPr>
                <w:rFonts w:hint="default" w:ascii="Times New Roman" w:hAnsi="Times New Roman" w:cs="Times New Roman"/>
                <w:color w:val="auto"/>
              </w:rPr>
              <w:t>截排水沟</w:t>
            </w:r>
            <w:r>
              <w:rPr>
                <w:rFonts w:hint="default" w:ascii="Times New Roman" w:hAnsi="Times New Roman" w:cs="Times New Roman"/>
                <w:color w:val="auto"/>
                <w:lang w:val="en-US" w:eastAsia="zh-CN"/>
              </w:rPr>
              <w:t>分别</w:t>
            </w:r>
            <w:r>
              <w:rPr>
                <w:rFonts w:hint="default" w:ascii="Times New Roman" w:hAnsi="Times New Roman" w:cs="Times New Roman"/>
                <w:color w:val="auto"/>
              </w:rPr>
              <w:t>进入</w:t>
            </w:r>
            <w:r>
              <w:rPr>
                <w:rFonts w:hint="default" w:ascii="Times New Roman" w:hAnsi="Times New Roman" w:cs="Times New Roman"/>
                <w:color w:val="auto"/>
                <w:lang w:val="en-US" w:eastAsia="zh-CN"/>
              </w:rPr>
              <w:t>采区和堆场低处</w:t>
            </w:r>
            <w:r>
              <w:rPr>
                <w:rFonts w:hint="default" w:ascii="Times New Roman" w:hAnsi="Times New Roman" w:cs="Times New Roman"/>
                <w:color w:val="auto"/>
              </w:rPr>
              <w:t>的沉砂池处理，</w:t>
            </w:r>
            <w:r>
              <w:rPr>
                <w:rFonts w:hint="default" w:ascii="Times New Roman" w:hAnsi="Times New Roman" w:cs="Times New Roman"/>
                <w:color w:val="auto"/>
                <w:lang w:val="en-US" w:eastAsia="zh-CN"/>
              </w:rPr>
              <w:t>工业场地区初期雨水通过截排水沟进入该区低处沉砂池处理。上述沉砂池</w:t>
            </w:r>
            <w:r>
              <w:rPr>
                <w:rFonts w:hint="default" w:ascii="Times New Roman" w:hAnsi="Times New Roman" w:cs="Times New Roman"/>
                <w:color w:val="auto"/>
              </w:rPr>
              <w:t>收集</w:t>
            </w:r>
            <w:r>
              <w:rPr>
                <w:rFonts w:hint="default" w:ascii="Times New Roman" w:hAnsi="Times New Roman" w:cs="Times New Roman"/>
                <w:color w:val="auto"/>
                <w:lang w:eastAsia="zh-CN"/>
              </w:rPr>
              <w:t>的</w:t>
            </w:r>
            <w:r>
              <w:rPr>
                <w:rFonts w:hint="default" w:ascii="Times New Roman" w:hAnsi="Times New Roman" w:cs="Times New Roman"/>
                <w:color w:val="auto"/>
                <w:lang w:val="en-US" w:eastAsia="zh-CN"/>
              </w:rPr>
              <w:t>淋滤水和初期雨水沉淀</w:t>
            </w:r>
            <w:r>
              <w:rPr>
                <w:rFonts w:hint="default" w:ascii="Times New Roman" w:hAnsi="Times New Roman" w:cs="Times New Roman"/>
                <w:color w:val="auto"/>
              </w:rPr>
              <w:t>处理后均用于</w:t>
            </w:r>
            <w:r>
              <w:rPr>
                <w:rFonts w:hint="default" w:ascii="Times New Roman" w:hAnsi="Times New Roman" w:cs="Times New Roman"/>
                <w:color w:val="auto"/>
                <w:lang w:val="en-US" w:eastAsia="zh-CN"/>
              </w:rPr>
              <w:t>矿</w:t>
            </w:r>
            <w:r>
              <w:rPr>
                <w:rFonts w:hint="default" w:ascii="Times New Roman" w:hAnsi="Times New Roman" w:cs="Times New Roman"/>
                <w:color w:val="auto"/>
              </w:rPr>
              <w:t>区洒水降尘，不外排</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lang w:val="en-US" w:eastAsia="zh-CN"/>
              </w:rPr>
              <w:t>该过程主要产生沉砂池泥沙</w:t>
            </w:r>
            <w:r>
              <w:rPr>
                <w:rFonts w:hint="default" w:ascii="Times New Roman" w:hAnsi="Times New Roman" w:cs="Times New Roman"/>
                <w:color w:val="auto"/>
              </w:rPr>
              <w:t>。</w:t>
            </w:r>
          </w:p>
          <w:p w14:paraId="42A0D920">
            <w:pPr>
              <w:ind w:firstLine="480"/>
              <w:rPr>
                <w:rFonts w:hint="default" w:ascii="Times New Roman" w:hAnsi="Times New Roman" w:cs="Times New Roman"/>
                <w:color w:val="auto"/>
              </w:rPr>
            </w:pPr>
            <w:r>
              <w:rPr>
                <w:rFonts w:hint="default" w:ascii="Times New Roman" w:hAnsi="Times New Roman" w:cs="Times New Roman"/>
                <w:color w:val="auto"/>
              </w:rPr>
              <w:t>车辆清洗：主要产生车辆清洗废水，收集于洗车池后循环使用，不外排。</w:t>
            </w:r>
          </w:p>
          <w:p w14:paraId="338CD5B3">
            <w:pPr>
              <w:adjustRightInd w:val="0"/>
              <w:snapToGrid w:val="0"/>
              <w:ind w:firstLine="480"/>
              <w:rPr>
                <w:rFonts w:hint="default" w:ascii="Times New Roman" w:hAnsi="Times New Roman" w:cs="Times New Roman"/>
                <w:color w:val="auto"/>
                <w:szCs w:val="24"/>
              </w:rPr>
            </w:pPr>
            <w:r>
              <w:rPr>
                <w:rFonts w:hint="default" w:ascii="Times New Roman" w:hAnsi="Times New Roman" w:cs="Times New Roman"/>
                <w:color w:val="auto"/>
                <w:szCs w:val="24"/>
              </w:rPr>
              <w:t>设备维护：设备养护维修过程中产生废机油、含机油废抹布、劳保用品，收集后暂存于危废</w:t>
            </w:r>
            <w:r>
              <w:rPr>
                <w:rFonts w:hint="default" w:ascii="Times New Roman" w:hAnsi="Times New Roman" w:cs="Times New Roman"/>
                <w:color w:val="auto"/>
                <w:szCs w:val="24"/>
                <w:lang w:val="en-US" w:eastAsia="zh-CN"/>
              </w:rPr>
              <w:t>贮</w:t>
            </w:r>
            <w:r>
              <w:rPr>
                <w:rFonts w:hint="default" w:ascii="Times New Roman" w:hAnsi="Times New Roman" w:cs="Times New Roman"/>
                <w:color w:val="auto"/>
                <w:szCs w:val="24"/>
              </w:rPr>
              <w:t>存间，委托有资质单位清运处置。</w:t>
            </w:r>
          </w:p>
          <w:p w14:paraId="0CE22B5A">
            <w:pPr>
              <w:adjustRightInd w:val="0"/>
              <w:snapToGrid w:val="0"/>
              <w:ind w:firstLine="480"/>
              <w:rPr>
                <w:rFonts w:hint="default" w:ascii="Times New Roman" w:hAnsi="Times New Roman" w:eastAsia="宋体" w:cs="Times New Roman"/>
                <w:color w:val="auto"/>
                <w:szCs w:val="24"/>
                <w:lang w:val="en-US" w:eastAsia="zh-CN"/>
              </w:rPr>
            </w:pPr>
            <w:r>
              <w:rPr>
                <w:rFonts w:hint="default" w:ascii="Times New Roman" w:hAnsi="Times New Roman" w:cs="Times New Roman"/>
                <w:color w:val="auto"/>
                <w:szCs w:val="24"/>
                <w:lang w:val="en-US" w:eastAsia="zh-CN"/>
              </w:rPr>
              <w:t>办公生活：厨房废水经隔油池处理后与其他生活污水一起经三格化粪池处理，定期清掏用作农肥；化粪池污泥定期清掏用作农肥。</w:t>
            </w:r>
          </w:p>
          <w:p w14:paraId="0326CE27">
            <w:pPr>
              <w:ind w:firstLine="480"/>
              <w:rPr>
                <w:rFonts w:hint="default" w:ascii="Times New Roman" w:hAnsi="Times New Roman" w:cs="Times New Roman"/>
                <w:color w:val="auto"/>
              </w:rPr>
            </w:pPr>
            <w:r>
              <w:rPr>
                <w:rFonts w:hint="default" w:ascii="Times New Roman" w:hAnsi="Times New Roman" w:cs="Times New Roman"/>
                <w:color w:val="auto"/>
              </w:rPr>
              <w:t>项目产污环节及污染治理措施汇总如下：</w:t>
            </w:r>
          </w:p>
          <w:p w14:paraId="4E71C2AC">
            <w:pPr>
              <w:adjustRightInd w:val="0"/>
              <w:snapToGrid w:val="0"/>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表4-</w:t>
            </w:r>
            <w:r>
              <w:rPr>
                <w:rFonts w:hint="default" w:ascii="Times New Roman" w:hAnsi="Times New Roman" w:cs="Times New Roman"/>
                <w:b/>
                <w:bCs/>
                <w:color w:val="auto"/>
                <w:sz w:val="21"/>
                <w:szCs w:val="21"/>
                <w:lang w:val="en-US" w:eastAsia="zh-CN"/>
              </w:rPr>
              <w:t>4</w:t>
            </w:r>
            <w:r>
              <w:rPr>
                <w:rFonts w:hint="default" w:ascii="Times New Roman" w:hAnsi="Times New Roman" w:cs="Times New Roman"/>
                <w:b/>
                <w:bCs/>
                <w:color w:val="auto"/>
                <w:sz w:val="21"/>
                <w:szCs w:val="21"/>
              </w:rPr>
              <w:t xml:space="preserve">  运营期主要污染工序一览表</w:t>
            </w:r>
          </w:p>
          <w:tbl>
            <w:tblPr>
              <w:tblStyle w:val="31"/>
              <w:tblW w:w="79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347"/>
              <w:gridCol w:w="1375"/>
              <w:gridCol w:w="4522"/>
            </w:tblGrid>
            <w:tr w14:paraId="1355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dxa"/>
                  <w:vAlign w:val="center"/>
                </w:tcPr>
                <w:p w14:paraId="1C2D17F4">
                  <w:pPr>
                    <w:adjustRightInd w:val="0"/>
                    <w:snapToGrid w:val="0"/>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污染类别</w:t>
                  </w:r>
                </w:p>
              </w:tc>
              <w:tc>
                <w:tcPr>
                  <w:tcW w:w="1347" w:type="dxa"/>
                  <w:vAlign w:val="center"/>
                </w:tcPr>
                <w:p w14:paraId="54DF042E">
                  <w:pPr>
                    <w:adjustRightInd w:val="0"/>
                    <w:snapToGrid w:val="0"/>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产污环节</w:t>
                  </w:r>
                </w:p>
              </w:tc>
              <w:tc>
                <w:tcPr>
                  <w:tcW w:w="1375" w:type="dxa"/>
                  <w:vAlign w:val="center"/>
                </w:tcPr>
                <w:p w14:paraId="6AFA954B">
                  <w:pPr>
                    <w:adjustRightInd w:val="0"/>
                    <w:snapToGrid w:val="0"/>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主要污染物</w:t>
                  </w:r>
                </w:p>
              </w:tc>
              <w:tc>
                <w:tcPr>
                  <w:tcW w:w="4522" w:type="dxa"/>
                  <w:vAlign w:val="center"/>
                </w:tcPr>
                <w:p w14:paraId="1CAEACF3">
                  <w:pPr>
                    <w:adjustRightInd w:val="0"/>
                    <w:snapToGrid w:val="0"/>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治理措施</w:t>
                  </w:r>
                </w:p>
              </w:tc>
            </w:tr>
            <w:tr w14:paraId="2CDD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dxa"/>
                  <w:vMerge w:val="restart"/>
                  <w:vAlign w:val="center"/>
                </w:tcPr>
                <w:p w14:paraId="161801B3">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废气</w:t>
                  </w:r>
                </w:p>
              </w:tc>
              <w:tc>
                <w:tcPr>
                  <w:tcW w:w="1347" w:type="dxa"/>
                  <w:vAlign w:val="center"/>
                </w:tcPr>
                <w:p w14:paraId="783002F1">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露天开采</w:t>
                  </w:r>
                </w:p>
              </w:tc>
              <w:tc>
                <w:tcPr>
                  <w:tcW w:w="1375" w:type="dxa"/>
                  <w:vAlign w:val="center"/>
                </w:tcPr>
                <w:p w14:paraId="4B0452E1">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颗粒物</w:t>
                  </w:r>
                </w:p>
              </w:tc>
              <w:tc>
                <w:tcPr>
                  <w:tcW w:w="4522" w:type="dxa"/>
                  <w:vAlign w:val="center"/>
                </w:tcPr>
                <w:p w14:paraId="347239C0">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雾炮机、洒水车定期洒水降尘</w:t>
                  </w:r>
                </w:p>
              </w:tc>
            </w:tr>
            <w:tr w14:paraId="63176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dxa"/>
                  <w:vMerge w:val="continue"/>
                  <w:vAlign w:val="center"/>
                </w:tcPr>
                <w:p w14:paraId="77A1D3A6">
                  <w:pPr>
                    <w:adjustRightInd w:val="0"/>
                    <w:snapToGrid w:val="0"/>
                    <w:spacing w:line="240" w:lineRule="auto"/>
                    <w:ind w:firstLine="0" w:firstLineChars="0"/>
                    <w:jc w:val="center"/>
                    <w:rPr>
                      <w:rFonts w:hint="default" w:ascii="Times New Roman" w:hAnsi="Times New Roman" w:cs="Times New Roman"/>
                      <w:color w:val="auto"/>
                      <w:sz w:val="21"/>
                      <w:szCs w:val="21"/>
                    </w:rPr>
                    <w:pPrChange w:id="0" w:author="崔涛" w:date="2026-07-24T09:51:00Z">
                      <w:pPr>
                        <w:spacing w:line="360" w:lineRule="exact"/>
                        <w:ind w:firstLine="0" w:firstLineChars="0"/>
                        <w:jc w:val="center"/>
                      </w:pPr>
                    </w:pPrChange>
                  </w:pPr>
                </w:p>
              </w:tc>
              <w:tc>
                <w:tcPr>
                  <w:tcW w:w="1347" w:type="dxa"/>
                  <w:vAlign w:val="center"/>
                </w:tcPr>
                <w:p w14:paraId="59508E97">
                  <w:pPr>
                    <w:adjustRightInd w:val="0"/>
                    <w:snapToGrid w:val="0"/>
                    <w:spacing w:line="240" w:lineRule="auto"/>
                    <w:ind w:firstLine="0" w:firstLineChars="0"/>
                    <w:jc w:val="center"/>
                    <w:rPr>
                      <w:rFonts w:hint="default" w:ascii="Times New Roman" w:hAnsi="Times New Roman" w:cs="Times New Roman"/>
                      <w:color w:val="auto"/>
                      <w:sz w:val="21"/>
                      <w:szCs w:val="21"/>
                    </w:rPr>
                    <w:pPrChange w:id="1"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爆破</w:t>
                  </w:r>
                </w:p>
              </w:tc>
              <w:tc>
                <w:tcPr>
                  <w:tcW w:w="1375" w:type="dxa"/>
                  <w:vAlign w:val="center"/>
                </w:tcPr>
                <w:p w14:paraId="5B805387">
                  <w:pPr>
                    <w:keepNext w:val="0"/>
                    <w:adjustRightInd w:val="0"/>
                    <w:snapToGrid w:val="0"/>
                    <w:spacing w:line="240" w:lineRule="auto"/>
                    <w:ind w:firstLine="0" w:firstLineChars="0"/>
                    <w:jc w:val="center"/>
                    <w:rPr>
                      <w:rFonts w:hint="default" w:ascii="Times New Roman" w:hAnsi="Times New Roman" w:cs="Times New Roman"/>
                      <w:color w:val="auto"/>
                      <w:sz w:val="21"/>
                      <w:szCs w:val="21"/>
                    </w:rPr>
                    <w:pPrChange w:id="2" w:author="崔涛" w:date="2026-07-24T09:51:00Z">
                      <w:pPr>
                        <w:keepNext/>
                        <w:spacing w:line="360" w:lineRule="exact"/>
                        <w:ind w:firstLine="0" w:firstLineChars="0"/>
                        <w:jc w:val="center"/>
                      </w:pPr>
                    </w:pPrChange>
                  </w:pPr>
                  <w:r>
                    <w:rPr>
                      <w:rFonts w:hint="default" w:ascii="Times New Roman" w:hAnsi="Times New Roman" w:cs="Times New Roman"/>
                      <w:color w:val="auto"/>
                      <w:sz w:val="21"/>
                      <w:szCs w:val="21"/>
                    </w:rPr>
                    <w:t>颗粒物</w:t>
                  </w:r>
                </w:p>
              </w:tc>
              <w:tc>
                <w:tcPr>
                  <w:tcW w:w="4522" w:type="dxa"/>
                  <w:vAlign w:val="center"/>
                </w:tcPr>
                <w:p w14:paraId="7602C578">
                  <w:pPr>
                    <w:adjustRightInd w:val="0"/>
                    <w:snapToGrid w:val="0"/>
                    <w:spacing w:line="240" w:lineRule="auto"/>
                    <w:ind w:firstLine="0" w:firstLineChars="0"/>
                    <w:jc w:val="center"/>
                    <w:rPr>
                      <w:rFonts w:hint="default" w:ascii="Times New Roman" w:hAnsi="Times New Roman" w:cs="Times New Roman"/>
                      <w:color w:val="auto"/>
                      <w:sz w:val="21"/>
                      <w:szCs w:val="21"/>
                    </w:rPr>
                    <w:pPrChange w:id="3" w:author="崔涛" w:date="2026-07-24T09:51:00Z">
                      <w:pPr>
                        <w:snapToGrid w:val="0"/>
                        <w:spacing w:line="360" w:lineRule="exact"/>
                        <w:ind w:firstLine="0" w:firstLineChars="0"/>
                        <w:jc w:val="center"/>
                      </w:pPr>
                    </w:pPrChange>
                  </w:pPr>
                  <w:r>
                    <w:rPr>
                      <w:rFonts w:hint="default" w:ascii="Times New Roman" w:hAnsi="Times New Roman" w:cs="Times New Roman"/>
                      <w:color w:val="auto"/>
                      <w:sz w:val="21"/>
                      <w:szCs w:val="21"/>
                    </w:rPr>
                    <w:t>雾炮机、洒水车定期洒水降尘</w:t>
                  </w:r>
                </w:p>
              </w:tc>
            </w:tr>
            <w:tr w14:paraId="187F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dxa"/>
                  <w:vMerge w:val="continue"/>
                  <w:vAlign w:val="center"/>
                </w:tcPr>
                <w:p w14:paraId="589C6225">
                  <w:pPr>
                    <w:adjustRightInd w:val="0"/>
                    <w:snapToGrid w:val="0"/>
                    <w:spacing w:line="240" w:lineRule="auto"/>
                    <w:ind w:firstLine="0" w:firstLineChars="0"/>
                    <w:jc w:val="center"/>
                    <w:rPr>
                      <w:rFonts w:hint="default" w:ascii="Times New Roman" w:hAnsi="Times New Roman" w:cs="Times New Roman"/>
                      <w:color w:val="auto"/>
                      <w:sz w:val="21"/>
                      <w:szCs w:val="21"/>
                    </w:rPr>
                    <w:pPrChange w:id="4" w:author="崔涛" w:date="2026-07-24T09:51:00Z">
                      <w:pPr>
                        <w:spacing w:line="360" w:lineRule="exact"/>
                        <w:ind w:firstLine="0" w:firstLineChars="0"/>
                        <w:jc w:val="center"/>
                      </w:pPr>
                    </w:pPrChange>
                  </w:pPr>
                </w:p>
              </w:tc>
              <w:tc>
                <w:tcPr>
                  <w:tcW w:w="1347" w:type="dxa"/>
                  <w:vAlign w:val="center"/>
                </w:tcPr>
                <w:p w14:paraId="6DC9F2FD">
                  <w:pPr>
                    <w:adjustRightInd w:val="0"/>
                    <w:snapToGrid w:val="0"/>
                    <w:spacing w:line="240" w:lineRule="auto"/>
                    <w:ind w:firstLine="0" w:firstLineChars="0"/>
                    <w:jc w:val="center"/>
                    <w:rPr>
                      <w:rFonts w:hint="default" w:ascii="Times New Roman" w:hAnsi="Times New Roman" w:cs="Times New Roman"/>
                      <w:color w:val="auto"/>
                      <w:sz w:val="21"/>
                      <w:szCs w:val="21"/>
                    </w:rPr>
                    <w:pPrChange w:id="5"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一级破碎</w:t>
                  </w:r>
                </w:p>
              </w:tc>
              <w:tc>
                <w:tcPr>
                  <w:tcW w:w="1375" w:type="dxa"/>
                  <w:vAlign w:val="center"/>
                </w:tcPr>
                <w:p w14:paraId="5E212488">
                  <w:pPr>
                    <w:keepNext w:val="0"/>
                    <w:adjustRightInd w:val="0"/>
                    <w:snapToGrid w:val="0"/>
                    <w:spacing w:line="240" w:lineRule="auto"/>
                    <w:ind w:firstLine="0" w:firstLineChars="0"/>
                    <w:jc w:val="center"/>
                    <w:rPr>
                      <w:rFonts w:hint="default" w:ascii="Times New Roman" w:hAnsi="Times New Roman" w:cs="Times New Roman"/>
                      <w:color w:val="auto"/>
                      <w:sz w:val="21"/>
                      <w:szCs w:val="21"/>
                    </w:rPr>
                    <w:pPrChange w:id="6" w:author="崔涛" w:date="2026-07-24T09:51:00Z">
                      <w:pPr>
                        <w:keepNext/>
                        <w:spacing w:line="360" w:lineRule="exact"/>
                        <w:ind w:firstLine="0" w:firstLineChars="0"/>
                        <w:jc w:val="center"/>
                      </w:pPr>
                    </w:pPrChange>
                  </w:pPr>
                  <w:r>
                    <w:rPr>
                      <w:rFonts w:hint="default" w:ascii="Times New Roman" w:hAnsi="Times New Roman" w:cs="Times New Roman"/>
                      <w:color w:val="auto"/>
                      <w:sz w:val="21"/>
                      <w:szCs w:val="21"/>
                    </w:rPr>
                    <w:t>颗粒物</w:t>
                  </w:r>
                </w:p>
              </w:tc>
              <w:tc>
                <w:tcPr>
                  <w:tcW w:w="4522" w:type="dxa"/>
                  <w:vMerge w:val="restart"/>
                  <w:vAlign w:val="center"/>
                </w:tcPr>
                <w:p w14:paraId="3C714B4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经管道负压收集后进入布袋除尘器处理</w:t>
                  </w:r>
                  <w:r>
                    <w:rPr>
                      <w:rFonts w:hint="default" w:ascii="Times New Roman" w:hAnsi="Times New Roman" w:cs="Times New Roman"/>
                      <w:color w:val="auto"/>
                    </w:rPr>
                    <w:t>，</w:t>
                  </w:r>
                  <w:r>
                    <w:rPr>
                      <w:rFonts w:hint="default" w:ascii="Times New Roman" w:hAnsi="Times New Roman" w:cs="Times New Roman"/>
                      <w:color w:val="auto"/>
                      <w:sz w:val="21"/>
                      <w:szCs w:val="21"/>
                    </w:rPr>
                    <w:t>由1根15m高排气筒（DA001）有组织排放</w:t>
                  </w:r>
                </w:p>
              </w:tc>
            </w:tr>
            <w:tr w14:paraId="04C3B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dxa"/>
                  <w:vMerge w:val="continue"/>
                  <w:vAlign w:val="center"/>
                </w:tcPr>
                <w:p w14:paraId="1B1674D8">
                  <w:pPr>
                    <w:adjustRightInd w:val="0"/>
                    <w:snapToGrid w:val="0"/>
                    <w:spacing w:line="240" w:lineRule="auto"/>
                    <w:ind w:firstLine="0" w:firstLineChars="0"/>
                    <w:jc w:val="center"/>
                    <w:rPr>
                      <w:rFonts w:hint="default" w:ascii="Times New Roman" w:hAnsi="Times New Roman" w:cs="Times New Roman"/>
                      <w:color w:val="auto"/>
                      <w:sz w:val="21"/>
                      <w:szCs w:val="21"/>
                    </w:rPr>
                    <w:pPrChange w:id="7" w:author="崔涛" w:date="2026-07-24T09:51:00Z">
                      <w:pPr>
                        <w:spacing w:line="360" w:lineRule="exact"/>
                        <w:ind w:firstLine="0" w:firstLineChars="0"/>
                        <w:jc w:val="center"/>
                      </w:pPr>
                    </w:pPrChange>
                  </w:pPr>
                </w:p>
              </w:tc>
              <w:tc>
                <w:tcPr>
                  <w:tcW w:w="1347" w:type="dxa"/>
                  <w:vAlign w:val="center"/>
                </w:tcPr>
                <w:p w14:paraId="4914961A">
                  <w:pPr>
                    <w:adjustRightInd w:val="0"/>
                    <w:snapToGrid w:val="0"/>
                    <w:spacing w:line="240" w:lineRule="auto"/>
                    <w:ind w:firstLine="0" w:firstLineChars="0"/>
                    <w:jc w:val="center"/>
                    <w:rPr>
                      <w:rFonts w:hint="default" w:ascii="Times New Roman" w:hAnsi="Times New Roman" w:cs="Times New Roman"/>
                      <w:color w:val="auto"/>
                      <w:sz w:val="21"/>
                      <w:szCs w:val="21"/>
                    </w:rPr>
                    <w:pPrChange w:id="8"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二级破碎</w:t>
                  </w:r>
                </w:p>
              </w:tc>
              <w:tc>
                <w:tcPr>
                  <w:tcW w:w="1375" w:type="dxa"/>
                  <w:vAlign w:val="center"/>
                </w:tcPr>
                <w:p w14:paraId="27037D4E">
                  <w:pPr>
                    <w:keepNext w:val="0"/>
                    <w:adjustRightInd w:val="0"/>
                    <w:snapToGrid w:val="0"/>
                    <w:spacing w:line="240" w:lineRule="auto"/>
                    <w:ind w:firstLine="0" w:firstLineChars="0"/>
                    <w:jc w:val="center"/>
                    <w:rPr>
                      <w:rFonts w:hint="default" w:ascii="Times New Roman" w:hAnsi="Times New Roman" w:cs="Times New Roman"/>
                      <w:color w:val="auto"/>
                      <w:sz w:val="21"/>
                      <w:szCs w:val="21"/>
                    </w:rPr>
                    <w:pPrChange w:id="9" w:author="崔涛" w:date="2026-07-24T09:51:00Z">
                      <w:pPr>
                        <w:keepNext/>
                        <w:spacing w:line="360" w:lineRule="exact"/>
                        <w:ind w:firstLine="0" w:firstLineChars="0"/>
                        <w:jc w:val="center"/>
                      </w:pPr>
                    </w:pPrChange>
                  </w:pPr>
                  <w:r>
                    <w:rPr>
                      <w:rFonts w:hint="default" w:ascii="Times New Roman" w:hAnsi="Times New Roman" w:cs="Times New Roman"/>
                      <w:color w:val="auto"/>
                      <w:sz w:val="21"/>
                      <w:szCs w:val="21"/>
                    </w:rPr>
                    <w:t>颗粒物</w:t>
                  </w:r>
                </w:p>
              </w:tc>
              <w:tc>
                <w:tcPr>
                  <w:tcW w:w="4522" w:type="dxa"/>
                  <w:vMerge w:val="continue"/>
                  <w:vAlign w:val="center"/>
                </w:tcPr>
                <w:p w14:paraId="088DDDD4">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r>
            <w:tr w14:paraId="7CA7F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dxa"/>
                  <w:vMerge w:val="continue"/>
                  <w:vAlign w:val="center"/>
                </w:tcPr>
                <w:p w14:paraId="4F1AB8C9">
                  <w:pPr>
                    <w:adjustRightInd w:val="0"/>
                    <w:snapToGrid w:val="0"/>
                    <w:spacing w:line="240" w:lineRule="auto"/>
                    <w:ind w:firstLine="0" w:firstLineChars="0"/>
                    <w:jc w:val="center"/>
                    <w:rPr>
                      <w:rFonts w:hint="default" w:ascii="Times New Roman" w:hAnsi="Times New Roman" w:cs="Times New Roman"/>
                      <w:color w:val="auto"/>
                      <w:sz w:val="21"/>
                      <w:szCs w:val="21"/>
                    </w:rPr>
                    <w:pPrChange w:id="10" w:author="崔涛" w:date="2026-07-24T09:51:00Z">
                      <w:pPr>
                        <w:spacing w:line="360" w:lineRule="exact"/>
                        <w:ind w:firstLine="0" w:firstLineChars="0"/>
                        <w:jc w:val="center"/>
                      </w:pPr>
                    </w:pPrChange>
                  </w:pPr>
                </w:p>
              </w:tc>
              <w:tc>
                <w:tcPr>
                  <w:tcW w:w="1347" w:type="dxa"/>
                  <w:vAlign w:val="center"/>
                </w:tcPr>
                <w:p w14:paraId="61891B16">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Change w:id="11" w:author="崔涛" w:date="2026-07-24T09:51:00Z">
                      <w:pPr>
                        <w:spacing w:line="360" w:lineRule="exact"/>
                        <w:ind w:firstLine="0" w:firstLineChars="0"/>
                        <w:jc w:val="center"/>
                      </w:pPr>
                    </w:pPrChange>
                  </w:pPr>
                  <w:r>
                    <w:rPr>
                      <w:rFonts w:hint="default" w:ascii="Times New Roman" w:hAnsi="Times New Roman" w:cs="Times New Roman"/>
                      <w:color w:val="auto"/>
                      <w:sz w:val="21"/>
                      <w:szCs w:val="21"/>
                      <w:lang w:val="en-US" w:eastAsia="zh-CN"/>
                    </w:rPr>
                    <w:t>制砂</w:t>
                  </w:r>
                </w:p>
              </w:tc>
              <w:tc>
                <w:tcPr>
                  <w:tcW w:w="1375" w:type="dxa"/>
                  <w:vAlign w:val="center"/>
                </w:tcPr>
                <w:p w14:paraId="083A6653">
                  <w:pPr>
                    <w:keepNext w:val="0"/>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Change w:id="12" w:author="崔涛" w:date="2026-07-24T09:51:00Z">
                      <w:pPr>
                        <w:keepNext/>
                        <w:spacing w:line="360" w:lineRule="exact"/>
                        <w:ind w:firstLine="0" w:firstLineChars="0"/>
                        <w:jc w:val="center"/>
                      </w:pPr>
                    </w:pPrChange>
                  </w:pPr>
                  <w:r>
                    <w:rPr>
                      <w:rFonts w:hint="default" w:ascii="Times New Roman" w:hAnsi="Times New Roman" w:cs="Times New Roman"/>
                      <w:color w:val="auto"/>
                      <w:sz w:val="21"/>
                      <w:szCs w:val="21"/>
                      <w:lang w:val="en-US" w:eastAsia="zh-CN"/>
                    </w:rPr>
                    <w:t>颗粒物</w:t>
                  </w:r>
                </w:p>
              </w:tc>
              <w:tc>
                <w:tcPr>
                  <w:tcW w:w="4522" w:type="dxa"/>
                  <w:vMerge w:val="continue"/>
                  <w:vAlign w:val="center"/>
                </w:tcPr>
                <w:p w14:paraId="69A4C03B">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r>
            <w:tr w14:paraId="2333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666" w:type="dxa"/>
                  <w:vMerge w:val="continue"/>
                  <w:vAlign w:val="center"/>
                </w:tcPr>
                <w:p w14:paraId="3BBB2AD1">
                  <w:pPr>
                    <w:adjustRightInd w:val="0"/>
                    <w:snapToGrid w:val="0"/>
                    <w:spacing w:line="240" w:lineRule="auto"/>
                    <w:ind w:firstLine="0" w:firstLineChars="0"/>
                    <w:jc w:val="center"/>
                    <w:rPr>
                      <w:rFonts w:hint="default" w:ascii="Times New Roman" w:hAnsi="Times New Roman" w:cs="Times New Roman"/>
                      <w:color w:val="auto"/>
                      <w:sz w:val="21"/>
                      <w:szCs w:val="21"/>
                    </w:rPr>
                    <w:pPrChange w:id="13" w:author="崔涛" w:date="2026-07-24T09:51:00Z">
                      <w:pPr>
                        <w:spacing w:line="360" w:lineRule="exact"/>
                        <w:ind w:firstLine="0" w:firstLineChars="0"/>
                        <w:jc w:val="center"/>
                      </w:pPr>
                    </w:pPrChange>
                  </w:pPr>
                </w:p>
              </w:tc>
              <w:tc>
                <w:tcPr>
                  <w:tcW w:w="1347" w:type="dxa"/>
                  <w:vAlign w:val="center"/>
                </w:tcPr>
                <w:p w14:paraId="5ECD3CFE">
                  <w:pPr>
                    <w:adjustRightInd w:val="0"/>
                    <w:snapToGrid w:val="0"/>
                    <w:spacing w:line="240" w:lineRule="auto"/>
                    <w:ind w:firstLine="0" w:firstLineChars="0"/>
                    <w:jc w:val="center"/>
                    <w:rPr>
                      <w:rFonts w:hint="default" w:ascii="Times New Roman" w:hAnsi="Times New Roman" w:cs="Times New Roman"/>
                      <w:color w:val="auto"/>
                      <w:sz w:val="21"/>
                      <w:szCs w:val="21"/>
                    </w:rPr>
                    <w:pPrChange w:id="14"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筛分</w:t>
                  </w:r>
                </w:p>
              </w:tc>
              <w:tc>
                <w:tcPr>
                  <w:tcW w:w="1375" w:type="dxa"/>
                  <w:vAlign w:val="center"/>
                </w:tcPr>
                <w:p w14:paraId="3154947B">
                  <w:pPr>
                    <w:keepNext w:val="0"/>
                    <w:adjustRightInd w:val="0"/>
                    <w:snapToGrid w:val="0"/>
                    <w:spacing w:line="240" w:lineRule="auto"/>
                    <w:ind w:firstLine="0" w:firstLineChars="0"/>
                    <w:jc w:val="center"/>
                    <w:rPr>
                      <w:rFonts w:hint="default" w:ascii="Times New Roman" w:hAnsi="Times New Roman" w:cs="Times New Roman"/>
                      <w:color w:val="auto"/>
                      <w:sz w:val="21"/>
                      <w:szCs w:val="21"/>
                    </w:rPr>
                    <w:pPrChange w:id="15" w:author="崔涛" w:date="2026-07-24T09:51:00Z">
                      <w:pPr>
                        <w:keepNext/>
                        <w:spacing w:line="360" w:lineRule="exact"/>
                        <w:ind w:firstLine="0" w:firstLineChars="0"/>
                        <w:jc w:val="center"/>
                      </w:pPr>
                    </w:pPrChange>
                  </w:pPr>
                  <w:r>
                    <w:rPr>
                      <w:rFonts w:hint="default" w:ascii="Times New Roman" w:hAnsi="Times New Roman" w:cs="Times New Roman"/>
                      <w:color w:val="auto"/>
                      <w:sz w:val="21"/>
                      <w:szCs w:val="21"/>
                    </w:rPr>
                    <w:t>颗粒物</w:t>
                  </w:r>
                </w:p>
              </w:tc>
              <w:tc>
                <w:tcPr>
                  <w:tcW w:w="4522" w:type="dxa"/>
                  <w:vMerge w:val="continue"/>
                  <w:vAlign w:val="center"/>
                </w:tcPr>
                <w:p w14:paraId="38C718AE">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p>
              </w:tc>
            </w:tr>
            <w:tr w14:paraId="645F9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dxa"/>
                  <w:vMerge w:val="continue"/>
                  <w:vAlign w:val="center"/>
                </w:tcPr>
                <w:p w14:paraId="03C2EE4A">
                  <w:pPr>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1347" w:type="dxa"/>
                  <w:shd w:val="clear" w:color="auto" w:fill="auto"/>
                  <w:vAlign w:val="center"/>
                </w:tcPr>
                <w:p w14:paraId="2461888B">
                  <w:pPr>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皮带运输</w:t>
                  </w:r>
                </w:p>
              </w:tc>
              <w:tc>
                <w:tcPr>
                  <w:tcW w:w="1375" w:type="dxa"/>
                  <w:shd w:val="clear" w:color="auto" w:fill="auto"/>
                  <w:vAlign w:val="center"/>
                </w:tcPr>
                <w:p w14:paraId="2F269AD6">
                  <w:pPr>
                    <w:keepNext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颗粒物</w:t>
                  </w:r>
                </w:p>
              </w:tc>
              <w:tc>
                <w:tcPr>
                  <w:tcW w:w="4522" w:type="dxa"/>
                  <w:shd w:val="clear" w:color="auto" w:fill="auto"/>
                  <w:vAlign w:val="center"/>
                </w:tcPr>
                <w:p w14:paraId="6BAFD13A">
                  <w:pPr>
                    <w:widowControl/>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彩钢瓦封闭，出口喷淋装置洒水降尘。</w:t>
                  </w:r>
                </w:p>
              </w:tc>
            </w:tr>
            <w:tr w14:paraId="70EC7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dxa"/>
                  <w:vMerge w:val="continue"/>
                  <w:vAlign w:val="center"/>
                </w:tcPr>
                <w:p w14:paraId="1018A6C8">
                  <w:pPr>
                    <w:adjustRightInd w:val="0"/>
                    <w:snapToGrid w:val="0"/>
                    <w:spacing w:line="240" w:lineRule="auto"/>
                    <w:ind w:firstLine="0" w:firstLineChars="0"/>
                    <w:jc w:val="center"/>
                    <w:rPr>
                      <w:rFonts w:hint="default" w:ascii="Times New Roman" w:hAnsi="Times New Roman" w:cs="Times New Roman"/>
                      <w:color w:val="auto"/>
                      <w:sz w:val="21"/>
                      <w:szCs w:val="21"/>
                    </w:rPr>
                    <w:pPrChange w:id="16" w:author="崔涛" w:date="2026-07-24T09:51:00Z">
                      <w:pPr>
                        <w:spacing w:line="360" w:lineRule="exact"/>
                        <w:ind w:firstLine="0" w:firstLineChars="0"/>
                        <w:jc w:val="center"/>
                      </w:pPr>
                    </w:pPrChange>
                  </w:pPr>
                </w:p>
              </w:tc>
              <w:tc>
                <w:tcPr>
                  <w:tcW w:w="1347" w:type="dxa"/>
                  <w:vAlign w:val="center"/>
                </w:tcPr>
                <w:p w14:paraId="60A579F4">
                  <w:pPr>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Change w:id="17" w:author="崔涛" w:date="2026-07-24T09:51:00Z">
                      <w:pPr>
                        <w:spacing w:line="360" w:lineRule="exact"/>
                        <w:ind w:firstLine="0" w:firstLineChars="0"/>
                        <w:jc w:val="center"/>
                      </w:pPr>
                    </w:pPrChange>
                  </w:pPr>
                  <w:r>
                    <w:rPr>
                      <w:rFonts w:hint="default" w:ascii="Times New Roman" w:hAnsi="Times New Roman" w:cs="Times New Roman"/>
                      <w:color w:val="auto"/>
                      <w:sz w:val="21"/>
                      <w:szCs w:val="21"/>
                      <w:lang w:val="en-US" w:eastAsia="zh-CN"/>
                    </w:rPr>
                    <w:t>砂料堆场</w:t>
                  </w:r>
                </w:p>
              </w:tc>
              <w:tc>
                <w:tcPr>
                  <w:tcW w:w="1375" w:type="dxa"/>
                  <w:vAlign w:val="center"/>
                </w:tcPr>
                <w:p w14:paraId="706C8C94">
                  <w:pPr>
                    <w:keepNext w:val="0"/>
                    <w:adjustRightInd w:val="0"/>
                    <w:snapToGrid w:val="0"/>
                    <w:spacing w:line="240" w:lineRule="auto"/>
                    <w:ind w:firstLine="0" w:firstLineChars="0"/>
                    <w:jc w:val="center"/>
                    <w:rPr>
                      <w:rFonts w:hint="default" w:ascii="Times New Roman" w:hAnsi="Times New Roman" w:cs="Times New Roman"/>
                      <w:color w:val="auto"/>
                      <w:sz w:val="21"/>
                      <w:szCs w:val="21"/>
                    </w:rPr>
                    <w:pPrChange w:id="18" w:author="崔涛" w:date="2026-07-24T09:51:00Z">
                      <w:pPr>
                        <w:keepNext/>
                        <w:spacing w:line="360" w:lineRule="exact"/>
                        <w:ind w:firstLine="0" w:firstLineChars="0"/>
                        <w:jc w:val="center"/>
                      </w:pPr>
                    </w:pPrChange>
                  </w:pPr>
                  <w:r>
                    <w:rPr>
                      <w:rFonts w:hint="default" w:ascii="Times New Roman" w:hAnsi="Times New Roman" w:cs="Times New Roman"/>
                      <w:color w:val="auto"/>
                      <w:sz w:val="21"/>
                      <w:szCs w:val="21"/>
                    </w:rPr>
                    <w:t>颗粒物</w:t>
                  </w:r>
                </w:p>
              </w:tc>
              <w:tc>
                <w:tcPr>
                  <w:tcW w:w="4522" w:type="dxa"/>
                  <w:vAlign w:val="center"/>
                </w:tcPr>
                <w:p w14:paraId="0AC855D0">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三面围挡加顶棚，喷淋洒水装置洒水降尘</w:t>
                  </w:r>
                </w:p>
              </w:tc>
            </w:tr>
            <w:tr w14:paraId="43A5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666" w:type="dxa"/>
                  <w:vMerge w:val="continue"/>
                  <w:vAlign w:val="center"/>
                </w:tcPr>
                <w:p w14:paraId="0FB39FA7">
                  <w:pPr>
                    <w:adjustRightInd w:val="0"/>
                    <w:snapToGrid w:val="0"/>
                    <w:spacing w:line="240" w:lineRule="auto"/>
                    <w:ind w:firstLine="0" w:firstLineChars="0"/>
                    <w:jc w:val="center"/>
                    <w:rPr>
                      <w:rFonts w:hint="default" w:ascii="Times New Roman" w:hAnsi="Times New Roman" w:cs="Times New Roman"/>
                      <w:color w:val="auto"/>
                      <w:sz w:val="21"/>
                      <w:szCs w:val="21"/>
                    </w:rPr>
                    <w:pPrChange w:id="19" w:author="崔涛" w:date="2026-07-24T09:51:00Z">
                      <w:pPr>
                        <w:spacing w:line="360" w:lineRule="exact"/>
                        <w:ind w:firstLine="0" w:firstLineChars="0"/>
                        <w:jc w:val="center"/>
                      </w:pPr>
                    </w:pPrChange>
                  </w:pPr>
                </w:p>
              </w:tc>
              <w:tc>
                <w:tcPr>
                  <w:tcW w:w="1347" w:type="dxa"/>
                  <w:vAlign w:val="center"/>
                </w:tcPr>
                <w:p w14:paraId="1728122A">
                  <w:pPr>
                    <w:adjustRightInd w:val="0"/>
                    <w:snapToGrid w:val="0"/>
                    <w:spacing w:line="240" w:lineRule="auto"/>
                    <w:ind w:firstLine="0" w:firstLineChars="0"/>
                    <w:jc w:val="center"/>
                    <w:rPr>
                      <w:rFonts w:hint="default" w:ascii="Times New Roman" w:hAnsi="Times New Roman" w:cs="Times New Roman"/>
                      <w:color w:val="auto"/>
                      <w:sz w:val="21"/>
                      <w:szCs w:val="21"/>
                    </w:rPr>
                    <w:pPrChange w:id="20" w:author="崔涛" w:date="2026-07-24T09:51:00Z">
                      <w:pPr>
                        <w:spacing w:line="360" w:lineRule="exact"/>
                        <w:ind w:firstLine="0" w:firstLineChars="0"/>
                        <w:jc w:val="center"/>
                      </w:pPr>
                    </w:pPrChange>
                  </w:pPr>
                  <w:r>
                    <w:rPr>
                      <w:rFonts w:hint="default" w:ascii="Times New Roman" w:hAnsi="Times New Roman" w:cs="Times New Roman"/>
                      <w:bCs/>
                      <w:color w:val="auto"/>
                      <w:sz w:val="21"/>
                      <w:szCs w:val="21"/>
                    </w:rPr>
                    <w:t>道路运输扬尘及尾气</w:t>
                  </w:r>
                </w:p>
              </w:tc>
              <w:tc>
                <w:tcPr>
                  <w:tcW w:w="1375" w:type="dxa"/>
                  <w:vAlign w:val="center"/>
                </w:tcPr>
                <w:p w14:paraId="6667ECC7">
                  <w:pPr>
                    <w:keepNext w:val="0"/>
                    <w:adjustRightInd w:val="0"/>
                    <w:snapToGrid w:val="0"/>
                    <w:spacing w:line="240" w:lineRule="auto"/>
                    <w:ind w:firstLine="0" w:firstLineChars="0"/>
                    <w:jc w:val="center"/>
                    <w:rPr>
                      <w:rFonts w:hint="default" w:ascii="Times New Roman" w:hAnsi="Times New Roman" w:cs="Times New Roman"/>
                      <w:color w:val="auto"/>
                      <w:sz w:val="21"/>
                      <w:szCs w:val="21"/>
                    </w:rPr>
                    <w:pPrChange w:id="21" w:author="崔涛" w:date="2026-07-24T09:51:00Z">
                      <w:pPr>
                        <w:keepNext/>
                        <w:spacing w:line="360" w:lineRule="exact"/>
                        <w:ind w:firstLine="0" w:firstLineChars="0"/>
                        <w:jc w:val="center"/>
                      </w:pPr>
                    </w:pPrChange>
                  </w:pPr>
                  <w:r>
                    <w:rPr>
                      <w:rFonts w:hint="default" w:ascii="Times New Roman" w:hAnsi="Times New Roman" w:cs="Times New Roman"/>
                      <w:color w:val="auto"/>
                      <w:sz w:val="21"/>
                      <w:szCs w:val="21"/>
                    </w:rPr>
                    <w:t>颗粒物</w:t>
                  </w:r>
                </w:p>
              </w:tc>
              <w:tc>
                <w:tcPr>
                  <w:tcW w:w="4522" w:type="dxa"/>
                  <w:vAlign w:val="center"/>
                </w:tcPr>
                <w:p w14:paraId="55FEC20B">
                  <w:pPr>
                    <w:adjustRightInd w:val="0"/>
                    <w:snapToGrid w:val="0"/>
                    <w:spacing w:line="240" w:lineRule="auto"/>
                    <w:ind w:firstLine="0" w:firstLineChars="0"/>
                    <w:jc w:val="center"/>
                    <w:rPr>
                      <w:rFonts w:hint="default" w:ascii="Times New Roman" w:hAnsi="Times New Roman" w:cs="Times New Roman"/>
                      <w:color w:val="auto"/>
                      <w:sz w:val="21"/>
                      <w:szCs w:val="21"/>
                    </w:rPr>
                    <w:pPrChange w:id="22" w:author="崔涛" w:date="2026-07-24T09:51:00Z">
                      <w:pPr>
                        <w:snapToGrid w:val="0"/>
                        <w:spacing w:line="360" w:lineRule="exact"/>
                        <w:ind w:firstLine="0" w:firstLineChars="0"/>
                        <w:jc w:val="center"/>
                      </w:pPr>
                    </w:pPrChange>
                  </w:pPr>
                  <w:r>
                    <w:rPr>
                      <w:rFonts w:hint="default" w:ascii="Times New Roman" w:hAnsi="Times New Roman" w:cs="Times New Roman"/>
                      <w:color w:val="auto"/>
                      <w:sz w:val="21"/>
                      <w:szCs w:val="21"/>
                    </w:rPr>
                    <w:t>雾炮</w:t>
                  </w:r>
                  <w:r>
                    <w:rPr>
                      <w:rFonts w:hint="default" w:ascii="Times New Roman" w:hAnsi="Times New Roman" w:cs="Times New Roman"/>
                      <w:color w:val="auto"/>
                      <w:sz w:val="21"/>
                      <w:szCs w:val="21"/>
                      <w:lang w:val="en-US" w:eastAsia="zh-CN"/>
                    </w:rPr>
                    <w:t>机、</w:t>
                  </w:r>
                  <w:r>
                    <w:rPr>
                      <w:rFonts w:hint="default" w:ascii="Times New Roman" w:hAnsi="Times New Roman" w:cs="Times New Roman"/>
                      <w:color w:val="auto"/>
                      <w:sz w:val="21"/>
                      <w:szCs w:val="21"/>
                    </w:rPr>
                    <w:t>洒水车定期洒水降尘</w:t>
                  </w:r>
                </w:p>
              </w:tc>
            </w:tr>
            <w:tr w14:paraId="6E60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666" w:type="dxa"/>
                  <w:vMerge w:val="continue"/>
                  <w:vAlign w:val="center"/>
                </w:tcPr>
                <w:p w14:paraId="49CF81A0">
                  <w:pPr>
                    <w:adjustRightInd w:val="0"/>
                    <w:snapToGrid w:val="0"/>
                    <w:spacing w:line="240" w:lineRule="auto"/>
                    <w:ind w:firstLine="0" w:firstLineChars="0"/>
                    <w:jc w:val="center"/>
                    <w:rPr>
                      <w:rFonts w:hint="default" w:ascii="Times New Roman" w:hAnsi="Times New Roman" w:cs="Times New Roman"/>
                      <w:color w:val="auto"/>
                      <w:sz w:val="21"/>
                      <w:szCs w:val="21"/>
                    </w:rPr>
                    <w:pPrChange w:id="23" w:author="崔涛" w:date="2026-07-24T09:51:00Z">
                      <w:pPr>
                        <w:spacing w:line="360" w:lineRule="exact"/>
                        <w:ind w:firstLine="0" w:firstLineChars="0"/>
                        <w:jc w:val="center"/>
                      </w:pPr>
                    </w:pPrChange>
                  </w:pPr>
                </w:p>
              </w:tc>
              <w:tc>
                <w:tcPr>
                  <w:tcW w:w="1347" w:type="dxa"/>
                  <w:vAlign w:val="center"/>
                </w:tcPr>
                <w:p w14:paraId="40E356ED">
                  <w:pPr>
                    <w:adjustRightInd w:val="0"/>
                    <w:snapToGrid w:val="0"/>
                    <w:spacing w:line="240" w:lineRule="auto"/>
                    <w:ind w:firstLine="0" w:firstLineChars="0"/>
                    <w:jc w:val="center"/>
                    <w:rPr>
                      <w:rFonts w:hint="default" w:ascii="Times New Roman" w:hAnsi="Times New Roman" w:cs="Times New Roman"/>
                      <w:bCs/>
                      <w:color w:val="auto"/>
                      <w:sz w:val="21"/>
                      <w:szCs w:val="21"/>
                    </w:rPr>
                    <w:pPrChange w:id="24"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厨房油烟</w:t>
                  </w:r>
                </w:p>
              </w:tc>
              <w:tc>
                <w:tcPr>
                  <w:tcW w:w="1375" w:type="dxa"/>
                  <w:vAlign w:val="center"/>
                </w:tcPr>
                <w:p w14:paraId="05129CE4">
                  <w:pPr>
                    <w:adjustRightInd w:val="0"/>
                    <w:snapToGrid w:val="0"/>
                    <w:spacing w:line="240" w:lineRule="auto"/>
                    <w:ind w:firstLine="0" w:firstLineChars="0"/>
                    <w:jc w:val="center"/>
                    <w:rPr>
                      <w:rFonts w:hint="default" w:ascii="Times New Roman" w:hAnsi="Times New Roman" w:cs="Times New Roman"/>
                      <w:color w:val="auto"/>
                      <w:sz w:val="21"/>
                      <w:szCs w:val="21"/>
                    </w:rPr>
                    <w:pPrChange w:id="25" w:author="崔涛" w:date="2026-07-24T09:51:00Z">
                      <w:pPr>
                        <w:spacing w:line="360" w:lineRule="exact"/>
                        <w:ind w:firstLine="0" w:firstLineChars="0"/>
                        <w:jc w:val="center"/>
                      </w:pPr>
                    </w:pPrChange>
                  </w:pPr>
                  <w:r>
                    <w:rPr>
                      <w:rFonts w:hint="default" w:ascii="Times New Roman" w:hAnsi="Times New Roman" w:cs="Times New Roman"/>
                      <w:color w:val="auto"/>
                      <w:kern w:val="0"/>
                      <w:sz w:val="21"/>
                      <w:szCs w:val="21"/>
                    </w:rPr>
                    <w:t>/</w:t>
                  </w:r>
                </w:p>
              </w:tc>
              <w:tc>
                <w:tcPr>
                  <w:tcW w:w="4522" w:type="dxa"/>
                  <w:vAlign w:val="center"/>
                </w:tcPr>
                <w:p w14:paraId="375F9291">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经抽油烟机收集后由油烟净化器处理达标后排放</w:t>
                  </w:r>
                </w:p>
              </w:tc>
            </w:tr>
            <w:tr w14:paraId="02E7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dxa"/>
                  <w:vMerge w:val="restart"/>
                  <w:vAlign w:val="center"/>
                </w:tcPr>
                <w:p w14:paraId="5FF20AE6">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废水</w:t>
                  </w:r>
                </w:p>
              </w:tc>
              <w:tc>
                <w:tcPr>
                  <w:tcW w:w="1347" w:type="dxa"/>
                  <w:vAlign w:val="center"/>
                </w:tcPr>
                <w:p w14:paraId="33F023DA">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淋滤水、初期雨水</w:t>
                  </w:r>
                </w:p>
              </w:tc>
              <w:tc>
                <w:tcPr>
                  <w:tcW w:w="1375" w:type="dxa"/>
                  <w:vAlign w:val="center"/>
                </w:tcPr>
                <w:p w14:paraId="102C6519">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SS</w:t>
                  </w:r>
                </w:p>
              </w:tc>
              <w:tc>
                <w:tcPr>
                  <w:tcW w:w="4522" w:type="dxa"/>
                  <w:vAlign w:val="center"/>
                </w:tcPr>
                <w:p w14:paraId="3DC01C90">
                  <w:pPr>
                    <w:widowControl/>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经截排水沟汇入沉砂池沉淀处理后回用于厂区洒水降尘，不外排</w:t>
                  </w:r>
                </w:p>
              </w:tc>
            </w:tr>
            <w:tr w14:paraId="58362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66" w:type="dxa"/>
                  <w:vMerge w:val="continue"/>
                  <w:vAlign w:val="center"/>
                </w:tcPr>
                <w:p w14:paraId="183B528D">
                  <w:pPr>
                    <w:adjustRightInd w:val="0"/>
                    <w:snapToGrid w:val="0"/>
                    <w:spacing w:line="240" w:lineRule="auto"/>
                    <w:ind w:firstLine="0" w:firstLineChars="0"/>
                    <w:jc w:val="center"/>
                    <w:rPr>
                      <w:rFonts w:hint="default" w:ascii="Times New Roman" w:hAnsi="Times New Roman" w:cs="Times New Roman"/>
                      <w:color w:val="auto"/>
                      <w:sz w:val="21"/>
                      <w:szCs w:val="21"/>
                    </w:rPr>
                    <w:pPrChange w:id="26" w:author="崔涛" w:date="2026-07-24T09:51:00Z">
                      <w:pPr>
                        <w:spacing w:line="360" w:lineRule="exact"/>
                        <w:ind w:firstLine="0" w:firstLineChars="0"/>
                        <w:jc w:val="center"/>
                      </w:pPr>
                    </w:pPrChange>
                  </w:pPr>
                </w:p>
              </w:tc>
              <w:tc>
                <w:tcPr>
                  <w:tcW w:w="1347" w:type="dxa"/>
                  <w:vAlign w:val="center"/>
                </w:tcPr>
                <w:p w14:paraId="7D380A1B">
                  <w:pPr>
                    <w:adjustRightInd w:val="0"/>
                    <w:snapToGrid w:val="0"/>
                    <w:spacing w:line="240" w:lineRule="auto"/>
                    <w:ind w:firstLine="0" w:firstLineChars="0"/>
                    <w:jc w:val="center"/>
                    <w:rPr>
                      <w:rFonts w:hint="default" w:ascii="Times New Roman" w:hAnsi="Times New Roman" w:cs="Times New Roman"/>
                      <w:color w:val="auto"/>
                      <w:sz w:val="21"/>
                      <w:szCs w:val="21"/>
                    </w:rPr>
                    <w:pPrChange w:id="27"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车辆清洗废水</w:t>
                  </w:r>
                </w:p>
              </w:tc>
              <w:tc>
                <w:tcPr>
                  <w:tcW w:w="1375" w:type="dxa"/>
                  <w:vAlign w:val="center"/>
                </w:tcPr>
                <w:p w14:paraId="2E0E8981">
                  <w:pPr>
                    <w:adjustRightInd w:val="0"/>
                    <w:snapToGrid w:val="0"/>
                    <w:spacing w:line="240" w:lineRule="auto"/>
                    <w:ind w:firstLine="0" w:firstLineChars="0"/>
                    <w:jc w:val="center"/>
                    <w:rPr>
                      <w:rFonts w:hint="default" w:ascii="Times New Roman" w:hAnsi="Times New Roman" w:cs="Times New Roman"/>
                      <w:color w:val="auto"/>
                      <w:sz w:val="21"/>
                      <w:szCs w:val="21"/>
                    </w:rPr>
                    <w:pPrChange w:id="28"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SS</w:t>
                  </w:r>
                </w:p>
              </w:tc>
              <w:tc>
                <w:tcPr>
                  <w:tcW w:w="4522" w:type="dxa"/>
                  <w:vAlign w:val="center"/>
                </w:tcPr>
                <w:p w14:paraId="452A98FB">
                  <w:pPr>
                    <w:adjustRightInd w:val="0"/>
                    <w:snapToGrid w:val="0"/>
                    <w:spacing w:line="240" w:lineRule="auto"/>
                    <w:ind w:firstLine="0" w:firstLineChars="0"/>
                    <w:jc w:val="center"/>
                    <w:rPr>
                      <w:rFonts w:hint="default" w:ascii="Times New Roman" w:hAnsi="Times New Roman" w:cs="Times New Roman"/>
                      <w:color w:val="auto"/>
                      <w:sz w:val="21"/>
                      <w:szCs w:val="21"/>
                    </w:rPr>
                    <w:pPrChange w:id="29"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收集于洗车池后循环使用，不外排</w:t>
                  </w:r>
                </w:p>
              </w:tc>
            </w:tr>
            <w:tr w14:paraId="3D6C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666" w:type="dxa"/>
                  <w:vMerge w:val="continue"/>
                  <w:vAlign w:val="center"/>
                </w:tcPr>
                <w:p w14:paraId="2F4EC62C">
                  <w:pPr>
                    <w:adjustRightInd w:val="0"/>
                    <w:snapToGrid w:val="0"/>
                    <w:spacing w:line="240" w:lineRule="auto"/>
                    <w:ind w:firstLine="0" w:firstLineChars="0"/>
                    <w:jc w:val="center"/>
                    <w:rPr>
                      <w:rFonts w:hint="default" w:ascii="Times New Roman" w:hAnsi="Times New Roman" w:cs="Times New Roman"/>
                      <w:color w:val="auto"/>
                      <w:sz w:val="21"/>
                      <w:szCs w:val="21"/>
                    </w:rPr>
                    <w:pPrChange w:id="30" w:author="崔涛" w:date="2026-07-24T09:51:00Z">
                      <w:pPr>
                        <w:spacing w:line="360" w:lineRule="exact"/>
                        <w:ind w:firstLine="0" w:firstLineChars="0"/>
                        <w:jc w:val="center"/>
                      </w:pPr>
                    </w:pPrChange>
                  </w:pPr>
                </w:p>
              </w:tc>
              <w:tc>
                <w:tcPr>
                  <w:tcW w:w="1347" w:type="dxa"/>
                  <w:vAlign w:val="center"/>
                </w:tcPr>
                <w:p w14:paraId="16335981">
                  <w:pPr>
                    <w:adjustRightInd w:val="0"/>
                    <w:snapToGrid w:val="0"/>
                    <w:spacing w:line="240" w:lineRule="auto"/>
                    <w:ind w:firstLine="0" w:firstLineChars="0"/>
                    <w:jc w:val="center"/>
                    <w:rPr>
                      <w:rFonts w:hint="default" w:ascii="Times New Roman" w:hAnsi="Times New Roman" w:cs="Times New Roman"/>
                      <w:color w:val="auto"/>
                      <w:sz w:val="21"/>
                      <w:szCs w:val="21"/>
                    </w:rPr>
                    <w:pPrChange w:id="31"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生活污水</w:t>
                  </w:r>
                </w:p>
              </w:tc>
              <w:tc>
                <w:tcPr>
                  <w:tcW w:w="1375" w:type="dxa"/>
                  <w:vAlign w:val="center"/>
                </w:tcPr>
                <w:p w14:paraId="2FB51B24">
                  <w:pPr>
                    <w:adjustRightInd w:val="0"/>
                    <w:snapToGrid w:val="0"/>
                    <w:spacing w:line="240" w:lineRule="auto"/>
                    <w:ind w:firstLine="0" w:firstLineChars="0"/>
                    <w:jc w:val="center"/>
                    <w:rPr>
                      <w:rFonts w:hint="default" w:ascii="Times New Roman" w:hAnsi="Times New Roman" w:cs="Times New Roman"/>
                      <w:color w:val="auto"/>
                      <w:sz w:val="21"/>
                      <w:szCs w:val="21"/>
                    </w:rPr>
                    <w:pPrChange w:id="32"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COD、SS、NH</w:t>
                  </w:r>
                  <w:r>
                    <w:rPr>
                      <w:rFonts w:hint="default" w:ascii="Times New Roman" w:hAnsi="Times New Roman" w:cs="Times New Roman"/>
                      <w:color w:val="auto"/>
                      <w:sz w:val="21"/>
                      <w:szCs w:val="21"/>
                      <w:vertAlign w:val="subscript"/>
                    </w:rPr>
                    <w:t>3</w:t>
                  </w:r>
                  <w:r>
                    <w:rPr>
                      <w:rFonts w:hint="default" w:ascii="Times New Roman" w:hAnsi="Times New Roman" w:cs="Times New Roman"/>
                      <w:color w:val="auto"/>
                      <w:sz w:val="21"/>
                      <w:szCs w:val="21"/>
                    </w:rPr>
                    <w:t>-N、TN、TP、动植物油等</w:t>
                  </w:r>
                </w:p>
              </w:tc>
              <w:tc>
                <w:tcPr>
                  <w:tcW w:w="4522" w:type="dxa"/>
                  <w:vAlign w:val="center"/>
                </w:tcPr>
                <w:p w14:paraId="614532D3">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rPr>
                    <w:t>厨房废水经隔油池处理后与其他生活污水一起经化粪池处理，</w:t>
                  </w:r>
                  <w:r>
                    <w:rPr>
                      <w:rFonts w:hint="default" w:ascii="Times New Roman" w:hAnsi="Times New Roman" w:cs="Times New Roman"/>
                      <w:color w:val="auto"/>
                      <w:sz w:val="21"/>
                      <w:szCs w:val="21"/>
                    </w:rPr>
                    <w:t>定期清掏</w:t>
                  </w:r>
                  <w:r>
                    <w:rPr>
                      <w:rFonts w:hint="default" w:ascii="Times New Roman" w:hAnsi="Times New Roman" w:cs="Times New Roman"/>
                      <w:color w:val="auto"/>
                      <w:sz w:val="21"/>
                      <w:szCs w:val="21"/>
                      <w:lang w:val="en-US" w:eastAsia="zh-CN"/>
                    </w:rPr>
                    <w:t>用作农肥</w:t>
                  </w:r>
                </w:p>
              </w:tc>
            </w:tr>
            <w:tr w14:paraId="77AA7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666" w:type="dxa"/>
                  <w:vMerge w:val="restart"/>
                  <w:vAlign w:val="center"/>
                </w:tcPr>
                <w:p w14:paraId="33ECE98B">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固体废物</w:t>
                  </w:r>
                </w:p>
              </w:tc>
              <w:tc>
                <w:tcPr>
                  <w:tcW w:w="1347" w:type="dxa"/>
                  <w:vAlign w:val="center"/>
                </w:tcPr>
                <w:p w14:paraId="3BDD9913">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表土剥离</w:t>
                  </w:r>
                </w:p>
              </w:tc>
              <w:tc>
                <w:tcPr>
                  <w:tcW w:w="1375" w:type="dxa"/>
                  <w:vAlign w:val="center"/>
                </w:tcPr>
                <w:p w14:paraId="07535C8D">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表土</w:t>
                  </w:r>
                </w:p>
              </w:tc>
              <w:tc>
                <w:tcPr>
                  <w:tcW w:w="4522" w:type="dxa"/>
                  <w:vAlign w:val="center"/>
                </w:tcPr>
                <w:p w14:paraId="0A5BC45A">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暂存于</w:t>
                  </w:r>
                  <w:r>
                    <w:rPr>
                      <w:rFonts w:hint="default" w:ascii="Times New Roman" w:hAnsi="Times New Roman" w:cs="Times New Roman"/>
                      <w:color w:val="auto"/>
                      <w:sz w:val="21"/>
                      <w:szCs w:val="21"/>
                      <w:lang w:val="en-US" w:eastAsia="zh-CN"/>
                    </w:rPr>
                    <w:t>临时表土堆场</w:t>
                  </w:r>
                  <w:r>
                    <w:rPr>
                      <w:rFonts w:hint="default" w:ascii="Times New Roman" w:hAnsi="Times New Roman" w:cs="Times New Roman"/>
                      <w:color w:val="auto"/>
                      <w:sz w:val="21"/>
                      <w:szCs w:val="21"/>
                    </w:rPr>
                    <w:t>，用于采空区绿化覆土</w:t>
                  </w:r>
                </w:p>
              </w:tc>
            </w:tr>
            <w:tr w14:paraId="7FBC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666" w:type="dxa"/>
                  <w:vMerge w:val="continue"/>
                  <w:vAlign w:val="center"/>
                </w:tcPr>
                <w:p w14:paraId="12D51039">
                  <w:pPr>
                    <w:adjustRightInd w:val="0"/>
                    <w:snapToGrid w:val="0"/>
                    <w:spacing w:line="240" w:lineRule="auto"/>
                    <w:ind w:firstLine="0" w:firstLineChars="0"/>
                    <w:jc w:val="center"/>
                    <w:rPr>
                      <w:rFonts w:hint="default" w:ascii="Times New Roman" w:hAnsi="Times New Roman" w:cs="Times New Roman"/>
                      <w:color w:val="auto"/>
                      <w:sz w:val="21"/>
                      <w:szCs w:val="21"/>
                    </w:rPr>
                    <w:pPrChange w:id="33" w:author="崔涛" w:date="2026-07-24T09:51:00Z">
                      <w:pPr>
                        <w:spacing w:line="360" w:lineRule="exact"/>
                        <w:ind w:firstLine="0" w:firstLineChars="0"/>
                        <w:jc w:val="center"/>
                      </w:pPr>
                    </w:pPrChange>
                  </w:pPr>
                </w:p>
              </w:tc>
              <w:tc>
                <w:tcPr>
                  <w:tcW w:w="1347" w:type="dxa"/>
                  <w:vAlign w:val="center"/>
                </w:tcPr>
                <w:p w14:paraId="175E11B5">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Change w:id="34" w:author="崔涛" w:date="2026-07-24T09:51:00Z">
                      <w:pPr>
                        <w:spacing w:line="360" w:lineRule="exact"/>
                        <w:ind w:firstLine="0" w:firstLineChars="0"/>
                        <w:jc w:val="center"/>
                      </w:pPr>
                    </w:pPrChange>
                  </w:pPr>
                  <w:r>
                    <w:rPr>
                      <w:rFonts w:hint="default" w:ascii="Times New Roman" w:hAnsi="Times New Roman" w:cs="Times New Roman"/>
                      <w:color w:val="auto"/>
                      <w:sz w:val="21"/>
                      <w:szCs w:val="21"/>
                      <w:lang w:val="en-US" w:eastAsia="zh-CN"/>
                    </w:rPr>
                    <w:t>废气治理</w:t>
                  </w:r>
                </w:p>
              </w:tc>
              <w:tc>
                <w:tcPr>
                  <w:tcW w:w="1375" w:type="dxa"/>
                  <w:vAlign w:val="center"/>
                </w:tcPr>
                <w:p w14:paraId="02D79D82">
                  <w:pPr>
                    <w:adjustRightInd w:val="0"/>
                    <w:snapToGrid w:val="0"/>
                    <w:spacing w:line="240" w:lineRule="auto"/>
                    <w:ind w:firstLine="0" w:firstLineChars="0"/>
                    <w:jc w:val="center"/>
                    <w:rPr>
                      <w:rFonts w:hint="default" w:ascii="Times New Roman" w:hAnsi="Times New Roman" w:cs="Times New Roman"/>
                      <w:color w:val="auto"/>
                      <w:sz w:val="21"/>
                      <w:szCs w:val="21"/>
                    </w:rPr>
                    <w:pPrChange w:id="35" w:author="崔涛" w:date="2026-07-24T09:51:00Z">
                      <w:pPr>
                        <w:spacing w:line="360" w:lineRule="exact"/>
                        <w:ind w:firstLine="0" w:firstLineChars="0"/>
                        <w:jc w:val="center"/>
                      </w:pPr>
                    </w:pPrChange>
                  </w:pPr>
                  <w:r>
                    <w:rPr>
                      <w:rFonts w:hint="default" w:ascii="Times New Roman" w:hAnsi="Times New Roman" w:cs="Times New Roman"/>
                      <w:color w:val="auto"/>
                      <w:sz w:val="21"/>
                      <w:szCs w:val="21"/>
                      <w:lang w:val="en-US" w:eastAsia="zh-CN"/>
                    </w:rPr>
                    <w:t>布袋收集粉尘</w:t>
                  </w:r>
                </w:p>
              </w:tc>
              <w:tc>
                <w:tcPr>
                  <w:tcW w:w="4522" w:type="dxa"/>
                  <w:vAlign w:val="center"/>
                </w:tcPr>
                <w:p w14:paraId="18B4CE61">
                  <w:pPr>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外售</w:t>
                  </w:r>
                </w:p>
              </w:tc>
            </w:tr>
            <w:tr w14:paraId="7A01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6" w:type="dxa"/>
                  <w:vMerge w:val="continue"/>
                  <w:vAlign w:val="center"/>
                </w:tcPr>
                <w:p w14:paraId="018AE5FF">
                  <w:pPr>
                    <w:adjustRightInd w:val="0"/>
                    <w:snapToGrid w:val="0"/>
                    <w:spacing w:line="240" w:lineRule="auto"/>
                    <w:ind w:firstLine="0" w:firstLineChars="0"/>
                    <w:jc w:val="center"/>
                    <w:rPr>
                      <w:rFonts w:hint="default" w:ascii="Times New Roman" w:hAnsi="Times New Roman" w:cs="Times New Roman"/>
                      <w:color w:val="auto"/>
                      <w:sz w:val="21"/>
                      <w:szCs w:val="21"/>
                    </w:rPr>
                    <w:pPrChange w:id="36" w:author="崔涛" w:date="2026-07-24T09:51:00Z">
                      <w:pPr>
                        <w:spacing w:line="360" w:lineRule="exact"/>
                        <w:ind w:firstLine="0" w:firstLineChars="0"/>
                        <w:jc w:val="center"/>
                      </w:pPr>
                    </w:pPrChange>
                  </w:pPr>
                </w:p>
              </w:tc>
              <w:tc>
                <w:tcPr>
                  <w:tcW w:w="1347" w:type="dxa"/>
                  <w:vAlign w:val="center"/>
                </w:tcPr>
                <w:p w14:paraId="007BD8FC">
                  <w:pPr>
                    <w:adjustRightInd w:val="0"/>
                    <w:snapToGrid w:val="0"/>
                    <w:spacing w:line="240" w:lineRule="auto"/>
                    <w:ind w:firstLine="0" w:firstLineChars="0"/>
                    <w:jc w:val="center"/>
                    <w:rPr>
                      <w:rFonts w:hint="default" w:ascii="Times New Roman" w:hAnsi="Times New Roman" w:cs="Times New Roman"/>
                      <w:color w:val="auto"/>
                      <w:sz w:val="21"/>
                      <w:szCs w:val="21"/>
                    </w:rPr>
                    <w:pPrChange w:id="37" w:author="崔涛" w:date="2026-07-24T09:51:00Z">
                      <w:pPr>
                        <w:spacing w:line="360" w:lineRule="exact"/>
                        <w:ind w:firstLine="0" w:firstLineChars="0"/>
                        <w:jc w:val="center"/>
                      </w:pPr>
                    </w:pPrChange>
                  </w:pPr>
                  <w:r>
                    <w:rPr>
                      <w:rFonts w:hint="default" w:ascii="Times New Roman" w:hAnsi="Times New Roman" w:cs="Times New Roman"/>
                      <w:color w:val="auto"/>
                      <w:sz w:val="21"/>
                      <w:szCs w:val="21"/>
                      <w:lang w:val="en-US" w:eastAsia="zh-CN"/>
                    </w:rPr>
                    <w:t>废气治理</w:t>
                  </w:r>
                </w:p>
              </w:tc>
              <w:tc>
                <w:tcPr>
                  <w:tcW w:w="1375" w:type="dxa"/>
                  <w:vAlign w:val="center"/>
                </w:tcPr>
                <w:p w14:paraId="69658D91">
                  <w:pPr>
                    <w:adjustRightInd w:val="0"/>
                    <w:snapToGrid w:val="0"/>
                    <w:spacing w:line="240" w:lineRule="auto"/>
                    <w:ind w:firstLine="0" w:firstLineChars="0"/>
                    <w:jc w:val="center"/>
                    <w:rPr>
                      <w:rFonts w:hint="default" w:ascii="Times New Roman" w:hAnsi="Times New Roman" w:cs="Times New Roman"/>
                      <w:color w:val="auto"/>
                      <w:sz w:val="21"/>
                      <w:szCs w:val="21"/>
                    </w:rPr>
                    <w:pPrChange w:id="38" w:author="崔涛" w:date="2026-07-24T09:51:00Z">
                      <w:pPr>
                        <w:spacing w:line="360" w:lineRule="exact"/>
                        <w:ind w:firstLine="0" w:firstLineChars="0"/>
                        <w:jc w:val="center"/>
                      </w:pPr>
                    </w:pPrChange>
                  </w:pPr>
                  <w:r>
                    <w:rPr>
                      <w:rFonts w:hint="default" w:ascii="Times New Roman" w:hAnsi="Times New Roman" w:cs="Times New Roman"/>
                      <w:color w:val="auto"/>
                      <w:sz w:val="21"/>
                      <w:szCs w:val="21"/>
                      <w:lang w:val="en-US" w:eastAsia="zh-CN"/>
                    </w:rPr>
                    <w:t>废布袋</w:t>
                  </w:r>
                </w:p>
              </w:tc>
              <w:tc>
                <w:tcPr>
                  <w:tcW w:w="4522" w:type="dxa"/>
                  <w:vAlign w:val="center"/>
                </w:tcPr>
                <w:p w14:paraId="43662A07">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由更换厂家带走回收处置</w:t>
                  </w:r>
                </w:p>
              </w:tc>
            </w:tr>
            <w:tr w14:paraId="0862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666" w:type="dxa"/>
                  <w:vMerge w:val="continue"/>
                  <w:vAlign w:val="center"/>
                </w:tcPr>
                <w:p w14:paraId="33B03814">
                  <w:pPr>
                    <w:adjustRightInd w:val="0"/>
                    <w:snapToGrid w:val="0"/>
                    <w:spacing w:line="240" w:lineRule="auto"/>
                    <w:ind w:firstLine="0" w:firstLineChars="0"/>
                    <w:jc w:val="center"/>
                    <w:rPr>
                      <w:rFonts w:hint="default" w:ascii="Times New Roman" w:hAnsi="Times New Roman" w:cs="Times New Roman"/>
                      <w:color w:val="auto"/>
                      <w:sz w:val="21"/>
                      <w:szCs w:val="21"/>
                    </w:rPr>
                    <w:pPrChange w:id="39" w:author="崔涛" w:date="2026-07-24T09:51:00Z">
                      <w:pPr>
                        <w:spacing w:line="360" w:lineRule="exact"/>
                        <w:ind w:firstLine="0" w:firstLineChars="0"/>
                        <w:jc w:val="center"/>
                      </w:pPr>
                    </w:pPrChange>
                  </w:pPr>
                </w:p>
              </w:tc>
              <w:tc>
                <w:tcPr>
                  <w:tcW w:w="1347" w:type="dxa"/>
                  <w:vAlign w:val="center"/>
                </w:tcPr>
                <w:p w14:paraId="6354B926">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Change w:id="40" w:author="崔涛" w:date="2026-07-24T09:51:00Z">
                      <w:pPr>
                        <w:spacing w:line="360" w:lineRule="exact"/>
                        <w:ind w:firstLine="0" w:firstLineChars="0"/>
                        <w:jc w:val="center"/>
                      </w:pPr>
                    </w:pPrChange>
                  </w:pPr>
                  <w:r>
                    <w:rPr>
                      <w:rFonts w:hint="default" w:ascii="Times New Roman" w:hAnsi="Times New Roman" w:cs="Times New Roman"/>
                      <w:color w:val="auto"/>
                      <w:sz w:val="21"/>
                      <w:szCs w:val="21"/>
                      <w:lang w:val="en-US" w:eastAsia="zh-CN"/>
                    </w:rPr>
                    <w:t>沉砂池</w:t>
                  </w:r>
                </w:p>
              </w:tc>
              <w:tc>
                <w:tcPr>
                  <w:tcW w:w="1375" w:type="dxa"/>
                  <w:vAlign w:val="center"/>
                </w:tcPr>
                <w:p w14:paraId="4A2D08A0">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Change w:id="41" w:author="崔涛" w:date="2026-07-24T09:51:00Z">
                      <w:pPr>
                        <w:spacing w:line="360" w:lineRule="exact"/>
                        <w:ind w:firstLine="0" w:firstLineChars="0"/>
                        <w:jc w:val="center"/>
                      </w:pPr>
                    </w:pPrChange>
                  </w:pPr>
                  <w:r>
                    <w:rPr>
                      <w:rFonts w:hint="default" w:ascii="Times New Roman" w:hAnsi="Times New Roman" w:cs="Times New Roman"/>
                      <w:color w:val="auto"/>
                      <w:sz w:val="21"/>
                      <w:szCs w:val="21"/>
                      <w:lang w:val="en-US" w:eastAsia="zh-CN"/>
                    </w:rPr>
                    <w:t>沉砂池泥沙</w:t>
                  </w:r>
                </w:p>
              </w:tc>
              <w:tc>
                <w:tcPr>
                  <w:tcW w:w="4522" w:type="dxa"/>
                  <w:vAlign w:val="center"/>
                </w:tcPr>
                <w:p w14:paraId="3DF6F3D4">
                  <w:pPr>
                    <w:adjustRightInd w:val="0"/>
                    <w:snapToGrid w:val="0"/>
                    <w:spacing w:line="240" w:lineRule="auto"/>
                    <w:ind w:firstLine="0" w:firstLineChars="0"/>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rPr>
                    <w:t>定期清掏</w:t>
                  </w:r>
                  <w:r>
                    <w:rPr>
                      <w:rFonts w:hint="default" w:ascii="Times New Roman" w:hAnsi="Times New Roman" w:cs="Times New Roman"/>
                      <w:color w:val="auto"/>
                      <w:kern w:val="0"/>
                      <w:sz w:val="21"/>
                      <w:szCs w:val="21"/>
                      <w:lang w:bidi="ar"/>
                    </w:rPr>
                    <w:t>暂存于</w:t>
                  </w:r>
                  <w:r>
                    <w:rPr>
                      <w:rFonts w:hint="default" w:ascii="Times New Roman" w:hAnsi="Times New Roman" w:cs="Times New Roman"/>
                      <w:color w:val="auto"/>
                      <w:kern w:val="0"/>
                      <w:sz w:val="21"/>
                      <w:szCs w:val="21"/>
                      <w:lang w:val="en-US" w:eastAsia="zh-CN" w:bidi="ar"/>
                    </w:rPr>
                    <w:t>临时表土堆场</w:t>
                  </w:r>
                  <w:r>
                    <w:rPr>
                      <w:rFonts w:hint="default" w:ascii="Times New Roman" w:hAnsi="Times New Roman" w:cs="Times New Roman"/>
                      <w:color w:val="auto"/>
                      <w:kern w:val="0"/>
                      <w:sz w:val="21"/>
                      <w:szCs w:val="21"/>
                      <w:lang w:bidi="ar"/>
                    </w:rPr>
                    <w:t>，</w:t>
                  </w:r>
                  <w:r>
                    <w:rPr>
                      <w:rFonts w:hint="default" w:ascii="Times New Roman" w:hAnsi="Times New Roman" w:cs="Times New Roman"/>
                      <w:color w:val="auto"/>
                      <w:sz w:val="21"/>
                      <w:szCs w:val="21"/>
                    </w:rPr>
                    <w:t>用于采空区回填</w:t>
                  </w:r>
                </w:p>
              </w:tc>
            </w:tr>
            <w:tr w14:paraId="3CC3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666" w:type="dxa"/>
                  <w:vMerge w:val="continue"/>
                  <w:vAlign w:val="center"/>
                </w:tcPr>
                <w:p w14:paraId="792E34E7">
                  <w:pPr>
                    <w:adjustRightInd w:val="0"/>
                    <w:snapToGrid w:val="0"/>
                    <w:spacing w:line="240" w:lineRule="auto"/>
                    <w:ind w:firstLine="0" w:firstLineChars="0"/>
                    <w:jc w:val="center"/>
                    <w:rPr>
                      <w:rFonts w:hint="default" w:ascii="Times New Roman" w:hAnsi="Times New Roman" w:cs="Times New Roman"/>
                      <w:color w:val="auto"/>
                      <w:sz w:val="21"/>
                      <w:szCs w:val="21"/>
                    </w:rPr>
                  </w:pPr>
                </w:p>
              </w:tc>
              <w:tc>
                <w:tcPr>
                  <w:tcW w:w="1347" w:type="dxa"/>
                  <w:vAlign w:val="center"/>
                </w:tcPr>
                <w:p w14:paraId="01F024FF">
                  <w:pPr>
                    <w:adjustRightInd w:val="0"/>
                    <w:snapToGrid w:val="0"/>
                    <w:spacing w:line="240" w:lineRule="auto"/>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化粪池</w:t>
                  </w:r>
                </w:p>
              </w:tc>
              <w:tc>
                <w:tcPr>
                  <w:tcW w:w="1375" w:type="dxa"/>
                  <w:vAlign w:val="center"/>
                </w:tcPr>
                <w:p w14:paraId="3F0E748A">
                  <w:pPr>
                    <w:adjustRightInd w:val="0"/>
                    <w:snapToGrid w:val="0"/>
                    <w:spacing w:line="240" w:lineRule="auto"/>
                    <w:ind w:firstLine="0" w:firstLineChars="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化粪池污泥</w:t>
                  </w:r>
                </w:p>
              </w:tc>
              <w:tc>
                <w:tcPr>
                  <w:tcW w:w="4522" w:type="dxa"/>
                  <w:vAlign w:val="center"/>
                </w:tcPr>
                <w:p w14:paraId="7C4AB91E">
                  <w:pPr>
                    <w:adjustRightInd w:val="0"/>
                    <w:snapToGrid w:val="0"/>
                    <w:spacing w:line="240" w:lineRule="auto"/>
                    <w:ind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定期清掏用作农肥</w:t>
                  </w:r>
                </w:p>
              </w:tc>
            </w:tr>
            <w:tr w14:paraId="422B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666" w:type="dxa"/>
                  <w:vMerge w:val="continue"/>
                  <w:vAlign w:val="center"/>
                </w:tcPr>
                <w:p w14:paraId="3C7D1247">
                  <w:pPr>
                    <w:adjustRightInd w:val="0"/>
                    <w:snapToGrid w:val="0"/>
                    <w:spacing w:line="240" w:lineRule="auto"/>
                    <w:ind w:firstLine="0" w:firstLineChars="0"/>
                    <w:jc w:val="center"/>
                    <w:rPr>
                      <w:rFonts w:hint="default" w:ascii="Times New Roman" w:hAnsi="Times New Roman" w:cs="Times New Roman"/>
                      <w:color w:val="auto"/>
                      <w:sz w:val="21"/>
                      <w:szCs w:val="21"/>
                    </w:rPr>
                    <w:pPrChange w:id="42" w:author="崔涛" w:date="2026-07-24T09:51:00Z">
                      <w:pPr>
                        <w:spacing w:line="360" w:lineRule="exact"/>
                        <w:ind w:firstLine="0" w:firstLineChars="0"/>
                        <w:jc w:val="center"/>
                      </w:pPr>
                    </w:pPrChange>
                  </w:pPr>
                </w:p>
              </w:tc>
              <w:tc>
                <w:tcPr>
                  <w:tcW w:w="1347" w:type="dxa"/>
                  <w:vMerge w:val="restart"/>
                  <w:vAlign w:val="center"/>
                </w:tcPr>
                <w:p w14:paraId="17F8601B">
                  <w:pPr>
                    <w:adjustRightInd w:val="0"/>
                    <w:snapToGrid w:val="0"/>
                    <w:spacing w:line="240" w:lineRule="auto"/>
                    <w:ind w:firstLine="0" w:firstLineChars="0"/>
                    <w:jc w:val="center"/>
                    <w:rPr>
                      <w:rFonts w:hint="default" w:ascii="Times New Roman" w:hAnsi="Times New Roman" w:cs="Times New Roman"/>
                      <w:color w:val="auto"/>
                      <w:sz w:val="21"/>
                      <w:szCs w:val="21"/>
                    </w:rPr>
                    <w:pPrChange w:id="43"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设备维护</w:t>
                  </w:r>
                </w:p>
              </w:tc>
              <w:tc>
                <w:tcPr>
                  <w:tcW w:w="1375" w:type="dxa"/>
                  <w:vAlign w:val="center"/>
                </w:tcPr>
                <w:p w14:paraId="0A720E49">
                  <w:pPr>
                    <w:adjustRightInd w:val="0"/>
                    <w:snapToGrid w:val="0"/>
                    <w:spacing w:line="240" w:lineRule="auto"/>
                    <w:ind w:firstLine="0" w:firstLineChars="0"/>
                    <w:jc w:val="center"/>
                    <w:rPr>
                      <w:rFonts w:hint="default" w:ascii="Times New Roman" w:hAnsi="Times New Roman" w:cs="Times New Roman"/>
                      <w:color w:val="auto"/>
                      <w:sz w:val="21"/>
                      <w:szCs w:val="21"/>
                    </w:rPr>
                    <w:pPrChange w:id="44"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废机油</w:t>
                  </w:r>
                </w:p>
              </w:tc>
              <w:tc>
                <w:tcPr>
                  <w:tcW w:w="4522" w:type="dxa"/>
                  <w:vMerge w:val="restart"/>
                  <w:vAlign w:val="center"/>
                </w:tcPr>
                <w:p w14:paraId="224F798D">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的暂存</w:t>
                  </w:r>
                  <w:r>
                    <w:rPr>
                      <w:rFonts w:hint="eastAsia" w:cs="Times New Roman"/>
                      <w:color w:val="auto"/>
                      <w:sz w:val="21"/>
                      <w:szCs w:val="21"/>
                      <w:lang w:val="en-US" w:eastAsia="zh-CN"/>
                    </w:rPr>
                    <w:t>于</w:t>
                  </w:r>
                  <w:r>
                    <w:rPr>
                      <w:rFonts w:hint="default" w:ascii="Times New Roman" w:hAnsi="Times New Roman" w:cs="Times New Roman"/>
                      <w:color w:val="auto"/>
                      <w:sz w:val="21"/>
                      <w:szCs w:val="21"/>
                    </w:rPr>
                    <w:t>危废暂存间，委托有资质单位清运处置</w:t>
                  </w:r>
                </w:p>
              </w:tc>
            </w:tr>
            <w:tr w14:paraId="5ACC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66" w:type="dxa"/>
                  <w:vMerge w:val="continue"/>
                  <w:vAlign w:val="center"/>
                </w:tcPr>
                <w:p w14:paraId="1462A36F">
                  <w:pPr>
                    <w:adjustRightInd w:val="0"/>
                    <w:snapToGrid w:val="0"/>
                    <w:spacing w:line="240" w:lineRule="auto"/>
                    <w:ind w:firstLine="0" w:firstLineChars="0"/>
                    <w:jc w:val="center"/>
                    <w:rPr>
                      <w:rFonts w:hint="default" w:ascii="Times New Roman" w:hAnsi="Times New Roman" w:cs="Times New Roman"/>
                      <w:color w:val="auto"/>
                      <w:sz w:val="21"/>
                      <w:szCs w:val="21"/>
                    </w:rPr>
                    <w:pPrChange w:id="45" w:author="崔涛" w:date="2026-07-24T09:51:00Z">
                      <w:pPr>
                        <w:spacing w:line="360" w:lineRule="exact"/>
                        <w:ind w:firstLine="0" w:firstLineChars="0"/>
                        <w:jc w:val="center"/>
                      </w:pPr>
                    </w:pPrChange>
                  </w:pPr>
                </w:p>
              </w:tc>
              <w:tc>
                <w:tcPr>
                  <w:tcW w:w="1347" w:type="dxa"/>
                  <w:vMerge w:val="continue"/>
                  <w:vAlign w:val="center"/>
                </w:tcPr>
                <w:p w14:paraId="16200A34">
                  <w:pPr>
                    <w:adjustRightInd w:val="0"/>
                    <w:snapToGrid w:val="0"/>
                    <w:spacing w:line="240" w:lineRule="auto"/>
                    <w:ind w:firstLine="0" w:firstLineChars="0"/>
                    <w:jc w:val="center"/>
                    <w:rPr>
                      <w:rFonts w:hint="default" w:ascii="Times New Roman" w:hAnsi="Times New Roman" w:cs="Times New Roman"/>
                      <w:color w:val="auto"/>
                      <w:sz w:val="21"/>
                      <w:szCs w:val="21"/>
                    </w:rPr>
                    <w:pPrChange w:id="46" w:author="崔涛" w:date="2026-07-24T09:51:00Z">
                      <w:pPr>
                        <w:spacing w:line="360" w:lineRule="exact"/>
                        <w:ind w:firstLine="0" w:firstLineChars="0"/>
                        <w:jc w:val="center"/>
                      </w:pPr>
                    </w:pPrChange>
                  </w:pPr>
                </w:p>
              </w:tc>
              <w:tc>
                <w:tcPr>
                  <w:tcW w:w="1375" w:type="dxa"/>
                  <w:vAlign w:val="center"/>
                </w:tcPr>
                <w:p w14:paraId="5B663CDB">
                  <w:pPr>
                    <w:adjustRightInd w:val="0"/>
                    <w:snapToGrid w:val="0"/>
                    <w:spacing w:line="240" w:lineRule="auto"/>
                    <w:ind w:firstLine="0" w:firstLineChars="0"/>
                    <w:jc w:val="center"/>
                    <w:rPr>
                      <w:rFonts w:hint="default" w:ascii="Times New Roman" w:hAnsi="Times New Roman" w:cs="Times New Roman"/>
                      <w:color w:val="auto"/>
                      <w:sz w:val="21"/>
                      <w:szCs w:val="21"/>
                    </w:rPr>
                    <w:pPrChange w:id="47" w:author="崔涛" w:date="2026-07-24T09:51:00Z">
                      <w:pPr>
                        <w:spacing w:line="360" w:lineRule="exact"/>
                        <w:ind w:firstLine="0" w:firstLineChars="0"/>
                        <w:jc w:val="center"/>
                      </w:pPr>
                    </w:pPrChange>
                  </w:pPr>
                  <w:r>
                    <w:rPr>
                      <w:rFonts w:hint="default" w:ascii="Times New Roman" w:hAnsi="Times New Roman" w:cs="Times New Roman"/>
                      <w:color w:val="auto"/>
                      <w:sz w:val="21"/>
                      <w:szCs w:val="21"/>
                    </w:rPr>
                    <w:t>含机油废抹布和废手套</w:t>
                  </w:r>
                </w:p>
              </w:tc>
              <w:tc>
                <w:tcPr>
                  <w:tcW w:w="4522" w:type="dxa"/>
                  <w:vMerge w:val="continue"/>
                  <w:vAlign w:val="center"/>
                </w:tcPr>
                <w:p w14:paraId="7CDA88FC">
                  <w:pPr>
                    <w:adjustRightInd w:val="0"/>
                    <w:snapToGrid w:val="0"/>
                    <w:spacing w:line="240" w:lineRule="auto"/>
                    <w:ind w:firstLine="0" w:firstLineChars="0"/>
                    <w:jc w:val="center"/>
                    <w:rPr>
                      <w:rFonts w:hint="default" w:ascii="Times New Roman" w:hAnsi="Times New Roman" w:cs="Times New Roman"/>
                      <w:color w:val="auto"/>
                      <w:sz w:val="21"/>
                      <w:szCs w:val="21"/>
                    </w:rPr>
                    <w:pPrChange w:id="48" w:author="崔涛" w:date="2026-07-24T09:51:00Z">
                      <w:pPr>
                        <w:spacing w:line="360" w:lineRule="exact"/>
                        <w:ind w:firstLine="0" w:firstLineChars="0"/>
                        <w:jc w:val="center"/>
                      </w:pPr>
                    </w:pPrChange>
                  </w:pPr>
                </w:p>
              </w:tc>
            </w:tr>
            <w:tr w14:paraId="247E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6" w:type="dxa"/>
                  <w:vAlign w:val="center"/>
                </w:tcPr>
                <w:p w14:paraId="4189B83C">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噪声</w:t>
                  </w:r>
                </w:p>
              </w:tc>
              <w:tc>
                <w:tcPr>
                  <w:tcW w:w="1347" w:type="dxa"/>
                  <w:vAlign w:val="center"/>
                </w:tcPr>
                <w:p w14:paraId="569330CA">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生产工序</w:t>
                  </w:r>
                </w:p>
              </w:tc>
              <w:tc>
                <w:tcPr>
                  <w:tcW w:w="1375" w:type="dxa"/>
                  <w:vAlign w:val="center"/>
                </w:tcPr>
                <w:p w14:paraId="0F1D9076">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设备噪声</w:t>
                  </w:r>
                </w:p>
              </w:tc>
              <w:tc>
                <w:tcPr>
                  <w:tcW w:w="4522" w:type="dxa"/>
                  <w:vAlign w:val="center"/>
                </w:tcPr>
                <w:p w14:paraId="13C673C6">
                  <w:pPr>
                    <w:adjustRightInd w:val="0"/>
                    <w:snapToGrid w:val="0"/>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基础减震、距离衰减</w:t>
                  </w:r>
                </w:p>
              </w:tc>
            </w:tr>
          </w:tbl>
          <w:p w14:paraId="7E11F4BE">
            <w:pPr>
              <w:pStyle w:val="89"/>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二、运营期废气环境影响分析</w:t>
            </w:r>
          </w:p>
          <w:p w14:paraId="11E71FA0">
            <w:pPr>
              <w:autoSpaceDE w:val="0"/>
              <w:autoSpaceDN w:val="0"/>
              <w:adjustRightInd w:val="0"/>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1、粉尘</w:t>
            </w:r>
          </w:p>
          <w:p w14:paraId="6AB507AD">
            <w:pPr>
              <w:adjustRightInd w:val="0"/>
              <w:snapToGri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项目运营过程中的粉（扬）尘污染源主要为露天开采扬尘、</w:t>
            </w:r>
            <w:r>
              <w:rPr>
                <w:rFonts w:hint="default" w:ascii="Times New Roman" w:hAnsi="Times New Roman" w:cs="Times New Roman"/>
                <w:bCs/>
                <w:color w:val="auto"/>
                <w:kern w:val="0"/>
                <w:szCs w:val="21"/>
                <w:highlight w:val="none"/>
                <w:lang w:val="en-US" w:eastAsia="zh-CN"/>
              </w:rPr>
              <w:t>矿石</w:t>
            </w:r>
            <w:r>
              <w:rPr>
                <w:rFonts w:hint="default" w:ascii="Times New Roman" w:hAnsi="Times New Roman" w:cs="Times New Roman"/>
                <w:bCs/>
                <w:color w:val="auto"/>
                <w:kern w:val="0"/>
                <w:szCs w:val="21"/>
                <w:highlight w:val="none"/>
              </w:rPr>
              <w:t>铲装扬尘</w:t>
            </w:r>
            <w:r>
              <w:rPr>
                <w:rFonts w:hint="default" w:ascii="Times New Roman" w:hAnsi="Times New Roman" w:cs="Times New Roman"/>
                <w:bCs/>
                <w:color w:val="auto"/>
                <w:kern w:val="0"/>
                <w:szCs w:val="21"/>
                <w:highlight w:val="none"/>
                <w:lang w:eastAsia="zh-CN"/>
              </w:rPr>
              <w:t>、</w:t>
            </w:r>
            <w:r>
              <w:rPr>
                <w:rFonts w:hint="default" w:ascii="Times New Roman" w:hAnsi="Times New Roman" w:cs="Times New Roman"/>
                <w:bCs/>
                <w:color w:val="auto"/>
                <w:kern w:val="0"/>
                <w:szCs w:val="21"/>
                <w:highlight w:val="none"/>
              </w:rPr>
              <w:t>矿石运输扬尘</w:t>
            </w:r>
            <w:r>
              <w:rPr>
                <w:rFonts w:hint="default" w:ascii="Times New Roman" w:hAnsi="Times New Roman" w:cs="Times New Roman"/>
                <w:bCs/>
                <w:color w:val="auto"/>
                <w:kern w:val="0"/>
                <w:szCs w:val="21"/>
                <w:highlight w:val="none"/>
                <w:lang w:eastAsia="zh-CN"/>
              </w:rPr>
              <w:t>、</w:t>
            </w:r>
            <w:r>
              <w:rPr>
                <w:rFonts w:hint="default" w:ascii="Times New Roman" w:hAnsi="Times New Roman" w:cs="Times New Roman"/>
                <w:bCs/>
                <w:color w:val="auto"/>
                <w:kern w:val="0"/>
                <w:szCs w:val="21"/>
                <w:highlight w:val="none"/>
                <w:lang w:val="en-US" w:eastAsia="zh-CN"/>
              </w:rPr>
              <w:t>临时表土堆场扬尘、</w:t>
            </w:r>
            <w:r>
              <w:rPr>
                <w:rFonts w:hint="default" w:ascii="Times New Roman" w:hAnsi="Times New Roman" w:cs="Times New Roman"/>
                <w:bCs/>
                <w:color w:val="auto"/>
                <w:kern w:val="0"/>
                <w:szCs w:val="21"/>
                <w:highlight w:val="none"/>
              </w:rPr>
              <w:t>。</w:t>
            </w:r>
          </w:p>
          <w:p w14:paraId="3DF46DC9">
            <w:pPr>
              <w:adjustRightInd w:val="0"/>
              <w:snapToGrid w:val="0"/>
              <w:ind w:firstLine="482"/>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（1）露天开采区</w:t>
            </w:r>
          </w:p>
          <w:p w14:paraId="6FE3424C">
            <w:pPr>
              <w:adjustRightInd w:val="0"/>
              <w:snapToGrid w:val="0"/>
              <w:ind w:firstLine="480"/>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lang w:val="en-US" w:eastAsia="zh-CN"/>
              </w:rPr>
              <w:t>A、</w:t>
            </w:r>
            <w:r>
              <w:rPr>
                <w:rFonts w:hint="default" w:ascii="Times New Roman" w:hAnsi="Times New Roman" w:cs="Times New Roman"/>
                <w:b/>
                <w:color w:val="auto"/>
                <w:kern w:val="0"/>
                <w:szCs w:val="21"/>
                <w:highlight w:val="none"/>
              </w:rPr>
              <w:t>露天开采扬尘</w:t>
            </w:r>
          </w:p>
          <w:p w14:paraId="7C733DE4">
            <w:pPr>
              <w:adjustRightInd w:val="0"/>
              <w:snapToGri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项目开采矿种为</w:t>
            </w:r>
            <w:r>
              <w:rPr>
                <w:rFonts w:hint="default" w:ascii="Times New Roman" w:hAnsi="Times New Roman" w:cs="Times New Roman"/>
                <w:bCs/>
                <w:color w:val="auto"/>
                <w:kern w:val="0"/>
                <w:szCs w:val="21"/>
                <w:highlight w:val="none"/>
                <w:lang w:val="en-US" w:eastAsia="zh-CN"/>
              </w:rPr>
              <w:t>建筑材料用</w:t>
            </w:r>
            <w:r>
              <w:rPr>
                <w:rFonts w:hint="default" w:ascii="Times New Roman" w:hAnsi="Times New Roman" w:cs="Times New Roman"/>
                <w:color w:val="auto"/>
                <w:highlight w:val="none"/>
                <w:lang w:eastAsia="zh-CN"/>
              </w:rPr>
              <w:t>砂岩矿</w:t>
            </w:r>
            <w:r>
              <w:rPr>
                <w:rFonts w:hint="default" w:ascii="Times New Roman" w:hAnsi="Times New Roman" w:cs="Times New Roman"/>
                <w:bCs/>
                <w:color w:val="auto"/>
                <w:kern w:val="0"/>
                <w:szCs w:val="21"/>
                <w:highlight w:val="none"/>
              </w:rPr>
              <w:t>，</w:t>
            </w:r>
            <w:r>
              <w:rPr>
                <w:rFonts w:hint="default" w:ascii="Times New Roman" w:hAnsi="Times New Roman" w:cs="Times New Roman"/>
                <w:snapToGrid w:val="0"/>
                <w:color w:val="auto"/>
                <w:kern w:val="0"/>
                <w:szCs w:val="21"/>
                <w:highlight w:val="none"/>
              </w:rPr>
              <w:t>本项目采用山坡露天开采工艺，</w:t>
            </w:r>
            <w:r>
              <w:rPr>
                <w:rFonts w:hint="default" w:ascii="Times New Roman" w:hAnsi="Times New Roman" w:cs="Times New Roman"/>
                <w:color w:val="auto"/>
                <w:highlight w:val="none"/>
              </w:rPr>
              <w:t>采用潜孔凿岩爆破方法，自上而下分台阶作业的采矿方法进行采矿</w:t>
            </w:r>
            <w:r>
              <w:rPr>
                <w:rFonts w:hint="default" w:ascii="Times New Roman" w:hAnsi="Times New Roman" w:cs="Times New Roman"/>
                <w:bCs/>
                <w:color w:val="auto"/>
                <w:kern w:val="0"/>
                <w:szCs w:val="21"/>
                <w:highlight w:val="none"/>
              </w:rPr>
              <w:t>，在开采过程中，表土剥离、凿岩等均会产生扬尘，根据</w:t>
            </w:r>
            <w:r>
              <w:rPr>
                <w:rFonts w:hint="default" w:ascii="Times New Roman" w:hAnsi="Times New Roman" w:cs="Times New Roman"/>
                <w:color w:val="auto"/>
                <w:highlight w:val="none"/>
              </w:rPr>
              <w:t>第二次全国污染源普查《排放源统计调查产排污核算方法和系数手册》中的“</w:t>
            </w:r>
            <w:r>
              <w:rPr>
                <w:rFonts w:hint="default" w:ascii="Times New Roman" w:hAnsi="Times New Roman" w:cs="Times New Roman"/>
                <w:color w:val="auto"/>
              </w:rPr>
              <w:t>1011石灰石石膏开采行业系数手册”中--石灰石露天开采（南方）颗粒物产污系数1.14×10</w:t>
            </w:r>
            <w:r>
              <w:rPr>
                <w:rFonts w:hint="default" w:ascii="Times New Roman" w:hAnsi="Times New Roman" w:cs="Times New Roman"/>
                <w:color w:val="auto"/>
                <w:vertAlign w:val="superscript"/>
              </w:rPr>
              <w:t>-2</w:t>
            </w:r>
            <w:r>
              <w:rPr>
                <w:rFonts w:hint="default" w:ascii="Times New Roman" w:hAnsi="Times New Roman" w:cs="Times New Roman"/>
                <w:color w:val="auto"/>
              </w:rPr>
              <w:t>千克/吨-产品</w:t>
            </w:r>
            <w:r>
              <w:rPr>
                <w:rFonts w:hint="default" w:ascii="Times New Roman" w:hAnsi="Times New Roman" w:cs="Times New Roman"/>
                <w:color w:val="auto"/>
                <w:highlight w:val="none"/>
              </w:rPr>
              <w:t>，项目年开采规模为</w:t>
            </w:r>
            <w:r>
              <w:rPr>
                <w:rFonts w:hint="default" w:ascii="Times New Roman" w:hAnsi="Times New Roman" w:cs="Times New Roman"/>
                <w:color w:val="auto"/>
                <w:highlight w:val="none"/>
                <w:lang w:val="en-US" w:eastAsia="zh-CN"/>
              </w:rPr>
              <w:t>50</w:t>
            </w:r>
            <w:r>
              <w:rPr>
                <w:rFonts w:hint="default" w:ascii="Times New Roman" w:hAnsi="Times New Roman" w:cs="Times New Roman"/>
                <w:color w:val="auto"/>
                <w:highlight w:val="none"/>
              </w:rPr>
              <w:t>万t，则项目露天开采时扬尘产生量约为</w:t>
            </w:r>
            <w:r>
              <w:rPr>
                <w:rFonts w:hint="default" w:ascii="Times New Roman" w:hAnsi="Times New Roman" w:cs="Times New Roman"/>
                <w:color w:val="auto"/>
                <w:highlight w:val="none"/>
                <w:lang w:val="en-US" w:eastAsia="zh-CN"/>
              </w:rPr>
              <w:t>5.7</w:t>
            </w:r>
            <w:r>
              <w:rPr>
                <w:rFonts w:hint="default" w:ascii="Times New Roman" w:hAnsi="Times New Roman" w:cs="Times New Roman"/>
                <w:color w:val="auto"/>
                <w:highlight w:val="none"/>
              </w:rPr>
              <w:t>t/a，</w:t>
            </w:r>
            <w:r>
              <w:rPr>
                <w:rFonts w:hint="default" w:ascii="Times New Roman" w:hAnsi="Times New Roman" w:cs="Times New Roman"/>
                <w:color w:val="auto"/>
                <w:highlight w:val="none"/>
                <w:lang w:val="en-US" w:eastAsia="zh-CN"/>
              </w:rPr>
              <w:t>2.375</w:t>
            </w:r>
            <w:r>
              <w:rPr>
                <w:rFonts w:hint="default" w:ascii="Times New Roman" w:hAnsi="Times New Roman" w:cs="Times New Roman"/>
                <w:color w:val="auto"/>
                <w:highlight w:val="none"/>
              </w:rPr>
              <w:t>kg/h，项目对露天开采扬尘采用雾炮机洒水降尘措施进行降尘，抑尘效率约为7</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%，则项目露天开采粉尘无组织排放量为</w:t>
            </w:r>
            <w:r>
              <w:rPr>
                <w:rFonts w:hint="default" w:ascii="Times New Roman" w:hAnsi="Times New Roman" w:cs="Times New Roman"/>
                <w:color w:val="auto"/>
                <w:highlight w:val="none"/>
                <w:lang w:val="en-US" w:eastAsia="zh-CN"/>
              </w:rPr>
              <w:t>1.482</w:t>
            </w:r>
            <w:r>
              <w:rPr>
                <w:rFonts w:hint="default" w:ascii="Times New Roman" w:hAnsi="Times New Roman" w:cs="Times New Roman"/>
                <w:color w:val="auto"/>
                <w:highlight w:val="none"/>
              </w:rPr>
              <w:t>t/a，</w:t>
            </w:r>
            <w:r>
              <w:rPr>
                <w:rFonts w:hint="default" w:ascii="Times New Roman" w:hAnsi="Times New Roman" w:cs="Times New Roman"/>
                <w:color w:val="auto"/>
                <w:highlight w:val="none"/>
                <w:lang w:val="en-US" w:eastAsia="zh-CN"/>
              </w:rPr>
              <w:t>0.618</w:t>
            </w:r>
            <w:r>
              <w:rPr>
                <w:rFonts w:hint="default" w:ascii="Times New Roman" w:hAnsi="Times New Roman" w:cs="Times New Roman"/>
                <w:color w:val="auto"/>
                <w:highlight w:val="none"/>
              </w:rPr>
              <w:t>kg/h。</w:t>
            </w:r>
          </w:p>
          <w:p w14:paraId="25C89DA3">
            <w:pPr>
              <w:adjustRightInd w:val="0"/>
              <w:snapToGrid w:val="0"/>
              <w:ind w:firstLine="482"/>
              <w:rPr>
                <w:rFonts w:hint="default" w:ascii="Times New Roman" w:hAnsi="Times New Roman" w:cs="Times New Roman"/>
                <w:b/>
                <w:bCs/>
                <w:color w:val="auto"/>
                <w:kern w:val="0"/>
                <w:szCs w:val="21"/>
                <w:highlight w:val="none"/>
                <w:lang w:val="en-US" w:eastAsia="zh-CN"/>
              </w:rPr>
            </w:pPr>
            <w:r>
              <w:rPr>
                <w:rFonts w:hint="default" w:ascii="Times New Roman" w:hAnsi="Times New Roman" w:cs="Times New Roman"/>
                <w:b/>
                <w:bCs/>
                <w:color w:val="auto"/>
                <w:kern w:val="0"/>
                <w:szCs w:val="21"/>
                <w:highlight w:val="none"/>
                <w:lang w:val="en-US" w:eastAsia="zh-CN"/>
              </w:rPr>
              <w:t>B、爆破废气</w:t>
            </w:r>
          </w:p>
          <w:p w14:paraId="79A5DFEB">
            <w:pPr>
              <w:adjustRightInd w:val="0"/>
              <w:snapToGrid w:val="0"/>
              <w:ind w:firstLine="480"/>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eastAsia="宋体" w:cs="Times New Roman"/>
                <w:bCs/>
                <w:color w:val="auto"/>
                <w:kern w:val="0"/>
                <w:szCs w:val="21"/>
                <w:highlight w:val="none"/>
                <w:lang w:val="en-US" w:eastAsia="zh-CN"/>
              </w:rPr>
              <w:t>项目炸药爆炸过程中产生的大气污染物主要为扬尘。根据调查和核实，炸药根据采石场的需要量，上报寻甸县公安部门审批批准后由寻甸县民爆公司及时按量提供，项目不设置炸药仓库。</w:t>
            </w:r>
          </w:p>
          <w:p w14:paraId="613C5F63">
            <w:pPr>
              <w:adjustRightInd w:val="0"/>
              <w:snapToGrid w:val="0"/>
              <w:ind w:firstLine="480"/>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cs="Times New Roman"/>
                <w:bCs/>
                <w:color w:val="auto"/>
                <w:kern w:val="0"/>
                <w:szCs w:val="21"/>
                <w:highlight w:val="none"/>
              </w:rPr>
              <w:t>项目开采矿种为</w:t>
            </w:r>
            <w:r>
              <w:rPr>
                <w:rFonts w:hint="default" w:ascii="Times New Roman" w:hAnsi="Times New Roman" w:cs="Times New Roman"/>
                <w:bCs/>
                <w:color w:val="auto"/>
                <w:kern w:val="0"/>
                <w:szCs w:val="21"/>
                <w:highlight w:val="none"/>
                <w:lang w:val="en-US" w:eastAsia="zh-CN"/>
              </w:rPr>
              <w:t>建筑材料用</w:t>
            </w:r>
            <w:r>
              <w:rPr>
                <w:rFonts w:hint="default" w:ascii="Times New Roman" w:hAnsi="Times New Roman" w:cs="Times New Roman"/>
                <w:color w:val="auto"/>
                <w:highlight w:val="none"/>
                <w:lang w:eastAsia="zh-CN"/>
              </w:rPr>
              <w:t>砂岩矿，</w:t>
            </w:r>
            <w:r>
              <w:rPr>
                <w:rFonts w:hint="default" w:ascii="Times New Roman" w:hAnsi="Times New Roman" w:eastAsia="宋体" w:cs="Times New Roman"/>
                <w:bCs/>
                <w:color w:val="auto"/>
                <w:kern w:val="0"/>
                <w:szCs w:val="21"/>
                <w:highlight w:val="none"/>
                <w:lang w:val="en-US" w:eastAsia="zh-CN"/>
              </w:rPr>
              <w:t>露天爆破采取微差爆破，炸药爆炸过程中产生的大气污染物主要为扬尘。项目爆破频次约为1次/半月（一年约20次），</w:t>
            </w:r>
            <w:r>
              <w:rPr>
                <w:rFonts w:hint="default" w:ascii="Times New Roman" w:hAnsi="Times New Roman" w:cs="Times New Roman"/>
                <w:color w:val="auto"/>
                <w:highlight w:val="none"/>
              </w:rPr>
              <w:t>年开采规模为</w:t>
            </w:r>
            <w:r>
              <w:rPr>
                <w:rFonts w:hint="default" w:ascii="Times New Roman" w:hAnsi="Times New Roman" w:cs="Times New Roman"/>
                <w:color w:val="auto"/>
                <w:highlight w:val="none"/>
                <w:lang w:val="en-US" w:eastAsia="zh-CN"/>
              </w:rPr>
              <w:t>50</w:t>
            </w:r>
            <w:r>
              <w:rPr>
                <w:rFonts w:hint="default" w:ascii="Times New Roman" w:hAnsi="Times New Roman" w:cs="Times New Roman"/>
                <w:color w:val="auto"/>
                <w:highlight w:val="none"/>
              </w:rPr>
              <w:t>万t</w:t>
            </w:r>
            <w:r>
              <w:rPr>
                <w:rFonts w:hint="default" w:ascii="Times New Roman" w:hAnsi="Times New Roman" w:eastAsia="宋体" w:cs="Times New Roman"/>
                <w:bCs/>
                <w:color w:val="auto"/>
                <w:kern w:val="0"/>
                <w:szCs w:val="21"/>
                <w:highlight w:val="none"/>
                <w:lang w:val="en-US" w:eastAsia="zh-CN"/>
              </w:rPr>
              <w:t>，砂岩露天台阶爆破炸药用量约为0.45kg/m</w:t>
            </w:r>
            <w:r>
              <w:rPr>
                <w:rFonts w:hint="default" w:ascii="Times New Roman" w:hAnsi="Times New Roman" w:eastAsia="宋体" w:cs="Times New Roman"/>
                <w:bCs/>
                <w:color w:val="auto"/>
                <w:kern w:val="0"/>
                <w:szCs w:val="21"/>
                <w:highlight w:val="none"/>
                <w:vertAlign w:val="superscript"/>
                <w:lang w:val="en-US" w:eastAsia="zh-CN"/>
              </w:rPr>
              <w:t>3</w:t>
            </w:r>
            <w:r>
              <w:rPr>
                <w:rFonts w:hint="default" w:ascii="Times New Roman" w:hAnsi="Times New Roman" w:eastAsia="宋体" w:cs="Times New Roman"/>
                <w:bCs/>
                <w:color w:val="auto"/>
                <w:kern w:val="0"/>
                <w:szCs w:val="21"/>
                <w:highlight w:val="none"/>
                <w:lang w:val="en-US" w:eastAsia="zh-CN"/>
              </w:rPr>
              <w:t>，则使用炸药用量约88.235t/a。参照《金属矿山》（1996，第三期《露天矿爆破粉尘排放量的计算分析》），爆炸时产生的扬尘量为54.2kg/t·炸药计，则爆破废气中颗粒物产生量为4.782t/a，119.558kg/h（以2h/次，40h/年计）。项目采用深孔爆破钻孔过程为湿式钻孔，以增加岩矿的湿度，从而减少爆破过程中产生的扬尘量由于项目爆破频次低，爆破扬尘产生量较少，且项目用地空旷，爆破扬尘能较快在大气中自然扩散，爆破过程设置洒水降尘措施（降尘效率74％），爆破废气中颗粒物排放量为1.243t/a，31.083kg/h。根据《工程爆破中的灾害及其控制》《非污染生态影响评价技术导则培训教材》，露天中深孔爆破时产生的CO产污系数取5.3g/kg·炸药、NOx产污系数取14.6g/kg·炸药，则爆破废气中CO产生量为0.468t/a，11.7kg/h（以2h/次，40h/年计），NOx产生量为1.288t/a，32.2kg/h（以2h/次，40h/年计）。</w:t>
            </w:r>
          </w:p>
          <w:p w14:paraId="6974641E">
            <w:pPr>
              <w:adjustRightInd w:val="0"/>
              <w:snapToGri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lang w:val="en-US" w:eastAsia="zh-CN"/>
              </w:rPr>
              <w:t>B、矿石</w:t>
            </w:r>
            <w:r>
              <w:rPr>
                <w:rFonts w:hint="default" w:ascii="Times New Roman" w:hAnsi="Times New Roman" w:cs="Times New Roman"/>
                <w:b/>
                <w:bCs/>
                <w:color w:val="auto"/>
                <w:kern w:val="0"/>
                <w:szCs w:val="21"/>
                <w:highlight w:val="none"/>
              </w:rPr>
              <w:t>铲装扬尘</w:t>
            </w:r>
          </w:p>
          <w:p w14:paraId="3131CC49">
            <w:pPr>
              <w:adjustRightInd w:val="0"/>
              <w:snapToGri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矿石需经露天开采区采用装载机铲装至</w:t>
            </w:r>
            <w:r>
              <w:rPr>
                <w:rFonts w:hint="default" w:ascii="Times New Roman" w:hAnsi="Times New Roman" w:cs="Times New Roman"/>
                <w:bCs/>
                <w:color w:val="auto"/>
                <w:kern w:val="0"/>
                <w:szCs w:val="21"/>
                <w:highlight w:val="none"/>
                <w:lang w:val="en-US" w:eastAsia="zh-CN"/>
              </w:rPr>
              <w:t>25</w:t>
            </w:r>
            <w:r>
              <w:rPr>
                <w:rFonts w:hint="default" w:ascii="Times New Roman" w:hAnsi="Times New Roman" w:cs="Times New Roman"/>
                <w:bCs/>
                <w:color w:val="auto"/>
                <w:kern w:val="0"/>
                <w:szCs w:val="21"/>
                <w:highlight w:val="none"/>
              </w:rPr>
              <w:t>t自卸式运输车辆运送至破碎加工区，需铲装总量为</w:t>
            </w:r>
            <w:r>
              <w:rPr>
                <w:rFonts w:hint="default" w:ascii="Times New Roman" w:hAnsi="Times New Roman" w:cs="Times New Roman"/>
                <w:bCs/>
                <w:color w:val="auto"/>
                <w:kern w:val="0"/>
                <w:szCs w:val="21"/>
                <w:highlight w:val="none"/>
                <w:lang w:val="en-US" w:eastAsia="zh-CN"/>
              </w:rPr>
              <w:t>50</w:t>
            </w:r>
            <w:r>
              <w:rPr>
                <w:rFonts w:hint="default" w:ascii="Times New Roman" w:hAnsi="Times New Roman" w:cs="Times New Roman"/>
                <w:bCs/>
                <w:color w:val="auto"/>
                <w:kern w:val="0"/>
                <w:szCs w:val="21"/>
                <w:highlight w:val="none"/>
              </w:rPr>
              <w:t>万t/a，参照《逸散性工业粉尘控制技术》（中国环境科学出版社），铲装粉尘产生系数为0.025kg/t，矿石可起尘颗粒物按照10%计算，则矿石铲装粉尘产生量为</w:t>
            </w:r>
            <w:r>
              <w:rPr>
                <w:rFonts w:hint="default" w:ascii="Times New Roman" w:hAnsi="Times New Roman" w:cs="Times New Roman"/>
                <w:bCs/>
                <w:color w:val="auto"/>
                <w:kern w:val="0"/>
                <w:szCs w:val="21"/>
                <w:highlight w:val="none"/>
                <w:lang w:val="en-US" w:eastAsia="zh-CN"/>
              </w:rPr>
              <w:t>1.25</w:t>
            </w:r>
            <w:r>
              <w:rPr>
                <w:rFonts w:hint="default" w:ascii="Times New Roman" w:hAnsi="Times New Roman" w:cs="Times New Roman"/>
                <w:bCs/>
                <w:color w:val="auto"/>
                <w:kern w:val="0"/>
                <w:szCs w:val="21"/>
                <w:highlight w:val="none"/>
              </w:rPr>
              <w:t>t/a</w:t>
            </w:r>
            <w:r>
              <w:rPr>
                <w:rFonts w:hint="default" w:ascii="Times New Roman" w:hAnsi="Times New Roman" w:cs="Times New Roman"/>
                <w:bCs/>
                <w:color w:val="auto"/>
                <w:kern w:val="0"/>
                <w:szCs w:val="21"/>
                <w:highlight w:val="none"/>
                <w:lang w:eastAsia="zh-CN"/>
              </w:rPr>
              <w:t>，</w:t>
            </w:r>
            <w:r>
              <w:rPr>
                <w:rFonts w:hint="default" w:ascii="Times New Roman" w:hAnsi="Times New Roman" w:cs="Times New Roman"/>
                <w:bCs/>
                <w:color w:val="auto"/>
                <w:kern w:val="0"/>
                <w:szCs w:val="21"/>
                <w:highlight w:val="none"/>
                <w:lang w:val="en-US" w:eastAsia="zh-CN"/>
              </w:rPr>
              <w:t>0.521</w:t>
            </w:r>
            <w:r>
              <w:rPr>
                <w:rFonts w:hint="default" w:ascii="Times New Roman" w:hAnsi="Times New Roman" w:eastAsia="宋体" w:cs="Times New Roman"/>
                <w:bCs/>
                <w:color w:val="auto"/>
                <w:kern w:val="0"/>
                <w:szCs w:val="21"/>
                <w:highlight w:val="none"/>
                <w:lang w:val="en-US" w:eastAsia="zh-CN"/>
              </w:rPr>
              <w:t>kg/h</w:t>
            </w:r>
            <w:r>
              <w:rPr>
                <w:rFonts w:hint="default" w:ascii="Times New Roman" w:hAnsi="Times New Roman" w:cs="Times New Roman"/>
                <w:bCs/>
                <w:color w:val="auto"/>
                <w:kern w:val="0"/>
                <w:szCs w:val="21"/>
                <w:highlight w:val="none"/>
              </w:rPr>
              <w:t>。通过在装卸过程中降低落料高度、装车前洒水使石料含水率为10%以上</w:t>
            </w:r>
            <w:r>
              <w:rPr>
                <w:rFonts w:hint="default" w:ascii="Times New Roman" w:hAnsi="Times New Roman" w:cs="Times New Roman"/>
                <w:bCs/>
                <w:color w:val="auto"/>
                <w:kern w:val="0"/>
                <w:szCs w:val="21"/>
                <w:highlight w:val="none"/>
                <w:lang w:eastAsia="zh-CN"/>
              </w:rPr>
              <w:t>，</w:t>
            </w:r>
            <w:r>
              <w:rPr>
                <w:rFonts w:hint="default" w:ascii="Times New Roman" w:hAnsi="Times New Roman" w:cs="Times New Roman"/>
                <w:bCs/>
                <w:color w:val="auto"/>
                <w:kern w:val="0"/>
                <w:szCs w:val="21"/>
                <w:highlight w:val="none"/>
              </w:rPr>
              <w:t>装车时除尘雾炮机洒水降尘措施，除尘效率按</w:t>
            </w:r>
            <w:r>
              <w:rPr>
                <w:rFonts w:hint="default" w:ascii="Times New Roman" w:hAnsi="Times New Roman" w:cs="Times New Roman"/>
                <w:bCs/>
                <w:color w:val="auto"/>
                <w:kern w:val="0"/>
                <w:szCs w:val="21"/>
                <w:highlight w:val="none"/>
                <w:lang w:val="en-US" w:eastAsia="zh-CN"/>
              </w:rPr>
              <w:t>74</w:t>
            </w:r>
            <w:r>
              <w:rPr>
                <w:rFonts w:hint="default" w:ascii="Times New Roman" w:hAnsi="Times New Roman" w:cs="Times New Roman"/>
                <w:bCs/>
                <w:color w:val="auto"/>
                <w:kern w:val="0"/>
                <w:szCs w:val="21"/>
                <w:highlight w:val="none"/>
              </w:rPr>
              <w:t>%计，故矿石装卸扬尘排放量约为</w:t>
            </w:r>
            <w:r>
              <w:rPr>
                <w:rFonts w:hint="default" w:ascii="Times New Roman" w:hAnsi="Times New Roman" w:cs="Times New Roman"/>
                <w:bCs/>
                <w:color w:val="auto"/>
                <w:kern w:val="0"/>
                <w:szCs w:val="21"/>
                <w:highlight w:val="none"/>
                <w:lang w:val="en-US" w:eastAsia="zh-CN"/>
              </w:rPr>
              <w:t>0.325</w:t>
            </w:r>
            <w:r>
              <w:rPr>
                <w:rFonts w:hint="default" w:ascii="Times New Roman" w:hAnsi="Times New Roman" w:cs="Times New Roman"/>
                <w:bCs/>
                <w:color w:val="auto"/>
                <w:kern w:val="0"/>
                <w:szCs w:val="21"/>
                <w:highlight w:val="none"/>
              </w:rPr>
              <w:t>t/a</w:t>
            </w:r>
            <w:r>
              <w:rPr>
                <w:rFonts w:hint="default" w:ascii="Times New Roman" w:hAnsi="Times New Roman" w:cs="Times New Roman"/>
                <w:bCs/>
                <w:color w:val="auto"/>
                <w:kern w:val="0"/>
                <w:szCs w:val="21"/>
                <w:highlight w:val="none"/>
                <w:lang w:eastAsia="zh-CN"/>
              </w:rPr>
              <w:t>，</w:t>
            </w:r>
            <w:r>
              <w:rPr>
                <w:rFonts w:hint="default" w:ascii="Times New Roman" w:hAnsi="Times New Roman" w:cs="Times New Roman"/>
                <w:bCs/>
                <w:color w:val="auto"/>
                <w:kern w:val="0"/>
                <w:szCs w:val="21"/>
                <w:highlight w:val="none"/>
                <w:lang w:val="en-US" w:eastAsia="zh-CN"/>
              </w:rPr>
              <w:t>0.135</w:t>
            </w:r>
            <w:r>
              <w:rPr>
                <w:rFonts w:hint="default" w:ascii="Times New Roman" w:hAnsi="Times New Roman" w:cs="Times New Roman"/>
                <w:bCs/>
                <w:color w:val="auto"/>
                <w:kern w:val="0"/>
                <w:szCs w:val="21"/>
                <w:highlight w:val="none"/>
              </w:rPr>
              <w:t>kg/h。</w:t>
            </w:r>
          </w:p>
          <w:p w14:paraId="5E76C9E2">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lang w:val="en-US" w:eastAsia="zh-CN"/>
              </w:rPr>
              <w:t>C、矿石</w:t>
            </w:r>
            <w:r>
              <w:rPr>
                <w:rFonts w:hint="default" w:ascii="Times New Roman" w:hAnsi="Times New Roman" w:cs="Times New Roman"/>
                <w:b/>
                <w:bCs/>
                <w:color w:val="auto"/>
                <w:kern w:val="0"/>
                <w:szCs w:val="21"/>
                <w:highlight w:val="none"/>
              </w:rPr>
              <w:t>道路</w:t>
            </w:r>
            <w:r>
              <w:rPr>
                <w:rFonts w:hint="default" w:ascii="Times New Roman" w:hAnsi="Times New Roman" w:cs="Times New Roman"/>
                <w:b/>
                <w:bCs/>
                <w:color w:val="auto"/>
                <w:kern w:val="0"/>
                <w:szCs w:val="21"/>
                <w:highlight w:val="none"/>
                <w:lang w:val="en-US" w:eastAsia="zh-CN"/>
              </w:rPr>
              <w:t>运输</w:t>
            </w:r>
            <w:r>
              <w:rPr>
                <w:rFonts w:hint="default" w:ascii="Times New Roman" w:hAnsi="Times New Roman" w:cs="Times New Roman"/>
                <w:b/>
                <w:bCs/>
                <w:color w:val="auto"/>
                <w:kern w:val="0"/>
                <w:szCs w:val="21"/>
                <w:highlight w:val="none"/>
              </w:rPr>
              <w:t>扬尘</w:t>
            </w:r>
          </w:p>
          <w:p w14:paraId="0E2BDA3E">
            <w:pPr>
              <w:adjustRightInd w:val="0"/>
              <w:snapToGri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自卸式载重汽车从开采区运送</w:t>
            </w:r>
            <w:r>
              <w:rPr>
                <w:rFonts w:hint="default" w:ascii="Times New Roman" w:hAnsi="Times New Roman" w:cs="Times New Roman"/>
                <w:bCs/>
                <w:color w:val="auto"/>
                <w:kern w:val="0"/>
                <w:szCs w:val="21"/>
                <w:highlight w:val="none"/>
                <w:lang w:val="en-US" w:eastAsia="zh-CN"/>
              </w:rPr>
              <w:t>矿石原料</w:t>
            </w:r>
            <w:r>
              <w:rPr>
                <w:rFonts w:hint="default" w:ascii="Times New Roman" w:hAnsi="Times New Roman" w:cs="Times New Roman"/>
                <w:bCs/>
                <w:color w:val="auto"/>
                <w:kern w:val="0"/>
                <w:szCs w:val="21"/>
                <w:highlight w:val="none"/>
              </w:rPr>
              <w:t>至破碎站的过程中</w:t>
            </w:r>
            <w:r>
              <w:rPr>
                <w:rFonts w:hint="default" w:ascii="Times New Roman" w:hAnsi="Times New Roman" w:cs="Times New Roman"/>
                <w:bCs/>
                <w:color w:val="auto"/>
                <w:kern w:val="0"/>
                <w:szCs w:val="21"/>
                <w:highlight w:val="none"/>
                <w:lang w:val="en-US" w:eastAsia="zh-CN"/>
              </w:rPr>
              <w:t>会</w:t>
            </w:r>
            <w:r>
              <w:rPr>
                <w:rFonts w:hint="default" w:ascii="Times New Roman" w:hAnsi="Times New Roman" w:cs="Times New Roman"/>
                <w:bCs/>
                <w:color w:val="auto"/>
                <w:kern w:val="0"/>
                <w:szCs w:val="21"/>
                <w:highlight w:val="none"/>
              </w:rPr>
              <w:t>产生一定的扬尘，其产生强度与路面情况、季节干湿以及汽车运行速度等因素有关。运输道路上所产生的扬尘采用经验公式，即：</w:t>
            </w:r>
          </w:p>
          <w:p w14:paraId="436028A8">
            <w:pPr>
              <w:ind w:firstLine="480"/>
              <w:jc w:val="center"/>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drawing>
                <wp:inline distT="0" distB="0" distL="0" distR="0">
                  <wp:extent cx="2033270" cy="794385"/>
                  <wp:effectExtent l="0" t="0" r="5080" b="5715"/>
                  <wp:docPr id="12349833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983326" name="图片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053190" cy="802550"/>
                          </a:xfrm>
                          <a:prstGeom prst="rect">
                            <a:avLst/>
                          </a:prstGeom>
                          <a:noFill/>
                          <a:ln>
                            <a:noFill/>
                          </a:ln>
                        </pic:spPr>
                      </pic:pic>
                    </a:graphicData>
                  </a:graphic>
                </wp:inline>
              </w:drawing>
            </w:r>
          </w:p>
          <w:p w14:paraId="5B048E58">
            <w:pPr>
              <w:adjustRightInd w:val="0"/>
              <w:snapToGri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式中：Q</w:t>
            </w:r>
            <w:r>
              <w:rPr>
                <w:rFonts w:hint="default" w:ascii="Times New Roman" w:hAnsi="Times New Roman" w:cs="Times New Roman"/>
                <w:bCs/>
                <w:color w:val="auto"/>
                <w:kern w:val="0"/>
                <w:szCs w:val="21"/>
                <w:highlight w:val="none"/>
                <w:vertAlign w:val="subscript"/>
              </w:rPr>
              <w:t>y</w:t>
            </w:r>
            <w:r>
              <w:rPr>
                <w:rFonts w:hint="default" w:ascii="Times New Roman" w:hAnsi="Times New Roman" w:cs="Times New Roman"/>
                <w:bCs/>
                <w:color w:val="auto"/>
                <w:kern w:val="0"/>
                <w:szCs w:val="21"/>
                <w:highlight w:val="none"/>
              </w:rPr>
              <w:t>—交通运输起尘量（kg/km·辆）；</w:t>
            </w:r>
          </w:p>
          <w:p w14:paraId="58D5B396">
            <w:pPr>
              <w:adjustRightInd w:val="0"/>
              <w:snapToGrid w:val="0"/>
              <w:ind w:firstLine="1200" w:firstLineChars="50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Q</w:t>
            </w:r>
            <w:r>
              <w:rPr>
                <w:rFonts w:hint="default" w:ascii="Times New Roman" w:hAnsi="Times New Roman" w:cs="Times New Roman"/>
                <w:bCs/>
                <w:color w:val="auto"/>
                <w:kern w:val="0"/>
                <w:szCs w:val="21"/>
                <w:highlight w:val="none"/>
                <w:vertAlign w:val="subscript"/>
              </w:rPr>
              <w:t>t</w:t>
            </w:r>
            <w:r>
              <w:rPr>
                <w:rFonts w:hint="default" w:ascii="Times New Roman" w:hAnsi="Times New Roman" w:cs="Times New Roman"/>
                <w:bCs/>
                <w:color w:val="auto"/>
                <w:kern w:val="0"/>
                <w:szCs w:val="21"/>
                <w:highlight w:val="none"/>
              </w:rPr>
              <w:t>—交通途中起尘量（kg/a）；</w:t>
            </w:r>
          </w:p>
          <w:p w14:paraId="195777BB">
            <w:pPr>
              <w:adjustRightInd w:val="0"/>
              <w:snapToGrid w:val="0"/>
              <w:ind w:firstLine="1200" w:firstLineChars="50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V—车辆速度（km/h）；</w:t>
            </w:r>
          </w:p>
          <w:p w14:paraId="4B990C89">
            <w:pPr>
              <w:adjustRightInd w:val="0"/>
              <w:snapToGrid w:val="0"/>
              <w:ind w:firstLine="1200" w:firstLineChars="50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M—车辆载重（t/辆）；</w:t>
            </w:r>
          </w:p>
          <w:p w14:paraId="4982C82C">
            <w:pPr>
              <w:adjustRightInd w:val="0"/>
              <w:snapToGrid w:val="0"/>
              <w:ind w:firstLine="1200" w:firstLineChars="50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P—道路灰尘覆盖量（kg/m</w:t>
            </w:r>
            <w:r>
              <w:rPr>
                <w:rFonts w:hint="default" w:ascii="Times New Roman" w:hAnsi="Times New Roman" w:cs="Times New Roman"/>
                <w:bCs/>
                <w:color w:val="auto"/>
                <w:kern w:val="0"/>
                <w:szCs w:val="21"/>
                <w:highlight w:val="none"/>
                <w:vertAlign w:val="superscript"/>
              </w:rPr>
              <w:t>2</w:t>
            </w:r>
            <w:r>
              <w:rPr>
                <w:rFonts w:hint="default" w:ascii="Times New Roman" w:hAnsi="Times New Roman" w:cs="Times New Roman"/>
                <w:bCs/>
                <w:color w:val="auto"/>
                <w:kern w:val="0"/>
                <w:szCs w:val="21"/>
                <w:highlight w:val="none"/>
              </w:rPr>
              <w:t>）；</w:t>
            </w:r>
          </w:p>
          <w:p w14:paraId="3946291C">
            <w:pPr>
              <w:adjustRightInd w:val="0"/>
              <w:snapToGrid w:val="0"/>
              <w:ind w:firstLine="1200" w:firstLineChars="50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L—运输距离（km）；</w:t>
            </w:r>
          </w:p>
          <w:p w14:paraId="53A3EAF1">
            <w:pPr>
              <w:adjustRightInd w:val="0"/>
              <w:snapToGrid w:val="0"/>
              <w:ind w:firstLine="1200" w:firstLineChars="50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Q—运输量（t/a）。</w:t>
            </w:r>
          </w:p>
          <w:p w14:paraId="5278FC3C">
            <w:pPr>
              <w:adjustRightInd w:val="0"/>
              <w:ind w:firstLine="480"/>
              <w:rPr>
                <w:rFonts w:hint="default" w:ascii="Times New Roman" w:hAnsi="Times New Roman" w:cs="Times New Roman"/>
                <w:color w:val="auto"/>
                <w:kern w:val="0"/>
                <w:szCs w:val="21"/>
                <w:highlight w:val="none"/>
              </w:rPr>
            </w:pPr>
            <w:r>
              <w:rPr>
                <w:rFonts w:hint="default" w:ascii="Times New Roman" w:hAnsi="Times New Roman" w:cs="Times New Roman"/>
                <w:bCs/>
                <w:color w:val="auto"/>
                <w:kern w:val="0"/>
                <w:szCs w:val="21"/>
                <w:highlight w:val="none"/>
              </w:rPr>
              <w:t>项目采用</w:t>
            </w:r>
            <w:r>
              <w:rPr>
                <w:rFonts w:hint="default" w:ascii="Times New Roman" w:hAnsi="Times New Roman" w:cs="Times New Roman"/>
                <w:bCs/>
                <w:color w:val="auto"/>
                <w:kern w:val="0"/>
                <w:szCs w:val="21"/>
                <w:highlight w:val="none"/>
                <w:lang w:val="en-US" w:eastAsia="zh-CN"/>
              </w:rPr>
              <w:t>25</w:t>
            </w:r>
            <w:r>
              <w:rPr>
                <w:rFonts w:hint="default" w:ascii="Times New Roman" w:hAnsi="Times New Roman" w:cs="Times New Roman"/>
                <w:bCs/>
                <w:color w:val="auto"/>
                <w:kern w:val="0"/>
                <w:szCs w:val="21"/>
                <w:highlight w:val="none"/>
              </w:rPr>
              <w:t>t的自卸车辆运输矿石，矿石平均运输距离约为</w:t>
            </w:r>
            <w:r>
              <w:rPr>
                <w:rFonts w:hint="default" w:ascii="Times New Roman" w:hAnsi="Times New Roman" w:cs="Times New Roman"/>
                <w:bCs/>
                <w:color w:val="auto"/>
                <w:kern w:val="0"/>
                <w:szCs w:val="21"/>
                <w:highlight w:val="none"/>
                <w:lang w:val="en-US" w:eastAsia="zh-CN"/>
              </w:rPr>
              <w:t>621.92</w:t>
            </w:r>
            <w:r>
              <w:rPr>
                <w:rFonts w:hint="default" w:ascii="Times New Roman" w:hAnsi="Times New Roman" w:cs="Times New Roman"/>
                <w:bCs/>
                <w:color w:val="auto"/>
                <w:kern w:val="0"/>
                <w:szCs w:val="21"/>
                <w:highlight w:val="none"/>
              </w:rPr>
              <w:t>m。项目区内运输车辆均为低速行驶，时速约</w:t>
            </w:r>
            <w:r>
              <w:rPr>
                <w:rFonts w:hint="default" w:ascii="Times New Roman" w:hAnsi="Times New Roman" w:cs="Times New Roman"/>
                <w:bCs/>
                <w:color w:val="auto"/>
                <w:kern w:val="0"/>
                <w:szCs w:val="21"/>
                <w:highlight w:val="none"/>
                <w:lang w:val="en-US" w:eastAsia="zh-CN"/>
              </w:rPr>
              <w:t>10</w:t>
            </w:r>
            <w:r>
              <w:rPr>
                <w:rFonts w:hint="default" w:ascii="Times New Roman" w:hAnsi="Times New Roman" w:cs="Times New Roman"/>
                <w:bCs/>
                <w:color w:val="auto"/>
                <w:kern w:val="0"/>
                <w:szCs w:val="21"/>
                <w:highlight w:val="none"/>
              </w:rPr>
              <w:t>km/h，道路灰尘覆盖量P取0.1kg/m</w:t>
            </w:r>
            <w:r>
              <w:rPr>
                <w:rFonts w:hint="default" w:ascii="Times New Roman" w:hAnsi="Times New Roman" w:cs="Times New Roman"/>
                <w:bCs/>
                <w:color w:val="auto"/>
                <w:kern w:val="0"/>
                <w:szCs w:val="21"/>
                <w:highlight w:val="none"/>
                <w:vertAlign w:val="superscript"/>
              </w:rPr>
              <w:t>2</w:t>
            </w:r>
            <w:r>
              <w:rPr>
                <w:rFonts w:hint="default" w:ascii="Times New Roman" w:hAnsi="Times New Roman" w:cs="Times New Roman"/>
                <w:bCs/>
                <w:color w:val="auto"/>
                <w:kern w:val="0"/>
                <w:szCs w:val="21"/>
                <w:highlight w:val="none"/>
              </w:rPr>
              <w:t>。通过计算，运输起尘量为</w:t>
            </w:r>
            <w:r>
              <w:rPr>
                <w:rFonts w:hint="default" w:ascii="Times New Roman" w:hAnsi="Times New Roman" w:cs="Times New Roman"/>
                <w:bCs/>
                <w:color w:val="auto"/>
                <w:kern w:val="0"/>
                <w:szCs w:val="21"/>
                <w:highlight w:val="none"/>
                <w:lang w:val="en-US" w:eastAsia="zh-CN"/>
              </w:rPr>
              <w:t>0.2335</w:t>
            </w:r>
            <w:r>
              <w:rPr>
                <w:rFonts w:hint="default" w:ascii="Times New Roman" w:hAnsi="Times New Roman" w:cs="Times New Roman"/>
                <w:bCs/>
                <w:color w:val="auto"/>
                <w:kern w:val="0"/>
                <w:szCs w:val="21"/>
                <w:highlight w:val="none"/>
              </w:rPr>
              <w:t>kg/km·辆。本项目矿石运输总量约为</w:t>
            </w:r>
            <w:r>
              <w:rPr>
                <w:rFonts w:hint="default" w:ascii="Times New Roman" w:hAnsi="Times New Roman" w:cs="Times New Roman"/>
                <w:bCs/>
                <w:color w:val="auto"/>
                <w:kern w:val="0"/>
                <w:szCs w:val="21"/>
                <w:highlight w:val="none"/>
                <w:lang w:val="en-US" w:eastAsia="zh-CN"/>
              </w:rPr>
              <w:t>50</w:t>
            </w:r>
            <w:r>
              <w:rPr>
                <w:rFonts w:hint="default" w:ascii="Times New Roman" w:hAnsi="Times New Roman" w:cs="Times New Roman"/>
                <w:bCs/>
                <w:color w:val="auto"/>
                <w:kern w:val="0"/>
                <w:szCs w:val="21"/>
                <w:highlight w:val="none"/>
              </w:rPr>
              <w:t>万t/a，则矿石运输道路总起尘量约为</w:t>
            </w:r>
            <w:r>
              <w:rPr>
                <w:rFonts w:hint="default" w:ascii="Times New Roman" w:hAnsi="Times New Roman" w:cs="Times New Roman"/>
                <w:bCs/>
                <w:color w:val="auto"/>
                <w:kern w:val="0"/>
                <w:szCs w:val="21"/>
                <w:highlight w:val="none"/>
                <w:lang w:val="en-US" w:eastAsia="zh-CN"/>
              </w:rPr>
              <w:t>2.904</w:t>
            </w:r>
            <w:r>
              <w:rPr>
                <w:rFonts w:hint="default" w:ascii="Times New Roman" w:hAnsi="Times New Roman" w:cs="Times New Roman"/>
                <w:bCs/>
                <w:color w:val="auto"/>
                <w:kern w:val="0"/>
                <w:szCs w:val="21"/>
                <w:highlight w:val="none"/>
              </w:rPr>
              <w:t>t/a</w:t>
            </w:r>
            <w:r>
              <w:rPr>
                <w:rFonts w:hint="default" w:ascii="Times New Roman" w:hAnsi="Times New Roman" w:cs="Times New Roman"/>
                <w:bCs/>
                <w:color w:val="auto"/>
                <w:kern w:val="0"/>
                <w:szCs w:val="21"/>
                <w:highlight w:val="none"/>
                <w:lang w:eastAsia="zh-CN"/>
              </w:rPr>
              <w:t>，</w:t>
            </w:r>
            <w:r>
              <w:rPr>
                <w:rFonts w:hint="default" w:ascii="Times New Roman" w:hAnsi="Times New Roman" w:cs="Times New Roman"/>
                <w:bCs/>
                <w:color w:val="auto"/>
                <w:kern w:val="0"/>
                <w:szCs w:val="21"/>
                <w:highlight w:val="none"/>
                <w:lang w:val="en-US" w:eastAsia="zh-CN"/>
              </w:rPr>
              <w:t>1.21</w:t>
            </w:r>
            <w:r>
              <w:rPr>
                <w:rFonts w:hint="default" w:ascii="Times New Roman" w:hAnsi="Times New Roman" w:cs="Times New Roman"/>
                <w:bCs/>
                <w:color w:val="auto"/>
                <w:kern w:val="0"/>
                <w:szCs w:val="21"/>
                <w:highlight w:val="none"/>
              </w:rPr>
              <w:t>kg/h</w:t>
            </w:r>
            <w:r>
              <w:rPr>
                <w:rFonts w:hint="default" w:ascii="Times New Roman" w:hAnsi="Times New Roman" w:cs="Times New Roman"/>
                <w:bCs/>
                <w:color w:val="auto"/>
                <w:kern w:val="0"/>
                <w:szCs w:val="21"/>
                <w:highlight w:val="none"/>
                <w:lang w:eastAsia="zh-CN"/>
              </w:rPr>
              <w:t>。</w:t>
            </w:r>
            <w:r>
              <w:rPr>
                <w:rFonts w:hint="default" w:ascii="Times New Roman" w:hAnsi="Times New Roman" w:cs="Times New Roman"/>
                <w:bCs/>
                <w:color w:val="auto"/>
                <w:kern w:val="0"/>
                <w:szCs w:val="21"/>
                <w:highlight w:val="none"/>
              </w:rPr>
              <w:t>项目在非雨天对运输道路进行洒水降尘，降尘率可达7</w:t>
            </w:r>
            <w:r>
              <w:rPr>
                <w:rFonts w:hint="default" w:ascii="Times New Roman" w:hAnsi="Times New Roman" w:cs="Times New Roman"/>
                <w:bCs/>
                <w:color w:val="auto"/>
                <w:kern w:val="0"/>
                <w:szCs w:val="21"/>
                <w:highlight w:val="none"/>
                <w:lang w:val="en-US" w:eastAsia="zh-CN"/>
              </w:rPr>
              <w:t>4</w:t>
            </w:r>
            <w:r>
              <w:rPr>
                <w:rFonts w:hint="default" w:ascii="Times New Roman" w:hAnsi="Times New Roman" w:cs="Times New Roman"/>
                <w:bCs/>
                <w:color w:val="auto"/>
                <w:kern w:val="0"/>
                <w:szCs w:val="21"/>
                <w:highlight w:val="none"/>
              </w:rPr>
              <w:t>%，则运输过程扬尘无组织排放量为</w:t>
            </w:r>
            <w:r>
              <w:rPr>
                <w:rFonts w:hint="default" w:ascii="Times New Roman" w:hAnsi="Times New Roman" w:cs="Times New Roman"/>
                <w:bCs/>
                <w:color w:val="auto"/>
                <w:kern w:val="0"/>
                <w:szCs w:val="21"/>
                <w:highlight w:val="none"/>
                <w:lang w:val="en-US" w:eastAsia="zh-CN"/>
              </w:rPr>
              <w:t>0.755</w:t>
            </w:r>
            <w:r>
              <w:rPr>
                <w:rFonts w:hint="default" w:ascii="Times New Roman" w:hAnsi="Times New Roman" w:cs="Times New Roman"/>
                <w:bCs/>
                <w:color w:val="auto"/>
                <w:kern w:val="0"/>
                <w:szCs w:val="21"/>
                <w:highlight w:val="none"/>
              </w:rPr>
              <w:t>t/a</w:t>
            </w:r>
            <w:r>
              <w:rPr>
                <w:rFonts w:hint="default" w:ascii="Times New Roman" w:hAnsi="Times New Roman" w:cs="Times New Roman"/>
                <w:bCs/>
                <w:color w:val="auto"/>
                <w:kern w:val="0"/>
                <w:szCs w:val="21"/>
                <w:highlight w:val="none"/>
                <w:lang w:eastAsia="zh-CN"/>
              </w:rPr>
              <w:t>，</w:t>
            </w:r>
            <w:r>
              <w:rPr>
                <w:rFonts w:hint="default" w:ascii="Times New Roman" w:hAnsi="Times New Roman" w:cs="Times New Roman"/>
                <w:bCs/>
                <w:color w:val="auto"/>
                <w:kern w:val="0"/>
                <w:szCs w:val="21"/>
                <w:highlight w:val="none"/>
                <w:lang w:val="en-US" w:eastAsia="zh-CN"/>
              </w:rPr>
              <w:t>0.315</w:t>
            </w:r>
            <w:r>
              <w:rPr>
                <w:rFonts w:hint="default" w:ascii="Times New Roman" w:hAnsi="Times New Roman" w:cs="Times New Roman"/>
                <w:bCs/>
                <w:color w:val="auto"/>
                <w:kern w:val="0"/>
                <w:szCs w:val="21"/>
                <w:highlight w:val="none"/>
              </w:rPr>
              <w:t>kg/h。</w:t>
            </w:r>
          </w:p>
          <w:p w14:paraId="4375A8D5">
            <w:pPr>
              <w:ind w:firstLine="480"/>
              <w:rPr>
                <w:rFonts w:hint="default" w:ascii="Times New Roman" w:hAnsi="Times New Roman" w:eastAsia="宋体" w:cs="Times New Roman"/>
                <w:b/>
                <w:bCs/>
                <w:caps w:val="0"/>
                <w:smallCaps w:val="0"/>
                <w:color w:val="auto"/>
                <w:highlight w:val="none"/>
                <w:lang w:val="en-US" w:eastAsia="zh-CN"/>
              </w:rPr>
            </w:pPr>
            <w:r>
              <w:rPr>
                <w:rFonts w:hint="default" w:ascii="Times New Roman" w:hAnsi="Times New Roman" w:cs="Times New Roman"/>
                <w:b/>
                <w:bCs/>
                <w:caps w:val="0"/>
                <w:smallCaps w:val="0"/>
                <w:color w:val="auto"/>
                <w:highlight w:val="none"/>
                <w:lang w:eastAsia="zh-CN"/>
              </w:rPr>
              <w:t>（</w:t>
            </w:r>
            <w:r>
              <w:rPr>
                <w:rFonts w:hint="default" w:ascii="Times New Roman" w:hAnsi="Times New Roman" w:cs="Times New Roman"/>
                <w:b/>
                <w:bCs/>
                <w:caps w:val="0"/>
                <w:smallCaps w:val="0"/>
                <w:color w:val="auto"/>
                <w:highlight w:val="none"/>
                <w:lang w:val="en-US" w:eastAsia="zh-CN"/>
              </w:rPr>
              <w:t>2</w:t>
            </w:r>
            <w:r>
              <w:rPr>
                <w:rFonts w:hint="default" w:ascii="Times New Roman" w:hAnsi="Times New Roman" w:cs="Times New Roman"/>
                <w:b/>
                <w:bCs/>
                <w:caps w:val="0"/>
                <w:smallCaps w:val="0"/>
                <w:color w:val="auto"/>
                <w:highlight w:val="none"/>
                <w:lang w:eastAsia="zh-CN"/>
              </w:rPr>
              <w:t>）</w:t>
            </w:r>
            <w:r>
              <w:rPr>
                <w:rFonts w:hint="default" w:ascii="Times New Roman" w:hAnsi="Times New Roman" w:cs="Times New Roman"/>
                <w:b/>
                <w:bCs/>
                <w:caps w:val="0"/>
                <w:smallCaps w:val="0"/>
                <w:color w:val="auto"/>
                <w:highlight w:val="none"/>
              </w:rPr>
              <w:t>工业场地</w:t>
            </w:r>
            <w:r>
              <w:rPr>
                <w:rFonts w:hint="default" w:ascii="Times New Roman" w:hAnsi="Times New Roman" w:cs="Times New Roman"/>
                <w:b/>
                <w:bCs/>
                <w:caps w:val="0"/>
                <w:smallCaps w:val="0"/>
                <w:color w:val="auto"/>
                <w:highlight w:val="none"/>
                <w:lang w:val="en-US" w:eastAsia="zh-CN"/>
              </w:rPr>
              <w:t>区</w:t>
            </w:r>
          </w:p>
          <w:p w14:paraId="04ECDA32">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本项目生产加工区粉尘主要为破碎筛分粉尘、皮带运输粉尘、砂料堆场粉尘。</w:t>
            </w:r>
          </w:p>
          <w:p w14:paraId="255AEA7D">
            <w:pPr>
              <w:adjustRightInd w:val="0"/>
              <w:snapToGrid w:val="0"/>
              <w:spacing w:line="360" w:lineRule="auto"/>
              <w:ind w:firstLine="482" w:firstLineChars="200"/>
              <w:rPr>
                <w:rFonts w:hint="default" w:ascii="Times New Roman" w:hAnsi="Times New Roman" w:cs="Times New Roman"/>
                <w:caps w:val="0"/>
                <w:smallCaps w:val="0"/>
                <w:color w:val="auto"/>
                <w:highlight w:val="none"/>
              </w:rPr>
            </w:pPr>
            <w:r>
              <w:rPr>
                <w:rFonts w:hint="default" w:ascii="Times New Roman" w:hAnsi="Times New Roman" w:cs="Times New Roman"/>
                <w:b/>
                <w:bCs/>
                <w:color w:val="auto"/>
                <w:highlight w:val="none"/>
                <w:lang w:val="en-US" w:eastAsia="zh-CN"/>
              </w:rPr>
              <w:t>A、</w:t>
            </w:r>
            <w:r>
              <w:rPr>
                <w:rFonts w:hint="default" w:ascii="Times New Roman" w:hAnsi="Times New Roman" w:cs="Times New Roman"/>
                <w:b/>
                <w:bCs/>
                <w:color w:val="auto"/>
                <w:sz w:val="24"/>
                <w:highlight w:val="none"/>
              </w:rPr>
              <w:t>破碎</w:t>
            </w:r>
            <w:r>
              <w:rPr>
                <w:rFonts w:hint="default" w:ascii="Times New Roman" w:hAnsi="Times New Roman" w:cs="Times New Roman"/>
                <w:b/>
                <w:bCs/>
                <w:color w:val="auto"/>
                <w:sz w:val="24"/>
                <w:highlight w:val="none"/>
                <w:lang w:eastAsia="zh-CN"/>
              </w:rPr>
              <w:t>、</w:t>
            </w:r>
            <w:r>
              <w:rPr>
                <w:rFonts w:hint="default" w:ascii="Times New Roman" w:hAnsi="Times New Roman" w:cs="Times New Roman"/>
                <w:b/>
                <w:bCs/>
                <w:color w:val="auto"/>
                <w:sz w:val="24"/>
                <w:highlight w:val="none"/>
                <w:lang w:val="en-US" w:eastAsia="zh-CN"/>
              </w:rPr>
              <w:t>筛分</w:t>
            </w:r>
            <w:r>
              <w:rPr>
                <w:rFonts w:hint="default" w:ascii="Times New Roman" w:hAnsi="Times New Roman" w:cs="Times New Roman"/>
                <w:b/>
                <w:bCs/>
                <w:color w:val="auto"/>
                <w:sz w:val="24"/>
                <w:highlight w:val="none"/>
              </w:rPr>
              <w:t>粉尘</w:t>
            </w:r>
          </w:p>
          <w:p w14:paraId="6A6421E5">
            <w:pPr>
              <w:ind w:firstLine="480"/>
              <w:rPr>
                <w:rFonts w:hint="default" w:ascii="Times New Roman" w:hAnsi="Times New Roman" w:cs="Times New Roman"/>
                <w:b/>
                <w:bCs/>
                <w:caps w:val="0"/>
                <w:smallCaps w:val="0"/>
                <w:color w:val="auto"/>
                <w:sz w:val="21"/>
                <w:szCs w:val="21"/>
                <w:highlight w:val="none"/>
              </w:rPr>
            </w:pPr>
            <w:r>
              <w:rPr>
                <w:rFonts w:hint="default" w:ascii="Times New Roman" w:hAnsi="Times New Roman" w:cs="Times New Roman"/>
                <w:color w:val="auto"/>
                <w:highlight w:val="none"/>
                <w:lang w:val="en-US" w:eastAsia="zh-CN"/>
              </w:rPr>
              <w:t>根据项目工艺流程及产品方案分析，需进行二破以及二次制砂筛分的量约为原料的20%，则一破物料加工量为50万</w:t>
            </w:r>
            <w:r>
              <w:rPr>
                <w:rFonts w:hint="default" w:ascii="Times New Roman" w:hAnsi="Times New Roman" w:cs="Times New Roman"/>
                <w:color w:val="auto"/>
                <w:kern w:val="0"/>
                <w:szCs w:val="21"/>
                <w:highlight w:val="none"/>
              </w:rPr>
              <w:t>t/a</w:t>
            </w:r>
            <w:r>
              <w:rPr>
                <w:rFonts w:hint="default" w:ascii="Times New Roman" w:hAnsi="Times New Roman" w:cs="Times New Roman"/>
                <w:color w:val="auto"/>
                <w:highlight w:val="none"/>
                <w:lang w:val="en-US" w:eastAsia="zh-CN"/>
              </w:rPr>
              <w:t>，二破、制砂、筛分物料加工量为60万</w:t>
            </w:r>
            <w:r>
              <w:rPr>
                <w:rFonts w:hint="default" w:ascii="Times New Roman" w:hAnsi="Times New Roman" w:cs="Times New Roman"/>
                <w:color w:val="auto"/>
                <w:kern w:val="0"/>
                <w:szCs w:val="21"/>
                <w:highlight w:val="none"/>
              </w:rPr>
              <w:t>t/a</w:t>
            </w:r>
            <w:r>
              <w:rPr>
                <w:rFonts w:hint="default" w:ascii="Times New Roman" w:hAnsi="Times New Roman" w:cs="Times New Roman"/>
                <w:color w:val="auto"/>
                <w:highlight w:val="none"/>
                <w:lang w:val="en-US" w:eastAsia="zh-CN"/>
              </w:rPr>
              <w:t>计。</w:t>
            </w:r>
            <w:r>
              <w:rPr>
                <w:rFonts w:hint="default" w:ascii="Times New Roman" w:hAnsi="Times New Roman" w:cs="Times New Roman"/>
                <w:caps w:val="0"/>
                <w:smallCaps w:val="0"/>
                <w:color w:val="auto"/>
                <w:highlight w:val="none"/>
              </w:rPr>
              <w:t>根据《逸散性工业粉尘控制技术》（中国环境科学出版社）</w:t>
            </w:r>
            <w:r>
              <w:rPr>
                <w:rFonts w:hint="default" w:ascii="Times New Roman" w:hAnsi="Times New Roman" w:cs="Times New Roman"/>
                <w:b w:val="0"/>
                <w:bCs w:val="0"/>
                <w:color w:val="auto"/>
                <w:kern w:val="0"/>
                <w:sz w:val="24"/>
                <w:highlight w:val="none"/>
              </w:rPr>
              <w:t>表18-1粒料加工逸尘排放因子，</w:t>
            </w:r>
            <w:r>
              <w:rPr>
                <w:rFonts w:hint="default" w:ascii="Times New Roman" w:hAnsi="Times New Roman" w:eastAsia="宋体" w:cs="Times New Roman"/>
                <w:snapToGrid w:val="0"/>
                <w:color w:val="auto"/>
                <w:kern w:val="0"/>
                <w:sz w:val="24"/>
                <w:highlight w:val="none"/>
                <w:lang w:val="en-US" w:eastAsia="zh-CN"/>
              </w:rPr>
              <w:t>项目破碎、筛分、制砂等工序粉尘产污系数为：一级</w:t>
            </w:r>
            <w:r>
              <w:rPr>
                <w:rFonts w:hint="default" w:ascii="Times New Roman" w:hAnsi="Times New Roman" w:cs="Times New Roman"/>
                <w:caps w:val="0"/>
                <w:smallCaps w:val="0"/>
                <w:color w:val="auto"/>
                <w:highlight w:val="none"/>
              </w:rPr>
              <w:t>破碎</w:t>
            </w:r>
            <w:r>
              <w:rPr>
                <w:rFonts w:hint="default" w:ascii="Times New Roman" w:hAnsi="Times New Roman" w:cs="Times New Roman"/>
                <w:caps w:val="0"/>
                <w:smallCaps w:val="0"/>
                <w:color w:val="auto"/>
                <w:highlight w:val="none"/>
                <w:lang w:val="en-US" w:eastAsia="zh-CN"/>
              </w:rPr>
              <w:t>和筛选</w:t>
            </w:r>
            <w:r>
              <w:rPr>
                <w:rFonts w:hint="default" w:ascii="Times New Roman" w:hAnsi="Times New Roman" w:cs="Times New Roman"/>
                <w:caps w:val="0"/>
                <w:smallCaps w:val="0"/>
                <w:color w:val="auto"/>
                <w:highlight w:val="none"/>
              </w:rPr>
              <w:t>0.05kg/t</w:t>
            </w:r>
            <w:r>
              <w:rPr>
                <w:rFonts w:hint="default" w:ascii="Times New Roman" w:hAnsi="Times New Roman" w:cs="Times New Roman"/>
                <w:caps w:val="0"/>
                <w:smallCaps w:val="0"/>
                <w:color w:val="auto"/>
                <w:highlight w:val="none"/>
                <w:lang w:eastAsia="zh-CN"/>
              </w:rPr>
              <w:t>（</w:t>
            </w:r>
            <w:r>
              <w:rPr>
                <w:rFonts w:hint="default" w:ascii="Times New Roman" w:hAnsi="Times New Roman" w:cs="Times New Roman"/>
                <w:caps w:val="0"/>
                <w:smallCaps w:val="0"/>
                <w:color w:val="auto"/>
                <w:highlight w:val="none"/>
                <w:lang w:val="en-US" w:eastAsia="zh-CN"/>
              </w:rPr>
              <w:t>破碎料</w:t>
            </w:r>
            <w:r>
              <w:rPr>
                <w:rFonts w:hint="default" w:ascii="Times New Roman" w:hAnsi="Times New Roman" w:cs="Times New Roman"/>
                <w:caps w:val="0"/>
                <w:smallCaps w:val="0"/>
                <w:color w:val="auto"/>
                <w:highlight w:val="none"/>
                <w:lang w:eastAsia="zh-CN"/>
              </w:rPr>
              <w:t>）</w:t>
            </w:r>
            <w:r>
              <w:rPr>
                <w:rFonts w:hint="default" w:ascii="Times New Roman" w:hAnsi="Times New Roman" w:cs="Times New Roman"/>
                <w:caps w:val="0"/>
                <w:smallCaps w:val="0"/>
                <w:color w:val="auto"/>
                <w:highlight w:val="none"/>
              </w:rPr>
              <w:t>、二级破碎</w:t>
            </w:r>
            <w:r>
              <w:rPr>
                <w:rFonts w:hint="default" w:ascii="Times New Roman" w:hAnsi="Times New Roman" w:cs="Times New Roman"/>
                <w:caps w:val="0"/>
                <w:smallCaps w:val="0"/>
                <w:color w:val="auto"/>
                <w:highlight w:val="none"/>
                <w:lang w:val="en-US" w:eastAsia="zh-CN"/>
              </w:rPr>
              <w:t>和筛选</w:t>
            </w:r>
            <w:r>
              <w:rPr>
                <w:rFonts w:hint="default" w:ascii="Times New Roman" w:hAnsi="Times New Roman" w:cs="Times New Roman"/>
                <w:caps w:val="0"/>
                <w:smallCaps w:val="0"/>
                <w:color w:val="auto"/>
                <w:highlight w:val="none"/>
              </w:rPr>
              <w:t>0.05kg/t</w:t>
            </w:r>
            <w:r>
              <w:rPr>
                <w:rFonts w:hint="default" w:ascii="Times New Roman" w:hAnsi="Times New Roman" w:cs="Times New Roman"/>
                <w:caps w:val="0"/>
                <w:smallCaps w:val="0"/>
                <w:color w:val="auto"/>
                <w:highlight w:val="none"/>
                <w:lang w:eastAsia="zh-CN"/>
              </w:rPr>
              <w:t>（</w:t>
            </w:r>
            <w:r>
              <w:rPr>
                <w:rFonts w:hint="default" w:ascii="Times New Roman" w:hAnsi="Times New Roman" w:cs="Times New Roman"/>
                <w:caps w:val="0"/>
                <w:smallCaps w:val="0"/>
                <w:color w:val="auto"/>
                <w:highlight w:val="none"/>
                <w:lang w:val="en-US" w:eastAsia="zh-CN"/>
              </w:rPr>
              <w:t>破碎料</w:t>
            </w:r>
            <w:r>
              <w:rPr>
                <w:rFonts w:hint="default" w:ascii="Times New Roman" w:hAnsi="Times New Roman" w:cs="Times New Roman"/>
                <w:caps w:val="0"/>
                <w:smallCaps w:val="0"/>
                <w:color w:val="auto"/>
                <w:highlight w:val="none"/>
                <w:lang w:eastAsia="zh-CN"/>
              </w:rPr>
              <w:t>），</w:t>
            </w:r>
            <w:r>
              <w:rPr>
                <w:rFonts w:hint="default" w:ascii="Times New Roman" w:hAnsi="Times New Roman" w:cs="Times New Roman"/>
                <w:caps w:val="0"/>
                <w:smallCaps w:val="0"/>
                <w:color w:val="auto"/>
                <w:highlight w:val="none"/>
                <w:lang w:val="en-US" w:eastAsia="zh-CN"/>
              </w:rPr>
              <w:t>则项目</w:t>
            </w:r>
            <w:r>
              <w:rPr>
                <w:rFonts w:hint="default" w:ascii="Times New Roman" w:hAnsi="Times New Roman" w:cs="Times New Roman"/>
                <w:caps w:val="0"/>
                <w:smallCaps w:val="0"/>
                <w:color w:val="auto"/>
                <w:highlight w:val="none"/>
              </w:rPr>
              <w:t>粉尘产生情况见表</w:t>
            </w:r>
            <w:r>
              <w:rPr>
                <w:rFonts w:hint="default" w:ascii="Times New Roman" w:hAnsi="Times New Roman" w:cs="Times New Roman"/>
                <w:caps w:val="0"/>
                <w:smallCaps w:val="0"/>
                <w:color w:val="auto"/>
                <w:highlight w:val="none"/>
                <w:lang w:val="en-US" w:eastAsia="zh-CN"/>
              </w:rPr>
              <w:t>4</w:t>
            </w:r>
            <w:r>
              <w:rPr>
                <w:rFonts w:hint="default" w:ascii="Times New Roman" w:hAnsi="Times New Roman" w:cs="Times New Roman"/>
                <w:caps w:val="0"/>
                <w:smallCaps w:val="0"/>
                <w:color w:val="auto"/>
                <w:highlight w:val="none"/>
              </w:rPr>
              <w:t>-</w:t>
            </w:r>
            <w:r>
              <w:rPr>
                <w:rFonts w:hint="default" w:ascii="Times New Roman" w:hAnsi="Times New Roman" w:cs="Times New Roman"/>
                <w:caps w:val="0"/>
                <w:smallCaps w:val="0"/>
                <w:color w:val="auto"/>
                <w:highlight w:val="none"/>
                <w:lang w:val="en-US" w:eastAsia="zh-CN"/>
              </w:rPr>
              <w:t>4</w:t>
            </w:r>
            <w:r>
              <w:rPr>
                <w:rFonts w:hint="default" w:ascii="Times New Roman" w:hAnsi="Times New Roman" w:cs="Times New Roman"/>
                <w:caps w:val="0"/>
                <w:smallCaps w:val="0"/>
                <w:color w:val="auto"/>
                <w:highlight w:val="none"/>
              </w:rPr>
              <w:t>和表</w:t>
            </w:r>
            <w:r>
              <w:rPr>
                <w:rFonts w:hint="default" w:ascii="Times New Roman" w:hAnsi="Times New Roman" w:cs="Times New Roman"/>
                <w:caps w:val="0"/>
                <w:smallCaps w:val="0"/>
                <w:color w:val="auto"/>
                <w:highlight w:val="none"/>
                <w:lang w:val="en-US" w:eastAsia="zh-CN"/>
              </w:rPr>
              <w:t>4</w:t>
            </w:r>
            <w:r>
              <w:rPr>
                <w:rFonts w:hint="default" w:ascii="Times New Roman" w:hAnsi="Times New Roman" w:cs="Times New Roman"/>
                <w:caps w:val="0"/>
                <w:smallCaps w:val="0"/>
                <w:color w:val="auto"/>
                <w:highlight w:val="none"/>
              </w:rPr>
              <w:t>-</w:t>
            </w:r>
            <w:r>
              <w:rPr>
                <w:rFonts w:hint="default" w:ascii="Times New Roman" w:hAnsi="Times New Roman" w:cs="Times New Roman"/>
                <w:caps w:val="0"/>
                <w:smallCaps w:val="0"/>
                <w:color w:val="auto"/>
                <w:highlight w:val="none"/>
                <w:lang w:val="en-US" w:eastAsia="zh-CN"/>
              </w:rPr>
              <w:t>5</w:t>
            </w:r>
            <w:r>
              <w:rPr>
                <w:rFonts w:hint="default" w:ascii="Times New Roman" w:hAnsi="Times New Roman" w:cs="Times New Roman"/>
                <w:caps w:val="0"/>
                <w:smallCaps w:val="0"/>
                <w:color w:val="auto"/>
                <w:highlight w:val="none"/>
              </w:rPr>
              <w:t>。</w:t>
            </w:r>
          </w:p>
          <w:p w14:paraId="13A0711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aps w:val="0"/>
                <w:smallCaps w:val="0"/>
                <w:color w:val="auto"/>
                <w:sz w:val="21"/>
                <w:szCs w:val="21"/>
                <w:highlight w:val="none"/>
              </w:rPr>
            </w:pPr>
            <w:r>
              <w:rPr>
                <w:rFonts w:hint="default" w:ascii="Times New Roman" w:hAnsi="Times New Roman" w:cs="Times New Roman"/>
                <w:b/>
                <w:bCs/>
                <w:caps w:val="0"/>
                <w:smallCaps w:val="0"/>
                <w:color w:val="auto"/>
                <w:sz w:val="21"/>
                <w:szCs w:val="21"/>
                <w:highlight w:val="none"/>
              </w:rPr>
              <w:t>表</w:t>
            </w:r>
            <w:r>
              <w:rPr>
                <w:rFonts w:hint="default" w:ascii="Times New Roman" w:hAnsi="Times New Roman" w:cs="Times New Roman"/>
                <w:b/>
                <w:bCs/>
                <w:caps w:val="0"/>
                <w:smallCaps w:val="0"/>
                <w:color w:val="auto"/>
                <w:sz w:val="21"/>
                <w:szCs w:val="21"/>
                <w:highlight w:val="none"/>
                <w:lang w:val="en-US" w:eastAsia="zh-CN"/>
              </w:rPr>
              <w:t>4</w:t>
            </w:r>
            <w:r>
              <w:rPr>
                <w:rFonts w:hint="default" w:ascii="Times New Roman" w:hAnsi="Times New Roman" w:cs="Times New Roman"/>
                <w:b/>
                <w:bCs/>
                <w:caps w:val="0"/>
                <w:smallCaps w:val="0"/>
                <w:color w:val="auto"/>
                <w:sz w:val="21"/>
                <w:szCs w:val="21"/>
                <w:highlight w:val="none"/>
              </w:rPr>
              <w:t>-</w:t>
            </w:r>
            <w:r>
              <w:rPr>
                <w:rFonts w:hint="default" w:ascii="Times New Roman" w:hAnsi="Times New Roman" w:cs="Times New Roman"/>
                <w:b/>
                <w:bCs/>
                <w:caps w:val="0"/>
                <w:smallCaps w:val="0"/>
                <w:color w:val="auto"/>
                <w:sz w:val="21"/>
                <w:szCs w:val="21"/>
                <w:highlight w:val="none"/>
                <w:lang w:val="en-US" w:eastAsia="zh-CN"/>
              </w:rPr>
              <w:t>4</w:t>
            </w:r>
            <w:r>
              <w:rPr>
                <w:rFonts w:hint="default" w:ascii="Times New Roman" w:hAnsi="Times New Roman" w:cs="Times New Roman"/>
                <w:b/>
                <w:bCs/>
                <w:caps w:val="0"/>
                <w:smallCaps w:val="0"/>
                <w:color w:val="auto"/>
                <w:sz w:val="21"/>
                <w:szCs w:val="21"/>
                <w:highlight w:val="none"/>
              </w:rPr>
              <w:t xml:space="preserve"> 项目破碎站破碎筛分粉尘产生情况表</w:t>
            </w:r>
          </w:p>
          <w:tbl>
            <w:tblPr>
              <w:tblStyle w:val="31"/>
              <w:tblW w:w="78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0"/>
              <w:gridCol w:w="1760"/>
              <w:gridCol w:w="2187"/>
              <w:gridCol w:w="2100"/>
            </w:tblGrid>
            <w:tr w14:paraId="4EB3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noWrap/>
                </w:tcPr>
                <w:p w14:paraId="249E808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bCs/>
                      <w:caps w:val="0"/>
                      <w:smallCaps w:val="0"/>
                      <w:color w:val="auto"/>
                      <w:sz w:val="21"/>
                      <w:szCs w:val="21"/>
                      <w:highlight w:val="none"/>
                    </w:rPr>
                  </w:pPr>
                  <w:r>
                    <w:rPr>
                      <w:rFonts w:hint="default" w:ascii="Times New Roman" w:hAnsi="Times New Roman" w:cs="Times New Roman"/>
                      <w:b/>
                      <w:bCs/>
                      <w:caps w:val="0"/>
                      <w:smallCaps w:val="0"/>
                      <w:color w:val="auto"/>
                      <w:sz w:val="21"/>
                      <w:szCs w:val="21"/>
                      <w:highlight w:val="none"/>
                    </w:rPr>
                    <w:t>产污环节</w:t>
                  </w:r>
                </w:p>
              </w:tc>
              <w:tc>
                <w:tcPr>
                  <w:tcW w:w="1760" w:type="dxa"/>
                  <w:noWrap/>
                </w:tcPr>
                <w:p w14:paraId="70F0A19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bCs/>
                      <w:caps w:val="0"/>
                      <w:smallCaps w:val="0"/>
                      <w:color w:val="auto"/>
                      <w:sz w:val="21"/>
                      <w:szCs w:val="21"/>
                      <w:highlight w:val="none"/>
                    </w:rPr>
                  </w:pPr>
                  <w:r>
                    <w:rPr>
                      <w:rFonts w:hint="default" w:ascii="Times New Roman" w:hAnsi="Times New Roman" w:cs="Times New Roman"/>
                      <w:b/>
                      <w:bCs/>
                      <w:caps w:val="0"/>
                      <w:smallCaps w:val="0"/>
                      <w:color w:val="auto"/>
                      <w:sz w:val="21"/>
                      <w:szCs w:val="21"/>
                      <w:highlight w:val="none"/>
                    </w:rPr>
                    <w:t>产污系数</w:t>
                  </w:r>
                </w:p>
              </w:tc>
              <w:tc>
                <w:tcPr>
                  <w:tcW w:w="2187" w:type="dxa"/>
                  <w:noWrap/>
                </w:tcPr>
                <w:p w14:paraId="637BB69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bCs/>
                      <w:caps w:val="0"/>
                      <w:smallCaps w:val="0"/>
                      <w:color w:val="auto"/>
                      <w:sz w:val="21"/>
                      <w:szCs w:val="21"/>
                      <w:highlight w:val="none"/>
                    </w:rPr>
                  </w:pPr>
                  <w:r>
                    <w:rPr>
                      <w:rFonts w:hint="default" w:ascii="Times New Roman" w:hAnsi="Times New Roman" w:cs="Times New Roman"/>
                      <w:b/>
                      <w:bCs/>
                      <w:caps w:val="0"/>
                      <w:smallCaps w:val="0"/>
                      <w:color w:val="auto"/>
                      <w:sz w:val="21"/>
                      <w:szCs w:val="21"/>
                      <w:highlight w:val="none"/>
                    </w:rPr>
                    <w:t>加工物料量（</w:t>
                  </w:r>
                  <w:r>
                    <w:rPr>
                      <w:rFonts w:hint="default" w:ascii="Times New Roman" w:hAnsi="Times New Roman" w:cs="Times New Roman"/>
                      <w:b/>
                      <w:bCs/>
                      <w:caps w:val="0"/>
                      <w:smallCaps w:val="0"/>
                      <w:color w:val="auto"/>
                      <w:sz w:val="21"/>
                      <w:szCs w:val="21"/>
                      <w:highlight w:val="none"/>
                      <w:lang w:val="en-US" w:eastAsia="zh-CN"/>
                    </w:rPr>
                    <w:t>万</w:t>
                  </w:r>
                  <w:r>
                    <w:rPr>
                      <w:rFonts w:hint="default" w:ascii="Times New Roman" w:hAnsi="Times New Roman" w:cs="Times New Roman"/>
                      <w:b/>
                      <w:bCs/>
                      <w:caps w:val="0"/>
                      <w:smallCaps w:val="0"/>
                      <w:color w:val="auto"/>
                      <w:sz w:val="21"/>
                      <w:szCs w:val="21"/>
                      <w:highlight w:val="none"/>
                    </w:rPr>
                    <w:t>t/a）</w:t>
                  </w:r>
                </w:p>
              </w:tc>
              <w:tc>
                <w:tcPr>
                  <w:tcW w:w="2100" w:type="dxa"/>
                  <w:noWrap/>
                </w:tcPr>
                <w:p w14:paraId="660B4B8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b/>
                      <w:bCs/>
                      <w:caps w:val="0"/>
                      <w:smallCaps w:val="0"/>
                      <w:color w:val="auto"/>
                      <w:sz w:val="21"/>
                      <w:szCs w:val="21"/>
                      <w:highlight w:val="none"/>
                    </w:rPr>
                  </w:pPr>
                  <w:r>
                    <w:rPr>
                      <w:rFonts w:hint="default" w:ascii="Times New Roman" w:hAnsi="Times New Roman" w:cs="Times New Roman"/>
                      <w:b/>
                      <w:bCs/>
                      <w:caps w:val="0"/>
                      <w:smallCaps w:val="0"/>
                      <w:color w:val="auto"/>
                      <w:sz w:val="21"/>
                      <w:szCs w:val="21"/>
                      <w:highlight w:val="none"/>
                    </w:rPr>
                    <w:t>粉尘产生量（t/a）</w:t>
                  </w:r>
                </w:p>
              </w:tc>
            </w:tr>
            <w:tr w14:paraId="6A66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noWrap/>
                </w:tcPr>
                <w:p w14:paraId="0C0BDBB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kern w:val="0"/>
                      <w:sz w:val="21"/>
                      <w:szCs w:val="21"/>
                      <w:highlight w:val="none"/>
                    </w:rPr>
                    <w:t>一破</w:t>
                  </w:r>
                </w:p>
              </w:tc>
              <w:tc>
                <w:tcPr>
                  <w:tcW w:w="1760" w:type="dxa"/>
                  <w:noWrap/>
                </w:tcPr>
                <w:p w14:paraId="19D8FB7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0.0</w:t>
                  </w:r>
                  <w:r>
                    <w:rPr>
                      <w:rFonts w:hint="default" w:ascii="Times New Roman" w:hAnsi="Times New Roman" w:cs="Times New Roman"/>
                      <w:caps w:val="0"/>
                      <w:smallCaps w:val="0"/>
                      <w:color w:val="auto"/>
                      <w:sz w:val="21"/>
                      <w:szCs w:val="21"/>
                      <w:highlight w:val="none"/>
                      <w:lang w:val="en-US" w:eastAsia="zh-CN"/>
                    </w:rPr>
                    <w:t>5</w:t>
                  </w:r>
                  <w:r>
                    <w:rPr>
                      <w:rFonts w:hint="default" w:ascii="Times New Roman" w:hAnsi="Times New Roman" w:cs="Times New Roman"/>
                      <w:caps w:val="0"/>
                      <w:smallCaps w:val="0"/>
                      <w:color w:val="auto"/>
                      <w:sz w:val="21"/>
                      <w:szCs w:val="21"/>
                      <w:highlight w:val="none"/>
                    </w:rPr>
                    <w:t>kg/t</w:t>
                  </w:r>
                </w:p>
              </w:tc>
              <w:tc>
                <w:tcPr>
                  <w:tcW w:w="2187" w:type="dxa"/>
                  <w:noWrap/>
                </w:tcPr>
                <w:p w14:paraId="5D2B3BC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lang w:val="en-US" w:eastAsia="zh-CN"/>
                    </w:rPr>
                    <w:t>50</w:t>
                  </w:r>
                </w:p>
              </w:tc>
              <w:tc>
                <w:tcPr>
                  <w:tcW w:w="2100" w:type="dxa"/>
                  <w:noWrap/>
                </w:tcPr>
                <w:p w14:paraId="4DDC64F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25</w:t>
                  </w:r>
                </w:p>
              </w:tc>
            </w:tr>
            <w:tr w14:paraId="5CBA7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noWrap/>
                  <w:vAlign w:val="top"/>
                </w:tcPr>
                <w:p w14:paraId="3EA8292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kern w:val="0"/>
                      <w:sz w:val="21"/>
                      <w:szCs w:val="21"/>
                      <w:highlight w:val="none"/>
                    </w:rPr>
                    <w:t>二破</w:t>
                  </w:r>
                </w:p>
              </w:tc>
              <w:tc>
                <w:tcPr>
                  <w:tcW w:w="1760" w:type="dxa"/>
                  <w:noWrap/>
                  <w:vAlign w:val="top"/>
                </w:tcPr>
                <w:p w14:paraId="7E1DCC3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0.05kg/t</w:t>
                  </w:r>
                </w:p>
              </w:tc>
              <w:tc>
                <w:tcPr>
                  <w:tcW w:w="2187" w:type="dxa"/>
                  <w:noWrap/>
                  <w:vAlign w:val="top"/>
                </w:tcPr>
                <w:p w14:paraId="221B831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60</w:t>
                  </w:r>
                </w:p>
              </w:tc>
              <w:tc>
                <w:tcPr>
                  <w:tcW w:w="2100" w:type="dxa"/>
                  <w:noWrap/>
                  <w:vAlign w:val="top"/>
                </w:tcPr>
                <w:p w14:paraId="73862B1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30</w:t>
                  </w:r>
                </w:p>
              </w:tc>
            </w:tr>
            <w:tr w14:paraId="6AEF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noWrap/>
                </w:tcPr>
                <w:p w14:paraId="6CDAC9B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kern w:val="0"/>
                      <w:sz w:val="21"/>
                      <w:szCs w:val="21"/>
                      <w:highlight w:val="none"/>
                      <w:lang w:val="en-US" w:eastAsia="zh-CN"/>
                    </w:rPr>
                    <w:t>一次</w:t>
                  </w:r>
                  <w:r>
                    <w:rPr>
                      <w:rFonts w:hint="default" w:ascii="Times New Roman" w:hAnsi="Times New Roman" w:cs="Times New Roman"/>
                      <w:caps w:val="0"/>
                      <w:smallCaps w:val="0"/>
                      <w:color w:val="auto"/>
                      <w:kern w:val="0"/>
                      <w:sz w:val="21"/>
                      <w:szCs w:val="21"/>
                      <w:highlight w:val="none"/>
                    </w:rPr>
                    <w:t>筛分</w:t>
                  </w:r>
                </w:p>
              </w:tc>
              <w:tc>
                <w:tcPr>
                  <w:tcW w:w="1760" w:type="dxa"/>
                  <w:noWrap/>
                </w:tcPr>
                <w:p w14:paraId="3264FAB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0.05kg/t</w:t>
                  </w:r>
                </w:p>
              </w:tc>
              <w:tc>
                <w:tcPr>
                  <w:tcW w:w="2187" w:type="dxa"/>
                  <w:noWrap/>
                </w:tcPr>
                <w:p w14:paraId="7B6E5CA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60</w:t>
                  </w:r>
                </w:p>
              </w:tc>
              <w:tc>
                <w:tcPr>
                  <w:tcW w:w="2100" w:type="dxa"/>
                  <w:noWrap/>
                </w:tcPr>
                <w:p w14:paraId="1598C70E">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lang w:val="en-US" w:eastAsia="zh-CN"/>
                    </w:rPr>
                    <w:t>30</w:t>
                  </w:r>
                </w:p>
              </w:tc>
            </w:tr>
            <w:tr w14:paraId="6AB7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760" w:type="dxa"/>
                  <w:noWrap/>
                  <w:vAlign w:val="top"/>
                </w:tcPr>
                <w:p w14:paraId="5B15172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kern w:val="0"/>
                      <w:sz w:val="21"/>
                      <w:szCs w:val="21"/>
                      <w:highlight w:val="none"/>
                    </w:rPr>
                  </w:pPr>
                  <w:r>
                    <w:rPr>
                      <w:rFonts w:hint="default" w:ascii="Times New Roman" w:hAnsi="Times New Roman" w:cs="Times New Roman"/>
                      <w:caps w:val="0"/>
                      <w:smallCaps w:val="0"/>
                      <w:color w:val="auto"/>
                      <w:sz w:val="21"/>
                      <w:szCs w:val="21"/>
                      <w:highlight w:val="none"/>
                    </w:rPr>
                    <w:t>制砂</w:t>
                  </w:r>
                </w:p>
              </w:tc>
              <w:tc>
                <w:tcPr>
                  <w:tcW w:w="1760" w:type="dxa"/>
                  <w:noWrap/>
                  <w:vAlign w:val="top"/>
                </w:tcPr>
                <w:p w14:paraId="7B05189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lang w:val="en-US" w:eastAsia="zh-CN"/>
                    </w:rPr>
                    <w:t>0.05</w:t>
                  </w:r>
                  <w:r>
                    <w:rPr>
                      <w:rFonts w:hint="default" w:ascii="Times New Roman" w:hAnsi="Times New Roman" w:cs="Times New Roman"/>
                      <w:caps w:val="0"/>
                      <w:smallCaps w:val="0"/>
                      <w:color w:val="auto"/>
                      <w:sz w:val="21"/>
                      <w:szCs w:val="21"/>
                      <w:highlight w:val="none"/>
                    </w:rPr>
                    <w:t>kg/t</w:t>
                  </w:r>
                </w:p>
              </w:tc>
              <w:tc>
                <w:tcPr>
                  <w:tcW w:w="2187" w:type="dxa"/>
                  <w:noWrap/>
                  <w:vAlign w:val="top"/>
                </w:tcPr>
                <w:p w14:paraId="6C36335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60</w:t>
                  </w:r>
                </w:p>
              </w:tc>
              <w:tc>
                <w:tcPr>
                  <w:tcW w:w="2100" w:type="dxa"/>
                  <w:noWrap/>
                  <w:vAlign w:val="top"/>
                </w:tcPr>
                <w:p w14:paraId="6F53B880">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30</w:t>
                  </w:r>
                </w:p>
              </w:tc>
            </w:tr>
            <w:tr w14:paraId="1A95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0" w:type="dxa"/>
                  <w:noWrap/>
                </w:tcPr>
                <w:p w14:paraId="233921A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lang w:val="en-US" w:eastAsia="zh-CN"/>
                    </w:rPr>
                    <w:t>二次</w:t>
                  </w:r>
                  <w:r>
                    <w:rPr>
                      <w:rFonts w:hint="default" w:ascii="Times New Roman" w:hAnsi="Times New Roman" w:cs="Times New Roman"/>
                      <w:caps w:val="0"/>
                      <w:smallCaps w:val="0"/>
                      <w:color w:val="auto"/>
                      <w:sz w:val="21"/>
                      <w:szCs w:val="21"/>
                      <w:highlight w:val="none"/>
                    </w:rPr>
                    <w:t>筛分</w:t>
                  </w:r>
                </w:p>
              </w:tc>
              <w:tc>
                <w:tcPr>
                  <w:tcW w:w="1760" w:type="dxa"/>
                  <w:noWrap/>
                </w:tcPr>
                <w:p w14:paraId="2594F52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rPr>
                  </w:pPr>
                  <w:r>
                    <w:rPr>
                      <w:rFonts w:hint="default" w:ascii="Times New Roman" w:hAnsi="Times New Roman" w:cs="Times New Roman"/>
                      <w:caps w:val="0"/>
                      <w:smallCaps w:val="0"/>
                      <w:color w:val="auto"/>
                      <w:sz w:val="21"/>
                      <w:szCs w:val="21"/>
                      <w:highlight w:val="none"/>
                    </w:rPr>
                    <w:t>0.05kg/t</w:t>
                  </w:r>
                </w:p>
              </w:tc>
              <w:tc>
                <w:tcPr>
                  <w:tcW w:w="2187" w:type="dxa"/>
                  <w:noWrap/>
                </w:tcPr>
                <w:p w14:paraId="77FF5FD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rPr>
                  </w:pPr>
                  <w:r>
                    <w:rPr>
                      <w:rFonts w:hint="default" w:ascii="Times New Roman" w:hAnsi="Times New Roman" w:cs="Times New Roman"/>
                      <w:caps w:val="0"/>
                      <w:smallCaps w:val="0"/>
                      <w:color w:val="auto"/>
                      <w:sz w:val="21"/>
                      <w:szCs w:val="21"/>
                      <w:highlight w:val="none"/>
                      <w:lang w:val="en-US" w:eastAsia="zh-CN"/>
                    </w:rPr>
                    <w:t>60</w:t>
                  </w:r>
                </w:p>
              </w:tc>
              <w:tc>
                <w:tcPr>
                  <w:tcW w:w="2100" w:type="dxa"/>
                  <w:noWrap/>
                </w:tcPr>
                <w:p w14:paraId="15365BDB">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宋体"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30</w:t>
                  </w:r>
                </w:p>
              </w:tc>
            </w:tr>
          </w:tbl>
          <w:p w14:paraId="32711C3F">
            <w:pPr>
              <w:pStyle w:val="49"/>
              <w:spacing w:before="38" w:line="356" w:lineRule="auto"/>
              <w:ind w:left="101" w:right="34" w:firstLine="481"/>
              <w:jc w:val="both"/>
              <w:rPr>
                <w:rFonts w:hint="default" w:ascii="Times New Roman" w:hAnsi="Times New Roman" w:cs="Times New Roman"/>
                <w:color w:val="auto"/>
                <w:sz w:val="24"/>
                <w:szCs w:val="24"/>
                <w:highlight w:val="none"/>
                <w:lang w:eastAsia="zh-CN"/>
              </w:rPr>
            </w:pPr>
            <w:r>
              <w:rPr>
                <w:rFonts w:hint="default" w:ascii="Times New Roman" w:hAnsi="Times New Roman" w:cs="Times New Roman"/>
                <w:snapToGrid w:val="0"/>
                <w:color w:val="auto"/>
                <w:kern w:val="0"/>
                <w:sz w:val="24"/>
                <w:highlight w:val="none"/>
                <w:lang w:val="en-US" w:eastAsia="zh-CN"/>
              </w:rPr>
              <w:t>本次评价</w:t>
            </w:r>
            <w:r>
              <w:rPr>
                <w:rFonts w:hint="default" w:ascii="Times New Roman" w:hAnsi="Times New Roman" w:eastAsia="宋体" w:cs="Times New Roman"/>
                <w:snapToGrid w:val="0"/>
                <w:color w:val="auto"/>
                <w:kern w:val="0"/>
                <w:sz w:val="24"/>
                <w:highlight w:val="none"/>
                <w:lang w:val="en-US" w:eastAsia="zh-CN"/>
              </w:rPr>
              <w:t>提出在破碎机、筛分机、制砂机上方设置吹吸式集气罩对粉尘进行收集，根据《</w:t>
            </w:r>
            <w:r>
              <w:rPr>
                <w:rFonts w:hint="default" w:ascii="Times New Roman" w:hAnsi="Times New Roman" w:eastAsia="宋体" w:cs="Times New Roman"/>
                <w:snapToGrid w:val="0"/>
                <w:color w:val="auto"/>
                <w:kern w:val="0"/>
                <w:sz w:val="24"/>
                <w:highlight w:val="none"/>
                <w:lang w:val="en-US" w:eastAsia="zh-CN"/>
              </w:rPr>
              <w:fldChar w:fldCharType="begin"/>
            </w:r>
            <w:r>
              <w:rPr>
                <w:rFonts w:hint="default" w:ascii="Times New Roman" w:hAnsi="Times New Roman" w:eastAsia="宋体" w:cs="Times New Roman"/>
                <w:snapToGrid w:val="0"/>
                <w:color w:val="auto"/>
                <w:kern w:val="0"/>
                <w:sz w:val="24"/>
                <w:highlight w:val="none"/>
                <w:lang w:val="en-US" w:eastAsia="zh-CN"/>
              </w:rPr>
              <w:instrText xml:space="preserve"> HYPERLINK "https://www.mee.gov.cn/ywgz/fgbz/bz/bzwb/other/hjbhgc/201210/W020121023554837220222.pdf" </w:instrText>
            </w:r>
            <w:r>
              <w:rPr>
                <w:rFonts w:hint="default" w:ascii="Times New Roman" w:hAnsi="Times New Roman" w:eastAsia="宋体" w:cs="Times New Roman"/>
                <w:snapToGrid w:val="0"/>
                <w:color w:val="auto"/>
                <w:kern w:val="0"/>
                <w:sz w:val="24"/>
                <w:highlight w:val="none"/>
                <w:lang w:val="en-US" w:eastAsia="zh-CN"/>
              </w:rPr>
              <w:fldChar w:fldCharType="separate"/>
            </w:r>
            <w:r>
              <w:rPr>
                <w:rFonts w:hint="default" w:ascii="Times New Roman" w:hAnsi="Times New Roman" w:eastAsia="宋体" w:cs="Times New Roman"/>
                <w:snapToGrid w:val="0"/>
                <w:color w:val="auto"/>
                <w:kern w:val="0"/>
                <w:sz w:val="24"/>
                <w:highlight w:val="none"/>
                <w:lang w:val="en-US" w:eastAsia="zh-CN"/>
              </w:rPr>
              <w:t>袋式除尘工程通用技术规范</w:t>
            </w:r>
            <w:r>
              <w:rPr>
                <w:rFonts w:hint="default" w:ascii="Times New Roman" w:hAnsi="Times New Roman" w:eastAsia="宋体" w:cs="Times New Roman"/>
                <w:snapToGrid w:val="0"/>
                <w:color w:val="auto"/>
                <w:kern w:val="0"/>
                <w:sz w:val="24"/>
                <w:highlight w:val="none"/>
                <w:lang w:val="en-US" w:eastAsia="zh-CN"/>
              </w:rPr>
              <w:fldChar w:fldCharType="end"/>
            </w:r>
            <w:r>
              <w:rPr>
                <w:rFonts w:hint="default" w:ascii="Times New Roman" w:hAnsi="Times New Roman" w:eastAsia="宋体" w:cs="Times New Roman"/>
                <w:snapToGrid w:val="0"/>
                <w:color w:val="auto"/>
                <w:kern w:val="0"/>
                <w:sz w:val="24"/>
                <w:highlight w:val="none"/>
                <w:lang w:val="en-US" w:eastAsia="zh-CN"/>
              </w:rPr>
              <w:t> 》(HJ 2020-2012)，吹吸式集气罩对粉尘的收集效率为90%。项目运行时间为2400h/a（年工作300d，每天8h，夜间不生产），根据建设单位生产设备参数核算，项目风量为</w:t>
            </w:r>
            <w:r>
              <w:rPr>
                <w:rFonts w:hint="default" w:ascii="Times New Roman" w:hAnsi="Times New Roman" w:cs="Times New Roman"/>
                <w:snapToGrid w:val="0"/>
                <w:color w:val="auto"/>
                <w:kern w:val="0"/>
                <w:sz w:val="24"/>
                <w:highlight w:val="none"/>
                <w:lang w:val="en-US" w:eastAsia="zh-CN"/>
              </w:rPr>
              <w:t>20000</w:t>
            </w:r>
            <w:r>
              <w:rPr>
                <w:rFonts w:hint="default" w:ascii="Times New Roman" w:hAnsi="Times New Roman" w:eastAsia="宋体" w:cs="Times New Roman"/>
                <w:caps w:val="0"/>
                <w:smallCaps w:val="0"/>
                <w:color w:val="auto"/>
                <w:sz w:val="24"/>
                <w:highlight w:val="none"/>
                <w:lang w:val="en-US" w:eastAsia="zh-CN"/>
              </w:rPr>
              <w:t>m</w:t>
            </w:r>
            <w:r>
              <w:rPr>
                <w:rFonts w:hint="default" w:ascii="Times New Roman" w:hAnsi="Times New Roman" w:eastAsia="宋体" w:cs="Times New Roman"/>
                <w:caps w:val="0"/>
                <w:smallCaps w:val="0"/>
                <w:color w:val="auto"/>
                <w:sz w:val="24"/>
                <w:highlight w:val="none"/>
                <w:vertAlign w:val="superscript"/>
                <w:lang w:val="en-US" w:eastAsia="zh-CN"/>
              </w:rPr>
              <w:t>3</w:t>
            </w:r>
            <w:r>
              <w:rPr>
                <w:rFonts w:hint="default" w:ascii="Times New Roman" w:hAnsi="Times New Roman" w:eastAsia="宋体" w:cs="Times New Roman"/>
                <w:caps w:val="0"/>
                <w:smallCaps w:val="0"/>
                <w:color w:val="auto"/>
                <w:sz w:val="24"/>
                <w:highlight w:val="none"/>
                <w:lang w:val="en-US" w:eastAsia="zh-CN"/>
              </w:rPr>
              <w:t>/h。</w:t>
            </w:r>
            <w:r>
              <w:rPr>
                <w:rFonts w:hint="default" w:ascii="Times New Roman" w:hAnsi="Times New Roman" w:eastAsia="宋体" w:cs="Times New Roman"/>
                <w:snapToGrid w:val="0"/>
                <w:color w:val="auto"/>
                <w:kern w:val="0"/>
                <w:sz w:val="24"/>
                <w:highlight w:val="none"/>
                <w:lang w:val="en-US" w:eastAsia="zh-CN"/>
              </w:rPr>
              <w:t>则本项目破碎、筛选、制砂等工序粉尘产生量为145t/a，其中有组织粉尘产生量为130.5t/a，产生速率54.375kg/h，产生浓度2718mg/m</w:t>
            </w:r>
            <w:r>
              <w:rPr>
                <w:rFonts w:hint="default" w:ascii="Times New Roman" w:hAnsi="Times New Roman" w:eastAsia="宋体" w:cs="Times New Roman"/>
                <w:snapToGrid w:val="0"/>
                <w:color w:val="auto"/>
                <w:kern w:val="0"/>
                <w:sz w:val="24"/>
                <w:highlight w:val="none"/>
                <w:vertAlign w:val="superscript"/>
                <w:lang w:val="en-US" w:eastAsia="zh-CN"/>
              </w:rPr>
              <w:t>3</w:t>
            </w:r>
            <w:r>
              <w:rPr>
                <w:rFonts w:hint="default" w:ascii="Times New Roman" w:hAnsi="Times New Roman" w:eastAsia="宋体" w:cs="Times New Roman"/>
                <w:snapToGrid w:val="0"/>
                <w:color w:val="auto"/>
                <w:kern w:val="0"/>
                <w:sz w:val="24"/>
                <w:highlight w:val="none"/>
                <w:lang w:val="en-US" w:eastAsia="zh-CN"/>
              </w:rPr>
              <w:t>,无组织粉尘产生量为14.5t/a，产生速率6.04kg/h。</w:t>
            </w:r>
            <w:r>
              <w:rPr>
                <w:rFonts w:hint="default" w:ascii="Times New Roman" w:hAnsi="Times New Roman" w:cs="Times New Roman"/>
                <w:caps w:val="0"/>
                <w:smallCaps w:val="0"/>
                <w:color w:val="auto"/>
                <w:sz w:val="24"/>
                <w:szCs w:val="20"/>
                <w:highlight w:val="none"/>
              </w:rPr>
              <w:t>参考《排放源统计调查产排污核算方法和系数手册》中的“303 砖瓦、石材等建筑材料制造行业系数手册”</w:t>
            </w:r>
            <w:r>
              <w:rPr>
                <w:rFonts w:hint="default" w:ascii="Times New Roman" w:hAnsi="Times New Roman" w:eastAsia="宋体" w:cs="Times New Roman"/>
                <w:caps w:val="0"/>
                <w:smallCaps w:val="0"/>
                <w:color w:val="auto"/>
                <w:sz w:val="24"/>
                <w:szCs w:val="20"/>
                <w:highlight w:val="none"/>
              </w:rPr>
              <w:t>—“3039 其他建筑材料制造行业”，颗粒物采用袋式除尘治理技术，末端治理技术平均</w:t>
            </w:r>
            <w:r>
              <w:rPr>
                <w:rFonts w:hint="default" w:ascii="Times New Roman" w:hAnsi="Times New Roman" w:eastAsia="宋体" w:cs="Times New Roman"/>
                <w:caps w:val="0"/>
                <w:smallCaps w:val="0"/>
                <w:color w:val="auto"/>
                <w:sz w:val="24"/>
                <w:szCs w:val="20"/>
                <w:highlight w:val="none"/>
                <w:lang w:val="en-US" w:eastAsia="zh-CN"/>
              </w:rPr>
              <w:t>去除</w:t>
            </w:r>
            <w:r>
              <w:rPr>
                <w:rFonts w:hint="default" w:ascii="Times New Roman" w:hAnsi="Times New Roman" w:eastAsia="宋体" w:cs="Times New Roman"/>
                <w:caps w:val="0"/>
                <w:smallCaps w:val="0"/>
                <w:color w:val="auto"/>
                <w:sz w:val="24"/>
                <w:szCs w:val="20"/>
                <w:highlight w:val="none"/>
              </w:rPr>
              <w:t>效率</w:t>
            </w:r>
            <w:r>
              <w:rPr>
                <w:rFonts w:hint="default" w:ascii="Times New Roman" w:hAnsi="Times New Roman" w:eastAsia="宋体" w:cs="Times New Roman"/>
                <w:caps w:val="0"/>
                <w:smallCaps w:val="0"/>
                <w:color w:val="auto"/>
                <w:sz w:val="24"/>
                <w:szCs w:val="20"/>
                <w:highlight w:val="none"/>
                <w:lang w:val="en-US" w:eastAsia="zh-CN"/>
              </w:rPr>
              <w:t>为</w:t>
            </w:r>
            <w:r>
              <w:rPr>
                <w:rFonts w:hint="default" w:ascii="Times New Roman" w:hAnsi="Times New Roman" w:eastAsia="宋体" w:cs="Times New Roman"/>
                <w:caps w:val="0"/>
                <w:smallCaps w:val="0"/>
                <w:color w:val="auto"/>
                <w:sz w:val="24"/>
                <w:szCs w:val="20"/>
                <w:highlight w:val="none"/>
              </w:rPr>
              <w:t>9</w:t>
            </w:r>
            <w:r>
              <w:rPr>
                <w:rFonts w:hint="default" w:ascii="Times New Roman" w:hAnsi="Times New Roman" w:eastAsia="宋体" w:cs="Times New Roman"/>
                <w:caps w:val="0"/>
                <w:smallCaps w:val="0"/>
                <w:color w:val="auto"/>
                <w:sz w:val="24"/>
                <w:szCs w:val="20"/>
                <w:highlight w:val="none"/>
                <w:lang w:val="en-US" w:eastAsia="zh-CN"/>
              </w:rPr>
              <w:t>9</w:t>
            </w:r>
            <w:r>
              <w:rPr>
                <w:rFonts w:hint="default" w:ascii="Times New Roman" w:hAnsi="Times New Roman" w:eastAsia="宋体" w:cs="Times New Roman"/>
                <w:caps w:val="0"/>
                <w:smallCaps w:val="0"/>
                <w:color w:val="auto"/>
                <w:sz w:val="24"/>
                <w:szCs w:val="20"/>
                <w:highlight w:val="none"/>
              </w:rPr>
              <w:t>%，</w:t>
            </w:r>
            <w:r>
              <w:rPr>
                <w:rFonts w:hint="default" w:ascii="Times New Roman" w:hAnsi="Times New Roman" w:cs="Times New Roman"/>
                <w:snapToGrid w:val="0"/>
                <w:color w:val="auto"/>
                <w:kern w:val="0"/>
                <w:sz w:val="24"/>
                <w:highlight w:val="none"/>
                <w:lang w:val="en-US" w:eastAsia="zh-CN"/>
              </w:rPr>
              <w:t>则项目</w:t>
            </w:r>
            <w:r>
              <w:rPr>
                <w:rFonts w:hint="default" w:ascii="Times New Roman" w:hAnsi="Times New Roman" w:eastAsia="宋体" w:cs="Times New Roman"/>
                <w:snapToGrid w:val="0"/>
                <w:color w:val="auto"/>
                <w:kern w:val="0"/>
                <w:sz w:val="24"/>
                <w:highlight w:val="none"/>
                <w:lang w:val="en-US" w:eastAsia="zh-CN"/>
              </w:rPr>
              <w:t>破碎、筛选、制砂等工序产生的</w:t>
            </w:r>
            <w:r>
              <w:rPr>
                <w:rFonts w:hint="default" w:ascii="Times New Roman" w:hAnsi="Times New Roman" w:cs="Times New Roman"/>
                <w:snapToGrid w:val="0"/>
                <w:color w:val="auto"/>
                <w:kern w:val="0"/>
                <w:sz w:val="24"/>
                <w:highlight w:val="none"/>
                <w:lang w:val="en-US" w:eastAsia="zh-CN"/>
              </w:rPr>
              <w:t>粉尘经布袋除尘器</w:t>
            </w:r>
            <w:r>
              <w:rPr>
                <w:rFonts w:hint="default" w:ascii="Times New Roman" w:hAnsi="Times New Roman" w:cs="Times New Roman"/>
                <w:snapToGrid w:val="0"/>
                <w:color w:val="auto"/>
                <w:kern w:val="0"/>
                <w:sz w:val="24"/>
                <w:highlight w:val="none"/>
              </w:rPr>
              <w:t>处理后，粉尘的排放量为</w:t>
            </w:r>
            <w:r>
              <w:rPr>
                <w:rFonts w:hint="default" w:ascii="Times New Roman" w:hAnsi="Times New Roman" w:cs="Times New Roman"/>
                <w:snapToGrid w:val="0"/>
                <w:color w:val="auto"/>
                <w:kern w:val="0"/>
                <w:sz w:val="24"/>
                <w:highlight w:val="none"/>
                <w:lang w:val="en-US" w:eastAsia="zh-CN"/>
              </w:rPr>
              <w:t>1.305t</w:t>
            </w:r>
            <w:r>
              <w:rPr>
                <w:rFonts w:hint="default" w:ascii="Times New Roman" w:hAnsi="Times New Roman" w:cs="Times New Roman"/>
                <w:snapToGrid w:val="0"/>
                <w:color w:val="auto"/>
                <w:kern w:val="0"/>
                <w:sz w:val="24"/>
                <w:highlight w:val="none"/>
              </w:rPr>
              <w:t>/a</w:t>
            </w:r>
            <w:r>
              <w:rPr>
                <w:rFonts w:hint="default" w:ascii="Times New Roman" w:hAnsi="Times New Roman" w:cs="Times New Roman"/>
                <w:snapToGrid w:val="0"/>
                <w:color w:val="auto"/>
                <w:kern w:val="0"/>
                <w:sz w:val="24"/>
                <w:highlight w:val="none"/>
                <w:lang w:val="en-US" w:eastAsia="zh-CN"/>
              </w:rPr>
              <w:t>，</w:t>
            </w:r>
            <w:r>
              <w:rPr>
                <w:rStyle w:val="35"/>
                <w:rFonts w:hint="default" w:ascii="Times New Roman" w:hAnsi="Times New Roman" w:cs="Times New Roman"/>
                <w:color w:val="auto"/>
                <w:kern w:val="0"/>
                <w:sz w:val="24"/>
                <w:szCs w:val="22"/>
                <w:highlight w:val="none"/>
                <w:lang w:val="en-US" w:eastAsia="zh-CN"/>
              </w:rPr>
              <w:t>排放速率为0.54kg/h，排放浓度27mg/m</w:t>
            </w:r>
            <w:r>
              <w:rPr>
                <w:rStyle w:val="35"/>
                <w:rFonts w:hint="default" w:ascii="Times New Roman" w:hAnsi="Times New Roman" w:cs="Times New Roman"/>
                <w:color w:val="auto"/>
                <w:kern w:val="0"/>
                <w:sz w:val="24"/>
                <w:szCs w:val="22"/>
                <w:highlight w:val="none"/>
                <w:vertAlign w:val="superscript"/>
                <w:lang w:val="en-US" w:eastAsia="zh-CN"/>
              </w:rPr>
              <w:t>3</w:t>
            </w:r>
            <w:r>
              <w:rPr>
                <w:rFonts w:hint="default" w:ascii="Times New Roman" w:hAnsi="Times New Roman" w:cs="Times New Roman"/>
                <w:snapToGrid w:val="0"/>
                <w:color w:val="auto"/>
                <w:kern w:val="0"/>
                <w:sz w:val="24"/>
                <w:highlight w:val="none"/>
              </w:rPr>
              <w:t>。</w:t>
            </w:r>
            <w:r>
              <w:rPr>
                <w:rFonts w:hint="default" w:ascii="Times New Roman" w:hAnsi="Times New Roman" w:cs="Times New Roman"/>
                <w:snapToGrid w:val="0"/>
                <w:color w:val="auto"/>
                <w:kern w:val="0"/>
                <w:sz w:val="24"/>
                <w:highlight w:val="none"/>
                <w:lang w:val="en-US" w:eastAsia="zh-CN"/>
              </w:rPr>
              <w:t>项目破碎、筛分、制砂等生产设备均布置于生产车间内，生产车间为</w:t>
            </w:r>
            <w:r>
              <w:rPr>
                <w:rFonts w:hint="eastAsia" w:ascii="Times New Roman" w:hAnsi="Times New Roman" w:cs="Times New Roman"/>
                <w:snapToGrid w:val="0"/>
                <w:color w:val="auto"/>
                <w:kern w:val="0"/>
                <w:sz w:val="24"/>
                <w:highlight w:val="none"/>
                <w:lang w:val="en-US" w:eastAsia="zh-CN"/>
              </w:rPr>
              <w:t>封闭车间</w:t>
            </w:r>
            <w:r>
              <w:rPr>
                <w:rFonts w:hint="default" w:ascii="Times New Roman" w:hAnsi="Times New Roman" w:cs="Times New Roman"/>
                <w:snapToGrid w:val="0"/>
                <w:color w:val="auto"/>
                <w:kern w:val="0"/>
                <w:sz w:val="24"/>
                <w:highlight w:val="none"/>
                <w:lang w:val="en-US" w:eastAsia="zh-CN"/>
              </w:rPr>
              <w:t>，仅预留出入口</w:t>
            </w:r>
            <w:r>
              <w:rPr>
                <w:rFonts w:hint="eastAsia" w:ascii="Times New Roman" w:hAnsi="Times New Roman" w:cs="Times New Roman"/>
                <w:snapToGrid w:val="0"/>
                <w:color w:val="auto"/>
                <w:kern w:val="0"/>
                <w:sz w:val="24"/>
                <w:highlight w:val="none"/>
                <w:lang w:val="en-US" w:eastAsia="zh-CN"/>
              </w:rPr>
              <w:t>，车间内设置1套喷淋洒水装置，经厂房沉降和洒水降尘后，</w:t>
            </w:r>
            <w:r>
              <w:rPr>
                <w:rFonts w:hint="default" w:ascii="Times New Roman" w:hAnsi="Times New Roman" w:cs="Times New Roman"/>
                <w:snapToGrid w:val="0"/>
                <w:color w:val="auto"/>
                <w:kern w:val="0"/>
                <w:sz w:val="24"/>
                <w:highlight w:val="none"/>
                <w:lang w:val="en-US" w:eastAsia="zh-CN"/>
              </w:rPr>
              <w:t>根据《工业源固体物料堆场颗粒物核算系数手册》密闭式控制效率取99％、洒水抑尘效率取74%，综合控制效率取99.74％，</w:t>
            </w:r>
            <w:r>
              <w:rPr>
                <w:rFonts w:hint="default" w:ascii="Times New Roman" w:hAnsi="Times New Roman" w:cs="Times New Roman"/>
                <w:color w:val="auto"/>
                <w:sz w:val="24"/>
                <w:szCs w:val="24"/>
                <w:highlight w:val="none"/>
                <w:lang w:eastAsia="zh-CN"/>
              </w:rPr>
              <w:t>则无组织颗粒物排放量为</w:t>
            </w:r>
            <w:r>
              <w:rPr>
                <w:rFonts w:hint="eastAsia" w:ascii="Times New Roman" w:hAnsi="Times New Roman" w:cs="Times New Roman"/>
                <w:color w:val="auto"/>
                <w:sz w:val="24"/>
                <w:szCs w:val="24"/>
                <w:highlight w:val="none"/>
                <w:lang w:val="en-US" w:eastAsia="zh-CN"/>
              </w:rPr>
              <w:t>0.038</w:t>
            </w:r>
            <w:r>
              <w:rPr>
                <w:rFonts w:hint="default" w:ascii="Times New Roman" w:hAnsi="Times New Roman" w:cs="Times New Roman"/>
                <w:color w:val="auto"/>
                <w:sz w:val="24"/>
                <w:szCs w:val="24"/>
                <w:highlight w:val="none"/>
                <w:lang w:eastAsia="zh-CN"/>
              </w:rPr>
              <w:t>t/a，排放速率为</w:t>
            </w:r>
            <w:r>
              <w:rPr>
                <w:rFonts w:hint="eastAsia" w:ascii="Times New Roman" w:hAnsi="Times New Roman" w:cs="Times New Roman"/>
                <w:color w:val="auto"/>
                <w:sz w:val="24"/>
                <w:szCs w:val="24"/>
                <w:highlight w:val="none"/>
                <w:lang w:val="en-US" w:eastAsia="zh-CN"/>
              </w:rPr>
              <w:t>0.016</w:t>
            </w:r>
            <w:r>
              <w:rPr>
                <w:rFonts w:hint="default" w:ascii="Times New Roman" w:hAnsi="Times New Roman" w:cs="Times New Roman"/>
                <w:color w:val="auto"/>
                <w:sz w:val="24"/>
                <w:szCs w:val="24"/>
                <w:highlight w:val="none"/>
                <w:lang w:eastAsia="zh-CN"/>
              </w:rPr>
              <w:t>kg/h。</w:t>
            </w:r>
          </w:p>
          <w:p w14:paraId="38123777">
            <w:pPr>
              <w:spacing w:line="360" w:lineRule="auto"/>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综上，项目</w:t>
            </w:r>
            <w:r>
              <w:rPr>
                <w:rFonts w:hint="default" w:ascii="Times New Roman" w:hAnsi="Times New Roman" w:eastAsia="宋体" w:cs="Times New Roman"/>
                <w:snapToGrid w:val="0"/>
                <w:color w:val="auto"/>
                <w:kern w:val="0"/>
                <w:sz w:val="24"/>
                <w:highlight w:val="none"/>
                <w:lang w:val="en-US" w:eastAsia="zh-CN"/>
              </w:rPr>
              <w:t>破碎、筛选、制砂等工序</w:t>
            </w:r>
            <w:r>
              <w:rPr>
                <w:rFonts w:hint="default" w:ascii="Times New Roman" w:hAnsi="Times New Roman" w:eastAsia="宋体" w:cs="Times New Roman"/>
                <w:color w:val="auto"/>
                <w:sz w:val="24"/>
                <w:szCs w:val="24"/>
                <w:highlight w:val="none"/>
                <w:lang w:val="en-US" w:eastAsia="zh-CN"/>
              </w:rPr>
              <w:t>粉</w:t>
            </w:r>
            <w:r>
              <w:rPr>
                <w:rFonts w:hint="default" w:ascii="Times New Roman" w:hAnsi="Times New Roman" w:eastAsia="宋体" w:cs="Times New Roman"/>
                <w:color w:val="auto"/>
                <w:sz w:val="24"/>
                <w:szCs w:val="24"/>
                <w:highlight w:val="none"/>
              </w:rPr>
              <w:t>产排情况详见下表：</w:t>
            </w:r>
          </w:p>
          <w:p w14:paraId="5EFE57D5">
            <w:pPr>
              <w:pStyle w:val="38"/>
              <w:spacing w:line="240" w:lineRule="auto"/>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b/>
                <w:bCs/>
                <w:caps w:val="0"/>
                <w:smallCaps w:val="0"/>
                <w:color w:val="auto"/>
                <w:sz w:val="21"/>
                <w:szCs w:val="21"/>
                <w:highlight w:val="none"/>
              </w:rPr>
              <w:t>表</w:t>
            </w:r>
            <w:r>
              <w:rPr>
                <w:rFonts w:hint="default" w:ascii="Times New Roman" w:hAnsi="Times New Roman" w:cs="Times New Roman"/>
                <w:b/>
                <w:bCs/>
                <w:caps w:val="0"/>
                <w:smallCaps w:val="0"/>
                <w:color w:val="auto"/>
                <w:sz w:val="21"/>
                <w:szCs w:val="21"/>
                <w:highlight w:val="none"/>
                <w:lang w:val="en-US" w:eastAsia="zh-CN"/>
              </w:rPr>
              <w:t>4</w:t>
            </w:r>
            <w:r>
              <w:rPr>
                <w:rFonts w:hint="default" w:ascii="Times New Roman" w:hAnsi="Times New Roman" w:cs="Times New Roman"/>
                <w:b/>
                <w:bCs/>
                <w:caps w:val="0"/>
                <w:smallCaps w:val="0"/>
                <w:color w:val="auto"/>
                <w:sz w:val="21"/>
                <w:szCs w:val="21"/>
                <w:highlight w:val="none"/>
              </w:rPr>
              <w:t>-</w:t>
            </w:r>
            <w:r>
              <w:rPr>
                <w:rFonts w:hint="default" w:ascii="Times New Roman" w:hAnsi="Times New Roman" w:cs="Times New Roman"/>
                <w:b/>
                <w:bCs/>
                <w:caps w:val="0"/>
                <w:smallCaps w:val="0"/>
                <w:color w:val="auto"/>
                <w:sz w:val="21"/>
                <w:szCs w:val="21"/>
                <w:highlight w:val="none"/>
                <w:lang w:val="en-US" w:eastAsia="zh-CN"/>
              </w:rPr>
              <w:t>5</w:t>
            </w:r>
            <w:r>
              <w:rPr>
                <w:rFonts w:hint="default" w:ascii="Times New Roman" w:hAnsi="Times New Roman" w:cs="Times New Roman"/>
                <w:b/>
                <w:bCs/>
                <w:caps w:val="0"/>
                <w:smallCaps w:val="0"/>
                <w:color w:val="auto"/>
                <w:sz w:val="21"/>
                <w:szCs w:val="21"/>
                <w:highlight w:val="none"/>
              </w:rPr>
              <w:t xml:space="preserve"> 项目</w:t>
            </w:r>
            <w:r>
              <w:rPr>
                <w:rFonts w:hint="eastAsia" w:ascii="Times New Roman" w:hAnsi="Times New Roman" w:cs="Times New Roman"/>
                <w:b/>
                <w:bCs/>
                <w:caps w:val="0"/>
                <w:smallCaps w:val="0"/>
                <w:color w:val="auto"/>
                <w:sz w:val="21"/>
                <w:szCs w:val="21"/>
                <w:highlight w:val="none"/>
                <w:lang w:val="en-US" w:eastAsia="zh-CN"/>
              </w:rPr>
              <w:t>破碎站粉尘</w:t>
            </w:r>
            <w:r>
              <w:rPr>
                <w:rFonts w:hint="default" w:ascii="Times New Roman" w:hAnsi="Times New Roman" w:cs="Times New Roman"/>
                <w:b/>
                <w:bCs/>
                <w:caps w:val="0"/>
                <w:smallCaps w:val="0"/>
                <w:color w:val="auto"/>
                <w:sz w:val="21"/>
                <w:szCs w:val="21"/>
                <w:highlight w:val="none"/>
              </w:rPr>
              <w:t>产生情况表</w:t>
            </w:r>
          </w:p>
          <w:tbl>
            <w:tblPr>
              <w:tblStyle w:val="30"/>
              <w:tblW w:w="78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514"/>
              <w:gridCol w:w="448"/>
              <w:gridCol w:w="623"/>
              <w:gridCol w:w="681"/>
              <w:gridCol w:w="635"/>
              <w:gridCol w:w="669"/>
              <w:gridCol w:w="1380"/>
              <w:gridCol w:w="700"/>
              <w:gridCol w:w="747"/>
              <w:gridCol w:w="920"/>
            </w:tblGrid>
            <w:tr w14:paraId="1EE8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363" w:type="pct"/>
                  <w:vMerge w:val="restart"/>
                  <w:noWrap w:val="0"/>
                  <w:vAlign w:val="center"/>
                </w:tcPr>
                <w:p w14:paraId="419D2000">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污染源</w:t>
                  </w:r>
                </w:p>
              </w:tc>
              <w:tc>
                <w:tcPr>
                  <w:tcW w:w="325" w:type="pct"/>
                  <w:vMerge w:val="restart"/>
                  <w:noWrap w:val="0"/>
                  <w:vAlign w:val="center"/>
                </w:tcPr>
                <w:p w14:paraId="7E751431">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val="en-US" w:eastAsia="zh-CN"/>
                    </w:rPr>
                    <w:t>类别</w:t>
                  </w:r>
                </w:p>
              </w:tc>
              <w:tc>
                <w:tcPr>
                  <w:tcW w:w="283" w:type="pct"/>
                  <w:vMerge w:val="restart"/>
                  <w:noWrap w:val="0"/>
                  <w:vAlign w:val="center"/>
                </w:tcPr>
                <w:p w14:paraId="0F11327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w:t>
                  </w:r>
                </w:p>
              </w:tc>
              <w:tc>
                <w:tcPr>
                  <w:tcW w:w="394" w:type="pct"/>
                  <w:vMerge w:val="restart"/>
                  <w:noWrap w:val="0"/>
                  <w:vAlign w:val="center"/>
                </w:tcPr>
                <w:p w14:paraId="381C629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废气量</w:t>
                  </w:r>
                </w:p>
              </w:tc>
              <w:tc>
                <w:tcPr>
                  <w:tcW w:w="1257" w:type="pct"/>
                  <w:gridSpan w:val="3"/>
                  <w:noWrap w:val="0"/>
                  <w:vAlign w:val="center"/>
                </w:tcPr>
                <w:p w14:paraId="23F55D5B">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产生情况</w:t>
                  </w:r>
                </w:p>
              </w:tc>
              <w:tc>
                <w:tcPr>
                  <w:tcW w:w="874" w:type="pct"/>
                  <w:vMerge w:val="restart"/>
                  <w:noWrap w:val="0"/>
                  <w:vAlign w:val="center"/>
                </w:tcPr>
                <w:p w14:paraId="3ECD9499">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处理措施</w:t>
                  </w:r>
                </w:p>
              </w:tc>
              <w:tc>
                <w:tcPr>
                  <w:tcW w:w="1499" w:type="pct"/>
                  <w:gridSpan w:val="3"/>
                  <w:noWrap w:val="0"/>
                  <w:vAlign w:val="center"/>
                </w:tcPr>
                <w:p w14:paraId="6D7B6A9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排放情况</w:t>
                  </w:r>
                </w:p>
              </w:tc>
            </w:tr>
            <w:tr w14:paraId="18CC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363" w:type="pct"/>
                  <w:vMerge w:val="continue"/>
                  <w:noWrap w:val="0"/>
                  <w:vAlign w:val="center"/>
                </w:tcPr>
                <w:p w14:paraId="10850788">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p>
              </w:tc>
              <w:tc>
                <w:tcPr>
                  <w:tcW w:w="325" w:type="pct"/>
                  <w:vMerge w:val="continue"/>
                  <w:noWrap w:val="0"/>
                  <w:vAlign w:val="center"/>
                </w:tcPr>
                <w:p w14:paraId="52AFD319">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p>
              </w:tc>
              <w:tc>
                <w:tcPr>
                  <w:tcW w:w="283" w:type="pct"/>
                  <w:vMerge w:val="continue"/>
                  <w:noWrap w:val="0"/>
                  <w:vAlign w:val="center"/>
                </w:tcPr>
                <w:p w14:paraId="43AA26B9">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p>
              </w:tc>
              <w:tc>
                <w:tcPr>
                  <w:tcW w:w="394" w:type="pct"/>
                  <w:vMerge w:val="continue"/>
                  <w:noWrap w:val="0"/>
                  <w:vAlign w:val="center"/>
                </w:tcPr>
                <w:p w14:paraId="195EC83B">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p>
              </w:tc>
              <w:tc>
                <w:tcPr>
                  <w:tcW w:w="431" w:type="pct"/>
                  <w:noWrap w:val="0"/>
                  <w:vAlign w:val="center"/>
                </w:tcPr>
                <w:p w14:paraId="0EEE98DB">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产生量</w:t>
                  </w:r>
                </w:p>
                <w:p w14:paraId="125CE11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t/a</w:t>
                  </w:r>
                </w:p>
              </w:tc>
              <w:tc>
                <w:tcPr>
                  <w:tcW w:w="402" w:type="pct"/>
                  <w:noWrap w:val="0"/>
                  <w:vAlign w:val="center"/>
                </w:tcPr>
                <w:p w14:paraId="77D3DD5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速率kg/h</w:t>
                  </w:r>
                </w:p>
              </w:tc>
              <w:tc>
                <w:tcPr>
                  <w:tcW w:w="423" w:type="pct"/>
                  <w:noWrap w:val="0"/>
                  <w:vAlign w:val="center"/>
                </w:tcPr>
                <w:p w14:paraId="1A4AC0DF">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浓度mg/m</w:t>
                  </w:r>
                  <w:r>
                    <w:rPr>
                      <w:rFonts w:hint="default" w:ascii="Times New Roman" w:hAnsi="Times New Roman" w:eastAsia="宋体" w:cs="Times New Roman"/>
                      <w:b/>
                      <w:bCs/>
                      <w:color w:val="auto"/>
                      <w:sz w:val="21"/>
                      <w:szCs w:val="21"/>
                      <w:highlight w:val="none"/>
                      <w:vertAlign w:val="superscript"/>
                    </w:rPr>
                    <w:t>3</w:t>
                  </w:r>
                </w:p>
              </w:tc>
              <w:tc>
                <w:tcPr>
                  <w:tcW w:w="874" w:type="pct"/>
                  <w:vMerge w:val="continue"/>
                  <w:noWrap w:val="0"/>
                  <w:vAlign w:val="center"/>
                </w:tcPr>
                <w:p w14:paraId="304212A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rPr>
                  </w:pPr>
                </w:p>
              </w:tc>
              <w:tc>
                <w:tcPr>
                  <w:tcW w:w="443" w:type="pct"/>
                  <w:noWrap w:val="0"/>
                  <w:vAlign w:val="center"/>
                </w:tcPr>
                <w:p w14:paraId="495FA5C1">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排放量t/a</w:t>
                  </w:r>
                </w:p>
              </w:tc>
              <w:tc>
                <w:tcPr>
                  <w:tcW w:w="473" w:type="pct"/>
                  <w:noWrap w:val="0"/>
                  <w:vAlign w:val="center"/>
                </w:tcPr>
                <w:p w14:paraId="4555C35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排放</w:t>
                  </w:r>
                  <w:r>
                    <w:rPr>
                      <w:rFonts w:hint="default" w:ascii="Times New Roman" w:hAnsi="Times New Roman" w:eastAsia="宋体" w:cs="Times New Roman"/>
                      <w:b/>
                      <w:bCs/>
                      <w:color w:val="auto"/>
                      <w:sz w:val="21"/>
                      <w:szCs w:val="21"/>
                      <w:highlight w:val="none"/>
                    </w:rPr>
                    <w:t>速率kg/h</w:t>
                  </w:r>
                </w:p>
              </w:tc>
              <w:tc>
                <w:tcPr>
                  <w:tcW w:w="582" w:type="pct"/>
                  <w:noWrap w:val="0"/>
                  <w:vAlign w:val="center"/>
                </w:tcPr>
                <w:p w14:paraId="7FBB9874">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排放</w:t>
                  </w:r>
                  <w:r>
                    <w:rPr>
                      <w:rFonts w:hint="default" w:ascii="Times New Roman" w:hAnsi="Times New Roman" w:eastAsia="宋体" w:cs="Times New Roman"/>
                      <w:b/>
                      <w:bCs/>
                      <w:color w:val="auto"/>
                      <w:sz w:val="21"/>
                      <w:szCs w:val="21"/>
                      <w:highlight w:val="none"/>
                    </w:rPr>
                    <w:t>浓度mg/m</w:t>
                  </w:r>
                  <w:r>
                    <w:rPr>
                      <w:rFonts w:hint="default" w:ascii="Times New Roman" w:hAnsi="Times New Roman" w:eastAsia="宋体" w:cs="Times New Roman"/>
                      <w:b/>
                      <w:bCs/>
                      <w:color w:val="auto"/>
                      <w:sz w:val="21"/>
                      <w:szCs w:val="21"/>
                      <w:highlight w:val="none"/>
                      <w:vertAlign w:val="superscript"/>
                    </w:rPr>
                    <w:t>3</w:t>
                  </w:r>
                </w:p>
              </w:tc>
            </w:tr>
            <w:tr w14:paraId="4437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3" w:type="pct"/>
                  <w:vMerge w:val="restart"/>
                  <w:noWrap w:val="0"/>
                  <w:vAlign w:val="center"/>
                </w:tcPr>
                <w:p w14:paraId="1CA3A70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破碎、筛选、制砂粉尘</w:t>
                  </w:r>
                </w:p>
              </w:tc>
              <w:tc>
                <w:tcPr>
                  <w:tcW w:w="325" w:type="pct"/>
                  <w:noWrap w:val="0"/>
                  <w:vAlign w:val="center"/>
                </w:tcPr>
                <w:p w14:paraId="49BEFED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有组织</w:t>
                  </w:r>
                </w:p>
              </w:tc>
              <w:tc>
                <w:tcPr>
                  <w:tcW w:w="283" w:type="pct"/>
                  <w:noWrap w:val="0"/>
                  <w:vAlign w:val="center"/>
                </w:tcPr>
                <w:p w14:paraId="526F73B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颗粒物</w:t>
                  </w:r>
                </w:p>
              </w:tc>
              <w:tc>
                <w:tcPr>
                  <w:tcW w:w="394" w:type="pct"/>
                  <w:noWrap w:val="0"/>
                  <w:vAlign w:val="center"/>
                </w:tcPr>
                <w:p w14:paraId="64C3BC6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4800万m</w:t>
                  </w:r>
                  <w:r>
                    <w:rPr>
                      <w:rFonts w:hint="default" w:ascii="Times New Roman" w:hAnsi="Times New Roman" w:cs="Times New Roman"/>
                      <w:caps w:val="0"/>
                      <w:smallCaps w:val="0"/>
                      <w:color w:val="auto"/>
                      <w:sz w:val="21"/>
                      <w:szCs w:val="21"/>
                      <w:highlight w:val="none"/>
                      <w:vertAlign w:val="superscript"/>
                      <w:lang w:val="en-US" w:eastAsia="zh-CN"/>
                    </w:rPr>
                    <w:t>3</w:t>
                  </w:r>
                  <w:r>
                    <w:rPr>
                      <w:rFonts w:hint="default" w:ascii="Times New Roman" w:hAnsi="Times New Roman" w:cs="Times New Roman"/>
                      <w:caps w:val="0"/>
                      <w:smallCaps w:val="0"/>
                      <w:color w:val="auto"/>
                      <w:sz w:val="21"/>
                      <w:szCs w:val="21"/>
                      <w:highlight w:val="none"/>
                      <w:lang w:val="en-US" w:eastAsia="zh-CN"/>
                    </w:rPr>
                    <w:t>/a</w:t>
                  </w:r>
                </w:p>
              </w:tc>
              <w:tc>
                <w:tcPr>
                  <w:tcW w:w="431" w:type="pct"/>
                  <w:noWrap w:val="0"/>
                  <w:vAlign w:val="center"/>
                </w:tcPr>
                <w:p w14:paraId="432614A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130.5</w:t>
                  </w:r>
                </w:p>
              </w:tc>
              <w:tc>
                <w:tcPr>
                  <w:tcW w:w="402" w:type="pct"/>
                  <w:noWrap w:val="0"/>
                  <w:vAlign w:val="center"/>
                </w:tcPr>
                <w:p w14:paraId="544A795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54.375</w:t>
                  </w:r>
                </w:p>
              </w:tc>
              <w:tc>
                <w:tcPr>
                  <w:tcW w:w="423" w:type="pct"/>
                  <w:noWrap w:val="0"/>
                  <w:vAlign w:val="center"/>
                </w:tcPr>
                <w:p w14:paraId="06B376A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2718</w:t>
                  </w:r>
                </w:p>
              </w:tc>
              <w:tc>
                <w:tcPr>
                  <w:tcW w:w="874" w:type="pct"/>
                  <w:noWrap w:val="0"/>
                  <w:vAlign w:val="center"/>
                </w:tcPr>
                <w:p w14:paraId="5E9D3FC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集气罩（收集效率90%）+布袋除尘装置（净化效率99%）+15m高排气筒DA001</w:t>
                  </w:r>
                </w:p>
              </w:tc>
              <w:tc>
                <w:tcPr>
                  <w:tcW w:w="443" w:type="pct"/>
                  <w:noWrap w:val="0"/>
                  <w:vAlign w:val="center"/>
                </w:tcPr>
                <w:p w14:paraId="50D7081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1.305</w:t>
                  </w:r>
                </w:p>
              </w:tc>
              <w:tc>
                <w:tcPr>
                  <w:tcW w:w="473" w:type="pct"/>
                  <w:noWrap w:val="0"/>
                  <w:vAlign w:val="center"/>
                </w:tcPr>
                <w:p w14:paraId="638DF28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0.54</w:t>
                  </w:r>
                </w:p>
              </w:tc>
              <w:tc>
                <w:tcPr>
                  <w:tcW w:w="582" w:type="pct"/>
                  <w:noWrap w:val="0"/>
                  <w:vAlign w:val="center"/>
                </w:tcPr>
                <w:p w14:paraId="1B9CCB3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27</w:t>
                  </w:r>
                </w:p>
              </w:tc>
            </w:tr>
            <w:tr w14:paraId="1685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363" w:type="pct"/>
                  <w:vMerge w:val="continue"/>
                  <w:noWrap w:val="0"/>
                  <w:vAlign w:val="center"/>
                </w:tcPr>
                <w:p w14:paraId="70AE0C9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p>
              </w:tc>
              <w:tc>
                <w:tcPr>
                  <w:tcW w:w="325" w:type="pct"/>
                  <w:noWrap w:val="0"/>
                  <w:vAlign w:val="center"/>
                </w:tcPr>
                <w:p w14:paraId="40E440F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无组织</w:t>
                  </w:r>
                </w:p>
              </w:tc>
              <w:tc>
                <w:tcPr>
                  <w:tcW w:w="283" w:type="pct"/>
                  <w:noWrap w:val="0"/>
                  <w:vAlign w:val="center"/>
                </w:tcPr>
                <w:p w14:paraId="6C1E3DC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颗粒物</w:t>
                  </w:r>
                </w:p>
              </w:tc>
              <w:tc>
                <w:tcPr>
                  <w:tcW w:w="394" w:type="pct"/>
                  <w:noWrap w:val="0"/>
                  <w:vAlign w:val="center"/>
                </w:tcPr>
                <w:p w14:paraId="4EFD1F0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w:t>
                  </w:r>
                </w:p>
              </w:tc>
              <w:tc>
                <w:tcPr>
                  <w:tcW w:w="431" w:type="pct"/>
                  <w:noWrap w:val="0"/>
                  <w:vAlign w:val="center"/>
                </w:tcPr>
                <w:p w14:paraId="45150B7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14.5</w:t>
                  </w:r>
                </w:p>
              </w:tc>
              <w:tc>
                <w:tcPr>
                  <w:tcW w:w="402" w:type="pct"/>
                  <w:noWrap w:val="0"/>
                  <w:vAlign w:val="center"/>
                </w:tcPr>
                <w:p w14:paraId="217A4B3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6.04</w:t>
                  </w:r>
                </w:p>
              </w:tc>
              <w:tc>
                <w:tcPr>
                  <w:tcW w:w="423" w:type="pct"/>
                  <w:noWrap w:val="0"/>
                  <w:vAlign w:val="center"/>
                </w:tcPr>
                <w:p w14:paraId="27112A0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w:t>
                  </w:r>
                </w:p>
              </w:tc>
              <w:tc>
                <w:tcPr>
                  <w:tcW w:w="874" w:type="pct"/>
                  <w:noWrap w:val="0"/>
                  <w:vAlign w:val="center"/>
                </w:tcPr>
                <w:p w14:paraId="31CD625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aps w:val="0"/>
                      <w:smallCaps w:val="0"/>
                      <w:color w:val="auto"/>
                      <w:sz w:val="21"/>
                      <w:szCs w:val="21"/>
                      <w:highlight w:val="none"/>
                      <w:lang w:val="en-US" w:eastAsia="zh-CN"/>
                    </w:rPr>
                  </w:pPr>
                  <w:r>
                    <w:rPr>
                      <w:rFonts w:hint="eastAsia"/>
                      <w:bCs/>
                      <w:color w:val="auto"/>
                      <w:sz w:val="21"/>
                      <w:szCs w:val="21"/>
                      <w:highlight w:val="none"/>
                    </w:rPr>
                    <w:t>密闭厂房沉降</w:t>
                  </w:r>
                  <w:r>
                    <w:rPr>
                      <w:rFonts w:hint="eastAsia"/>
                      <w:bCs/>
                      <w:color w:val="auto"/>
                      <w:sz w:val="21"/>
                      <w:szCs w:val="21"/>
                      <w:highlight w:val="none"/>
                      <w:lang w:eastAsia="zh-CN"/>
                    </w:rPr>
                    <w:t>（</w:t>
                  </w:r>
                  <w:r>
                    <w:rPr>
                      <w:rFonts w:hint="eastAsia"/>
                      <w:bCs/>
                      <w:color w:val="auto"/>
                      <w:sz w:val="21"/>
                      <w:szCs w:val="21"/>
                      <w:highlight w:val="none"/>
                      <w:lang w:val="en-US" w:eastAsia="zh-CN"/>
                    </w:rPr>
                    <w:t>99%</w:t>
                  </w:r>
                  <w:r>
                    <w:rPr>
                      <w:rFonts w:hint="eastAsia"/>
                      <w:bCs/>
                      <w:color w:val="auto"/>
                      <w:sz w:val="21"/>
                      <w:szCs w:val="21"/>
                      <w:highlight w:val="none"/>
                      <w:lang w:eastAsia="zh-CN"/>
                    </w:rPr>
                    <w:t>）</w:t>
                  </w:r>
                  <w:r>
                    <w:rPr>
                      <w:rFonts w:hint="eastAsia"/>
                      <w:bCs/>
                      <w:color w:val="auto"/>
                      <w:sz w:val="21"/>
                      <w:szCs w:val="21"/>
                      <w:highlight w:val="none"/>
                    </w:rPr>
                    <w:t>+洒水降尘</w:t>
                  </w:r>
                  <w:r>
                    <w:rPr>
                      <w:rFonts w:hint="eastAsia"/>
                      <w:bCs/>
                      <w:color w:val="auto"/>
                      <w:sz w:val="21"/>
                      <w:szCs w:val="21"/>
                      <w:highlight w:val="none"/>
                      <w:lang w:eastAsia="zh-CN"/>
                    </w:rPr>
                    <w:t>（</w:t>
                  </w:r>
                  <w:r>
                    <w:rPr>
                      <w:rFonts w:hint="eastAsia"/>
                      <w:bCs/>
                      <w:color w:val="auto"/>
                      <w:sz w:val="21"/>
                      <w:szCs w:val="21"/>
                      <w:highlight w:val="none"/>
                      <w:lang w:val="en-US" w:eastAsia="zh-CN"/>
                    </w:rPr>
                    <w:t>74</w:t>
                  </w:r>
                  <w:r>
                    <w:rPr>
                      <w:rFonts w:hint="eastAsia"/>
                      <w:bCs/>
                      <w:color w:val="auto"/>
                      <w:sz w:val="21"/>
                      <w:szCs w:val="21"/>
                      <w:highlight w:val="none"/>
                      <w:lang w:eastAsia="zh-CN"/>
                    </w:rPr>
                    <w:t>）</w:t>
                  </w:r>
                </w:p>
              </w:tc>
              <w:tc>
                <w:tcPr>
                  <w:tcW w:w="443" w:type="pct"/>
                  <w:noWrap w:val="0"/>
                  <w:vAlign w:val="center"/>
                </w:tcPr>
                <w:p w14:paraId="5FC1FD9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eastAsia" w:ascii="Times New Roman" w:hAnsi="Times New Roman" w:cs="Times New Roman"/>
                      <w:caps w:val="0"/>
                      <w:smallCaps w:val="0"/>
                      <w:color w:val="auto"/>
                      <w:sz w:val="21"/>
                      <w:szCs w:val="21"/>
                      <w:highlight w:val="none"/>
                      <w:lang w:val="en-US" w:eastAsia="zh-CN"/>
                    </w:rPr>
                    <w:t>0.038</w:t>
                  </w:r>
                </w:p>
              </w:tc>
              <w:tc>
                <w:tcPr>
                  <w:tcW w:w="473" w:type="pct"/>
                  <w:noWrap w:val="0"/>
                  <w:vAlign w:val="center"/>
                </w:tcPr>
                <w:p w14:paraId="788BB35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eastAsia" w:ascii="Times New Roman" w:hAnsi="Times New Roman" w:cs="Times New Roman"/>
                      <w:caps w:val="0"/>
                      <w:smallCaps w:val="0"/>
                      <w:color w:val="auto"/>
                      <w:sz w:val="21"/>
                      <w:szCs w:val="21"/>
                      <w:highlight w:val="none"/>
                      <w:lang w:val="en-US" w:eastAsia="zh-CN"/>
                    </w:rPr>
                    <w:t>0.016</w:t>
                  </w:r>
                </w:p>
              </w:tc>
              <w:tc>
                <w:tcPr>
                  <w:tcW w:w="582" w:type="pct"/>
                  <w:noWrap w:val="0"/>
                  <w:vAlign w:val="center"/>
                </w:tcPr>
                <w:p w14:paraId="5E85248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caps w:val="0"/>
                      <w:smallCaps w:val="0"/>
                      <w:color w:val="auto"/>
                      <w:sz w:val="21"/>
                      <w:szCs w:val="21"/>
                      <w:highlight w:val="none"/>
                      <w:lang w:val="en-US" w:eastAsia="zh-CN"/>
                    </w:rPr>
                  </w:pPr>
                  <w:r>
                    <w:rPr>
                      <w:rFonts w:hint="default" w:ascii="Times New Roman" w:hAnsi="Times New Roman" w:cs="Times New Roman"/>
                      <w:caps w:val="0"/>
                      <w:smallCaps w:val="0"/>
                      <w:color w:val="auto"/>
                      <w:sz w:val="21"/>
                      <w:szCs w:val="21"/>
                      <w:highlight w:val="none"/>
                      <w:lang w:val="en-US" w:eastAsia="zh-CN"/>
                    </w:rPr>
                    <w:t>/</w:t>
                  </w:r>
                </w:p>
              </w:tc>
            </w:tr>
          </w:tbl>
          <w:p w14:paraId="0F6CBCE7">
            <w:pPr>
              <w:ind w:firstLine="480"/>
              <w:rPr>
                <w:rFonts w:hint="default" w:ascii="Times New Roman" w:hAnsi="Times New Roman" w:cs="Times New Roman"/>
                <w:b/>
                <w:bCs/>
                <w:caps w:val="0"/>
                <w:smallCaps w:val="0"/>
                <w:color w:val="auto"/>
                <w:highlight w:val="none"/>
              </w:rPr>
            </w:pPr>
            <w:r>
              <w:rPr>
                <w:rFonts w:hint="default" w:ascii="Times New Roman" w:hAnsi="Times New Roman" w:cs="Times New Roman"/>
                <w:b/>
                <w:bCs/>
                <w:caps w:val="0"/>
                <w:smallCaps w:val="0"/>
                <w:color w:val="auto"/>
                <w:highlight w:val="none"/>
                <w:lang w:val="en-US" w:eastAsia="zh-CN"/>
              </w:rPr>
              <w:t>B、</w:t>
            </w:r>
            <w:r>
              <w:rPr>
                <w:rFonts w:hint="default" w:ascii="Times New Roman" w:hAnsi="Times New Roman" w:cs="Times New Roman"/>
                <w:b/>
                <w:bCs/>
                <w:caps w:val="0"/>
                <w:smallCaps w:val="0"/>
                <w:color w:val="auto"/>
                <w:highlight w:val="none"/>
              </w:rPr>
              <w:t>皮带输送粉尘</w:t>
            </w:r>
          </w:p>
          <w:p w14:paraId="6D62C09C">
            <w:pPr>
              <w:ind w:firstLine="4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项目在进行砂料生产过程中，工艺及产品的输送，均使用皮带输送，在这个过程中，会产生输送粉尘，本次环评提出对全部皮带采用彩钢瓦封闭，根据《逸散性工业粉尘控制技术》原文“第十八章 粒料加工厂”中“表18-1 粒料加工厂逸散尘的排放因子”，参照出料过程中逸散粉尘排放因子为0.00145kg/t-原料，本项目碎石出料量为50万t/a，则皮带运输扬尘产生量为0.725t/a，产生速率为0.302kg/h。根据《排放源统计调查产排污核算方法和系数手册》，皮带输送廊道为密封式，参照密闭式堆场粉尘控制效率，99%扬尘在廊道内沉降，1%扬尘以无组织形式排放，皮带输送机落料口设有喷淋洒水装置，洒水降尘控制效率为74％，则项目皮带运输扬尘排放量为0.0019t/a，0.000</w:t>
            </w:r>
            <w:r>
              <w:rPr>
                <w:rFonts w:hint="eastAsia" w:ascii="Times New Roman" w:hAnsi="Times New Roman"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kg/h。</w:t>
            </w:r>
          </w:p>
          <w:p w14:paraId="76214E17">
            <w:pPr>
              <w:adjustRightInd w:val="0"/>
              <w:snapToGrid w:val="0"/>
              <w:spacing w:line="360" w:lineRule="auto"/>
              <w:ind w:firstLine="480"/>
              <w:rPr>
                <w:rFonts w:hint="default" w:ascii="Times New Roman" w:hAnsi="Times New Roman" w:cs="Times New Roman"/>
                <w:b/>
                <w:bCs/>
                <w:caps w:val="0"/>
                <w:smallCaps w:val="0"/>
                <w:color w:val="auto"/>
                <w:highlight w:val="none"/>
              </w:rPr>
            </w:pPr>
            <w:r>
              <w:rPr>
                <w:rFonts w:hint="default" w:ascii="Times New Roman" w:hAnsi="Times New Roman" w:cs="Times New Roman"/>
                <w:b/>
                <w:bCs/>
                <w:caps w:val="0"/>
                <w:smallCaps w:val="0"/>
                <w:color w:val="auto"/>
                <w:highlight w:val="none"/>
                <w:lang w:val="en-US" w:eastAsia="zh-CN"/>
              </w:rPr>
              <w:t>C、</w:t>
            </w:r>
            <w:r>
              <w:rPr>
                <w:rFonts w:hint="default" w:ascii="Times New Roman" w:hAnsi="Times New Roman" w:cs="Times New Roman"/>
                <w:b/>
                <w:bCs/>
                <w:caps w:val="0"/>
                <w:smallCaps w:val="0"/>
                <w:color w:val="auto"/>
                <w:highlight w:val="none"/>
              </w:rPr>
              <w:t>砂料</w:t>
            </w:r>
            <w:r>
              <w:rPr>
                <w:rFonts w:hint="default" w:ascii="Times New Roman" w:hAnsi="Times New Roman" w:cs="Times New Roman"/>
                <w:b/>
                <w:bCs/>
                <w:caps w:val="0"/>
                <w:smallCaps w:val="0"/>
                <w:color w:val="auto"/>
                <w:highlight w:val="none"/>
                <w:lang w:val="en-US" w:eastAsia="zh-CN"/>
              </w:rPr>
              <w:t>堆</w:t>
            </w:r>
            <w:r>
              <w:rPr>
                <w:rFonts w:hint="default" w:ascii="Times New Roman" w:hAnsi="Times New Roman" w:cs="Times New Roman"/>
                <w:b/>
                <w:bCs/>
                <w:caps w:val="0"/>
                <w:smallCaps w:val="0"/>
                <w:color w:val="auto"/>
                <w:highlight w:val="none"/>
              </w:rPr>
              <w:t>场扬尘</w:t>
            </w:r>
          </w:p>
          <w:p w14:paraId="52032A8F">
            <w:pPr>
              <w:adjustRightInd w:val="0"/>
              <w:snapToGrid w:val="0"/>
              <w:spacing w:line="360" w:lineRule="auto"/>
              <w:ind w:firstLine="480" w:firstLineChars="200"/>
              <w:rPr>
                <w:rFonts w:hint="default" w:ascii="Times New Roman" w:hAnsi="Times New Roman" w:eastAsia="宋体" w:cs="Times New Roman"/>
                <w:snapToGrid w:val="0"/>
                <w:color w:val="auto"/>
                <w:kern w:val="0"/>
                <w:sz w:val="24"/>
                <w:highlight w:val="none"/>
                <w:lang w:val="en-US" w:eastAsia="zh-CN"/>
              </w:rPr>
            </w:pPr>
            <w:r>
              <w:rPr>
                <w:rFonts w:hint="default" w:ascii="Times New Roman" w:hAnsi="Times New Roman" w:eastAsia="宋体" w:cs="Times New Roman"/>
                <w:snapToGrid w:val="0"/>
                <w:color w:val="auto"/>
                <w:kern w:val="0"/>
                <w:sz w:val="24"/>
                <w:highlight w:val="none"/>
                <w:lang w:val="en-US" w:eastAsia="zh-CN"/>
              </w:rPr>
              <w:t>砂料堆场粉尘产生量参</w:t>
            </w:r>
            <w:r>
              <w:rPr>
                <w:rFonts w:hint="default" w:ascii="Times New Roman" w:hAnsi="Times New Roman" w:cs="Times New Roman"/>
                <w:snapToGrid w:val="0"/>
                <w:color w:val="auto"/>
                <w:kern w:val="0"/>
                <w:sz w:val="24"/>
                <w:highlight w:val="none"/>
                <w:lang w:val="en-US" w:eastAsia="zh-CN"/>
              </w:rPr>
              <w:t>照</w:t>
            </w:r>
            <w:r>
              <w:rPr>
                <w:rFonts w:hint="default" w:ascii="Times New Roman" w:hAnsi="Times New Roman" w:cs="Times New Roman"/>
                <w:snapToGrid w:val="0"/>
                <w:color w:val="auto"/>
                <w:kern w:val="0"/>
                <w:sz w:val="24"/>
                <w:highlight w:val="none"/>
              </w:rPr>
              <w:t>《工业源固体物料堆场颗粒物核算系数手册》中公式</w:t>
            </w:r>
            <w:r>
              <w:rPr>
                <w:rFonts w:hint="default" w:ascii="Times New Roman" w:hAnsi="Times New Roman" w:cs="Times New Roman"/>
                <w:snapToGrid w:val="0"/>
                <w:color w:val="auto"/>
                <w:kern w:val="0"/>
                <w:sz w:val="24"/>
                <w:highlight w:val="none"/>
                <w:lang w:eastAsia="zh-CN"/>
              </w:rPr>
              <w:t>计算，</w:t>
            </w:r>
            <w:r>
              <w:rPr>
                <w:rFonts w:hint="default" w:ascii="Times New Roman" w:hAnsi="Times New Roman" w:eastAsia="宋体" w:cs="Times New Roman"/>
                <w:snapToGrid w:val="0"/>
                <w:color w:val="auto"/>
                <w:kern w:val="0"/>
                <w:sz w:val="24"/>
                <w:highlight w:val="none"/>
                <w:lang w:val="en-US" w:eastAsia="zh-CN"/>
              </w:rPr>
              <w:t>砂料成品</w:t>
            </w:r>
            <w:r>
              <w:rPr>
                <w:rFonts w:hint="default" w:ascii="Times New Roman" w:hAnsi="Times New Roman" w:cs="Times New Roman"/>
                <w:snapToGrid w:val="0"/>
                <w:color w:val="auto"/>
                <w:kern w:val="0"/>
                <w:sz w:val="24"/>
                <w:highlight w:val="none"/>
                <w:lang w:val="en-US" w:eastAsia="zh-CN"/>
              </w:rPr>
              <w:t>堆存于彩钢瓦大棚内</w:t>
            </w:r>
            <w:r>
              <w:rPr>
                <w:rFonts w:hint="default" w:ascii="Times New Roman" w:hAnsi="Times New Roman" w:cs="Times New Roman"/>
                <w:color w:val="auto"/>
                <w:sz w:val="24"/>
                <w:highlight w:val="none"/>
                <w:lang w:eastAsia="zh-CN" w:bidi="ar"/>
              </w:rPr>
              <w:t>，</w:t>
            </w:r>
            <w:r>
              <w:rPr>
                <w:rFonts w:hint="default" w:ascii="Times New Roman" w:hAnsi="Times New Roman" w:eastAsia="宋体" w:cs="Times New Roman"/>
                <w:snapToGrid w:val="0"/>
                <w:color w:val="auto"/>
                <w:kern w:val="0"/>
                <w:sz w:val="24"/>
                <w:highlight w:val="none"/>
                <w:lang w:val="en-US" w:eastAsia="zh-CN"/>
              </w:rPr>
              <w:t>砂料成品堆场</w:t>
            </w:r>
            <w:r>
              <w:rPr>
                <w:rFonts w:hint="default" w:ascii="Times New Roman" w:hAnsi="Times New Roman" w:cs="Times New Roman"/>
                <w:snapToGrid w:val="0"/>
                <w:color w:val="auto"/>
                <w:kern w:val="0"/>
                <w:sz w:val="24"/>
                <w:highlight w:val="none"/>
                <w:lang w:val="en-US" w:eastAsia="zh-CN"/>
              </w:rPr>
              <w:t>粉尘产生量计算如下所示：</w:t>
            </w:r>
          </w:p>
          <w:p w14:paraId="3EE900DE">
            <w:pPr>
              <w:adjustRightInd w:val="0"/>
              <w:snapToGrid w:val="0"/>
              <w:spacing w:line="360" w:lineRule="auto"/>
              <w:ind w:firstLine="480" w:firstLineChars="200"/>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①颗粒物产生量</w:t>
            </w:r>
          </w:p>
          <w:p w14:paraId="23C5D618">
            <w:pPr>
              <w:tabs>
                <w:tab w:val="left" w:pos="2100"/>
              </w:tabs>
              <w:spacing w:line="360" w:lineRule="auto"/>
              <w:ind w:firstLine="482" w:firstLineChars="200"/>
              <w:jc w:val="center"/>
              <w:rPr>
                <w:rFonts w:hint="default" w:ascii="Times New Roman" w:hAnsi="Times New Roman" w:eastAsia="宋体" w:cs="Times New Roman"/>
                <w:b/>
                <w:bCs/>
                <w:color w:val="auto"/>
                <w:position w:val="-14"/>
                <w:highlight w:val="none"/>
                <w:lang w:eastAsia="zh-CN"/>
              </w:rPr>
            </w:pPr>
            <w:r>
              <w:rPr>
                <w:rFonts w:hint="default" w:ascii="Times New Roman" w:hAnsi="Times New Roman" w:eastAsia="宋体" w:cs="Times New Roman"/>
                <w:b/>
                <w:bCs/>
                <w:color w:val="auto"/>
                <w:position w:val="-14"/>
                <w:highlight w:val="none"/>
                <w:lang w:eastAsia="zh-CN"/>
              </w:rPr>
              <w:object>
                <v:shape id="_x0000_i1027" o:spt="75" type="#_x0000_t75" style="height:20pt;width:247.95pt;" o:ole="t" filled="f" o:preferrelative="t" stroked="f" coordsize="21600,21600">
                  <v:path/>
                  <v:fill on="f" focussize="0,0"/>
                  <v:stroke on="f"/>
                  <v:imagedata r:id="rId28" o:title=""/>
                  <o:lock v:ext="edit" aspectratio="t"/>
                  <w10:wrap type="none"/>
                  <w10:anchorlock/>
                </v:shape>
                <o:OLEObject Type="Embed" ProgID="Equation.KSEE3" ShapeID="_x0000_i1027" DrawAspect="Content" ObjectID="_1468075727" r:id="rId27">
                  <o:LockedField>false</o:LockedField>
                </o:OLEObject>
              </w:object>
            </w:r>
          </w:p>
          <w:p w14:paraId="199DC200">
            <w:pPr>
              <w:adjustRightInd w:val="0"/>
              <w:snapToGrid w:val="0"/>
              <w:spacing w:line="360" w:lineRule="auto"/>
              <w:ind w:firstLine="480" w:firstLineChars="200"/>
              <w:rPr>
                <w:rFonts w:hint="default" w:ascii="Times New Roman" w:hAnsi="Times New Roman" w:eastAsia="宋体" w:cs="Times New Roman"/>
                <w:snapToGrid w:val="0"/>
                <w:color w:val="auto"/>
                <w:kern w:val="0"/>
                <w:sz w:val="24"/>
                <w:highlight w:val="none"/>
                <w:lang w:val="en-US" w:eastAsia="zh-CN"/>
              </w:rPr>
            </w:pPr>
            <w:r>
              <w:rPr>
                <w:rFonts w:hint="default" w:ascii="Times New Roman" w:hAnsi="Times New Roman" w:cs="Times New Roman"/>
                <w:snapToGrid w:val="0"/>
                <w:color w:val="auto"/>
                <w:kern w:val="0"/>
                <w:sz w:val="24"/>
                <w:highlight w:val="none"/>
              </w:rPr>
              <w:t>式</w:t>
            </w:r>
            <w:r>
              <w:rPr>
                <w:rFonts w:hint="default" w:ascii="Times New Roman" w:hAnsi="Times New Roman" w:eastAsia="宋体" w:cs="Times New Roman"/>
                <w:snapToGrid w:val="0"/>
                <w:color w:val="auto"/>
                <w:kern w:val="0"/>
                <w:sz w:val="24"/>
                <w:highlight w:val="none"/>
              </w:rPr>
              <w:t>中</w:t>
            </w:r>
            <w:r>
              <w:rPr>
                <w:rFonts w:hint="default" w:ascii="Times New Roman" w:hAnsi="Times New Roman" w:eastAsia="宋体" w:cs="Times New Roman"/>
                <w:snapToGrid w:val="0"/>
                <w:color w:val="auto"/>
                <w:kern w:val="0"/>
                <w:sz w:val="24"/>
                <w:highlight w:val="none"/>
                <w:lang w:val="en-US" w:eastAsia="zh-CN"/>
              </w:rPr>
              <w:t>：ZC</w:t>
            </w:r>
            <w:r>
              <w:rPr>
                <w:rFonts w:hint="default" w:ascii="Times New Roman" w:hAnsi="Times New Roman" w:eastAsia="宋体" w:cs="Times New Roman"/>
                <w:snapToGrid w:val="0"/>
                <w:color w:val="auto"/>
                <w:kern w:val="0"/>
                <w:sz w:val="24"/>
                <w:highlight w:val="none"/>
                <w:vertAlign w:val="subscript"/>
                <w:lang w:val="en-US" w:eastAsia="zh-CN"/>
              </w:rPr>
              <w:t>y</w:t>
            </w:r>
            <w:r>
              <w:rPr>
                <w:rFonts w:hint="default" w:ascii="Times New Roman" w:hAnsi="Times New Roman" w:eastAsia="宋体" w:cs="Times New Roman"/>
                <w:snapToGrid w:val="0"/>
                <w:color w:val="auto"/>
                <w:kern w:val="0"/>
                <w:sz w:val="24"/>
                <w:highlight w:val="none"/>
                <w:lang w:val="en-US" w:eastAsia="zh-CN"/>
              </w:rPr>
              <w:t xml:space="preserve"> 指装卸扬尘产生量(单位：吨)；</w:t>
            </w:r>
          </w:p>
          <w:p w14:paraId="1B0F7835">
            <w:pPr>
              <w:adjustRightInd w:val="0"/>
              <w:snapToGrid w:val="0"/>
              <w:spacing w:line="360" w:lineRule="auto"/>
              <w:ind w:firstLine="960" w:firstLineChars="400"/>
              <w:rPr>
                <w:rFonts w:hint="default" w:ascii="Times New Roman" w:hAnsi="Times New Roman" w:eastAsia="宋体" w:cs="Times New Roman"/>
                <w:snapToGrid w:val="0"/>
                <w:color w:val="auto"/>
                <w:kern w:val="0"/>
                <w:sz w:val="24"/>
                <w:highlight w:val="none"/>
                <w:lang w:val="en-US" w:eastAsia="zh-CN"/>
              </w:rPr>
            </w:pPr>
            <w:r>
              <w:rPr>
                <w:rFonts w:hint="default" w:ascii="Times New Roman" w:hAnsi="Times New Roman" w:eastAsia="宋体" w:cs="Times New Roman"/>
                <w:snapToGrid w:val="0"/>
                <w:color w:val="auto"/>
                <w:kern w:val="0"/>
                <w:sz w:val="24"/>
                <w:highlight w:val="none"/>
                <w:lang w:val="en-US" w:eastAsia="zh-CN"/>
              </w:rPr>
              <w:t>FC</w:t>
            </w:r>
            <w:r>
              <w:rPr>
                <w:rFonts w:hint="default" w:ascii="Times New Roman" w:hAnsi="Times New Roman" w:eastAsia="宋体" w:cs="Times New Roman"/>
                <w:snapToGrid w:val="0"/>
                <w:color w:val="auto"/>
                <w:kern w:val="0"/>
                <w:sz w:val="24"/>
                <w:highlight w:val="none"/>
                <w:vertAlign w:val="subscript"/>
                <w:lang w:val="en-US" w:eastAsia="zh-CN"/>
              </w:rPr>
              <w:t>y</w:t>
            </w:r>
            <w:r>
              <w:rPr>
                <w:rFonts w:hint="default" w:ascii="Times New Roman" w:hAnsi="Times New Roman" w:eastAsia="宋体" w:cs="Times New Roman"/>
                <w:snapToGrid w:val="0"/>
                <w:color w:val="auto"/>
                <w:kern w:val="0"/>
                <w:sz w:val="24"/>
                <w:highlight w:val="none"/>
                <w:lang w:val="en-US" w:eastAsia="zh-CN"/>
              </w:rPr>
              <w:t xml:space="preserve"> 指风蚀扬尘产生量(单位：吨)；</w:t>
            </w:r>
          </w:p>
          <w:p w14:paraId="00A96A03">
            <w:pPr>
              <w:adjustRightInd w:val="0"/>
              <w:snapToGrid w:val="0"/>
              <w:spacing w:line="360" w:lineRule="auto"/>
              <w:ind w:firstLine="960" w:firstLineChars="400"/>
              <w:rPr>
                <w:rFonts w:hint="default" w:ascii="Times New Roman" w:hAnsi="Times New Roman" w:eastAsia="宋体" w:cs="Times New Roman"/>
                <w:snapToGrid w:val="0"/>
                <w:color w:val="auto"/>
                <w:kern w:val="0"/>
                <w:sz w:val="24"/>
                <w:highlight w:val="none"/>
                <w:lang w:val="en-US" w:eastAsia="zh-CN"/>
              </w:rPr>
            </w:pPr>
            <w:r>
              <w:rPr>
                <w:rFonts w:hint="default" w:ascii="Times New Roman" w:hAnsi="Times New Roman" w:eastAsia="宋体" w:cs="Times New Roman"/>
                <w:snapToGrid w:val="0"/>
                <w:color w:val="auto"/>
                <w:kern w:val="0"/>
                <w:sz w:val="24"/>
                <w:highlight w:val="none"/>
                <w:lang w:val="en-US" w:eastAsia="zh-CN"/>
              </w:rPr>
              <w:t>N</w:t>
            </w:r>
            <w:r>
              <w:rPr>
                <w:rFonts w:hint="default" w:ascii="Times New Roman" w:hAnsi="Times New Roman" w:eastAsia="宋体" w:cs="Times New Roman"/>
                <w:snapToGrid w:val="0"/>
                <w:color w:val="auto"/>
                <w:kern w:val="0"/>
                <w:sz w:val="24"/>
                <w:highlight w:val="none"/>
                <w:vertAlign w:val="subscript"/>
                <w:lang w:val="en-US" w:eastAsia="zh-CN"/>
              </w:rPr>
              <w:t>c</w:t>
            </w:r>
            <w:r>
              <w:rPr>
                <w:rFonts w:hint="default" w:ascii="Times New Roman" w:hAnsi="Times New Roman" w:eastAsia="宋体" w:cs="Times New Roman"/>
                <w:snapToGrid w:val="0"/>
                <w:color w:val="auto"/>
                <w:kern w:val="0"/>
                <w:sz w:val="24"/>
                <w:highlight w:val="none"/>
                <w:lang w:val="en-US" w:eastAsia="zh-CN"/>
              </w:rPr>
              <w:t xml:space="preserve"> 指年物料运载车次(单位：车)；，本项目取16667次；</w:t>
            </w:r>
          </w:p>
          <w:p w14:paraId="3E6D2853">
            <w:pPr>
              <w:adjustRightInd w:val="0"/>
              <w:snapToGrid w:val="0"/>
              <w:spacing w:line="360" w:lineRule="auto"/>
              <w:ind w:firstLine="960" w:firstLineChars="400"/>
              <w:rPr>
                <w:rFonts w:hint="default" w:ascii="Times New Roman" w:hAnsi="Times New Roman" w:eastAsia="宋体" w:cs="Times New Roman"/>
                <w:snapToGrid w:val="0"/>
                <w:color w:val="auto"/>
                <w:kern w:val="0"/>
                <w:sz w:val="24"/>
                <w:highlight w:val="none"/>
                <w:lang w:val="en-US" w:eastAsia="zh-CN"/>
              </w:rPr>
            </w:pPr>
            <w:r>
              <w:rPr>
                <w:rFonts w:hint="default" w:ascii="Times New Roman" w:hAnsi="Times New Roman" w:eastAsia="宋体" w:cs="Times New Roman"/>
                <w:snapToGrid w:val="0"/>
                <w:color w:val="auto"/>
                <w:kern w:val="0"/>
                <w:sz w:val="24"/>
                <w:highlight w:val="none"/>
                <w:lang w:val="en-US" w:eastAsia="zh-CN"/>
              </w:rPr>
              <w:t>D—指单车平均运载量（单位：吨/车），本项目采用运载量为</w:t>
            </w:r>
            <w:r>
              <w:rPr>
                <w:rFonts w:hint="default" w:ascii="Times New Roman" w:hAnsi="Times New Roman" w:cs="Times New Roman"/>
                <w:snapToGrid w:val="0"/>
                <w:color w:val="auto"/>
                <w:kern w:val="0"/>
                <w:sz w:val="24"/>
                <w:highlight w:val="none"/>
                <w:lang w:val="en-US" w:eastAsia="zh-CN"/>
              </w:rPr>
              <w:t>25</w:t>
            </w:r>
            <w:r>
              <w:rPr>
                <w:rFonts w:hint="default" w:ascii="Times New Roman" w:hAnsi="Times New Roman" w:eastAsia="宋体" w:cs="Times New Roman"/>
                <w:snapToGrid w:val="0"/>
                <w:color w:val="auto"/>
                <w:kern w:val="0"/>
                <w:sz w:val="24"/>
                <w:highlight w:val="none"/>
                <w:lang w:val="en-US" w:eastAsia="zh-CN"/>
              </w:rPr>
              <w:t>t/车自卸式汽车运输；</w:t>
            </w:r>
          </w:p>
          <w:p w14:paraId="7EE7CB84">
            <w:pPr>
              <w:adjustRightInd w:val="0"/>
              <w:snapToGrid w:val="0"/>
              <w:spacing w:line="360" w:lineRule="auto"/>
              <w:ind w:firstLine="960" w:firstLineChars="400"/>
              <w:rPr>
                <w:rFonts w:hint="default" w:ascii="Times New Roman" w:hAnsi="Times New Roman" w:eastAsia="宋体" w:cs="Times New Roman"/>
                <w:snapToGrid w:val="0"/>
                <w:color w:val="auto"/>
                <w:kern w:val="0"/>
                <w:sz w:val="24"/>
                <w:highlight w:val="none"/>
                <w:lang w:val="en-US" w:eastAsia="zh-CN"/>
              </w:rPr>
            </w:pPr>
            <w:r>
              <w:rPr>
                <w:rFonts w:hint="default" w:ascii="Times New Roman" w:hAnsi="Times New Roman" w:eastAsia="宋体" w:cs="Times New Roman"/>
                <w:snapToGrid w:val="0"/>
                <w:color w:val="auto"/>
                <w:kern w:val="0"/>
                <w:sz w:val="24"/>
                <w:highlight w:val="none"/>
                <w:lang w:val="en-US" w:eastAsia="zh-CN"/>
              </w:rPr>
              <w:t>（a/b）—指装卸扬尘概化系数（单位：千</w:t>
            </w:r>
            <w:r>
              <w:rPr>
                <w:rFonts w:hint="default" w:ascii="Times New Roman" w:hAnsi="Times New Roman" w:eastAsia="宋体" w:cs="Times New Roman"/>
                <w:snapToGrid w:val="0"/>
                <w:color w:val="auto"/>
                <w:kern w:val="0"/>
                <w:sz w:val="24"/>
                <w:highlight w:val="none"/>
              </w:rPr>
              <w:t>克/吨），a指各省风速概化系数，见附录1，b指物料含</w:t>
            </w:r>
            <w:r>
              <w:rPr>
                <w:rFonts w:hint="default" w:ascii="Times New Roman" w:hAnsi="Times New Roman" w:eastAsia="宋体" w:cs="Times New Roman"/>
                <w:snapToGrid w:val="0"/>
                <w:color w:val="auto"/>
                <w:kern w:val="0"/>
                <w:sz w:val="24"/>
                <w:highlight w:val="none"/>
                <w:lang w:val="en-US" w:eastAsia="zh-CN"/>
              </w:rPr>
              <w:t>水率概化系数，见附录2；查表：云南省风速概化系数取0.0009，物料含水率概化系数取0.0017。</w:t>
            </w:r>
          </w:p>
          <w:p w14:paraId="7F1499C9">
            <w:pPr>
              <w:adjustRightInd w:val="0"/>
              <w:snapToGrid w:val="0"/>
              <w:spacing w:line="360" w:lineRule="auto"/>
              <w:ind w:firstLine="960" w:firstLineChars="400"/>
              <w:rPr>
                <w:rFonts w:hint="default" w:ascii="Times New Roman" w:hAnsi="Times New Roman" w:cs="Times New Roman"/>
                <w:color w:val="auto"/>
                <w:highlight w:val="none"/>
              </w:rPr>
            </w:pPr>
            <w:r>
              <w:rPr>
                <w:rFonts w:hint="default" w:ascii="Times New Roman" w:hAnsi="Times New Roman" w:eastAsia="宋体" w:cs="Times New Roman"/>
                <w:snapToGrid w:val="0"/>
                <w:color w:val="auto"/>
                <w:kern w:val="0"/>
                <w:sz w:val="24"/>
                <w:highlight w:val="none"/>
                <w:lang w:val="en-US" w:eastAsia="zh-CN"/>
              </w:rPr>
              <w:t>E</w:t>
            </w:r>
            <w:r>
              <w:rPr>
                <w:rFonts w:hint="default" w:ascii="Times New Roman" w:hAnsi="Times New Roman" w:eastAsia="宋体" w:cs="Times New Roman"/>
                <w:snapToGrid w:val="0"/>
                <w:color w:val="auto"/>
                <w:kern w:val="0"/>
                <w:sz w:val="24"/>
                <w:highlight w:val="none"/>
                <w:vertAlign w:val="subscript"/>
                <w:lang w:val="en-US" w:eastAsia="zh-CN"/>
              </w:rPr>
              <w:t>f</w:t>
            </w:r>
            <w:r>
              <w:rPr>
                <w:rFonts w:hint="default" w:ascii="Times New Roman" w:hAnsi="Times New Roman" w:eastAsia="宋体" w:cs="Times New Roman"/>
                <w:snapToGrid w:val="0"/>
                <w:color w:val="auto"/>
                <w:kern w:val="0"/>
                <w:sz w:val="24"/>
                <w:highlight w:val="none"/>
                <w:lang w:val="en-US" w:eastAsia="zh-CN"/>
              </w:rPr>
              <w:t xml:space="preserve"> —指堆场风蚀扬尘概化系数，见附录3(单位：千克/平方米)；</w:t>
            </w:r>
            <w:r>
              <w:rPr>
                <w:rFonts w:hint="default" w:ascii="Times New Roman" w:hAnsi="Times New Roman" w:cs="Times New Roman"/>
                <w:color w:val="auto"/>
                <w:highlight w:val="none"/>
              </w:rPr>
              <w:t>各种石灰石产品取3.6062；</w:t>
            </w:r>
          </w:p>
          <w:p w14:paraId="7E0CE871">
            <w:pPr>
              <w:ind w:firstLine="480"/>
              <w:rPr>
                <w:rFonts w:hint="default" w:ascii="Times New Roman" w:hAnsi="Times New Roman" w:cs="Times New Roman"/>
                <w:color w:val="auto"/>
                <w:highlight w:val="none"/>
              </w:rPr>
            </w:pPr>
            <w:r>
              <w:rPr>
                <w:rFonts w:hint="default" w:ascii="Times New Roman" w:hAnsi="Times New Roman" w:eastAsia="宋体" w:cs="Times New Roman"/>
                <w:snapToGrid w:val="0"/>
                <w:color w:val="auto"/>
                <w:kern w:val="0"/>
                <w:sz w:val="24"/>
                <w:highlight w:val="none"/>
                <w:lang w:val="en-US" w:eastAsia="zh-CN"/>
              </w:rPr>
              <w:t>S —指堆场占地面积(单位：平方米)，</w:t>
            </w: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成品</w:t>
            </w:r>
            <w:r>
              <w:rPr>
                <w:rFonts w:hint="default" w:ascii="Times New Roman" w:hAnsi="Times New Roman" w:cs="Times New Roman"/>
                <w:color w:val="auto"/>
                <w:highlight w:val="none"/>
              </w:rPr>
              <w:t>堆场占地面积</w:t>
            </w:r>
            <w:r>
              <w:rPr>
                <w:rFonts w:hint="default" w:ascii="Times New Roman" w:hAnsi="Times New Roman" w:cs="Times New Roman"/>
                <w:color w:val="auto"/>
                <w:highlight w:val="none"/>
                <w:lang w:val="en-US" w:eastAsia="zh-CN"/>
              </w:rPr>
              <w:t>30</w:t>
            </w:r>
            <w:r>
              <w:rPr>
                <w:rFonts w:hint="default" w:ascii="Times New Roman" w:hAnsi="Times New Roman" w:cs="Times New Roman"/>
                <w:color w:val="auto"/>
                <w:highlight w:val="none"/>
              </w:rPr>
              <w:t>00m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p>
          <w:p w14:paraId="2B388C86">
            <w:pPr>
              <w:pStyle w:val="10"/>
              <w:rPr>
                <w:rFonts w:hint="default" w:ascii="Times New Roman" w:hAnsi="Times New Roman" w:eastAsia="宋体" w:cs="Times New Roman"/>
                <w:snapToGrid w:val="0"/>
                <w:color w:val="auto"/>
                <w:kern w:val="0"/>
                <w:sz w:val="24"/>
                <w:highlight w:val="none"/>
                <w:lang w:val="en-US" w:eastAsia="zh-CN"/>
              </w:rPr>
            </w:pPr>
            <w:r>
              <w:rPr>
                <w:rFonts w:hint="default" w:ascii="Times New Roman" w:hAnsi="Times New Roman" w:cs="Times New Roman"/>
                <w:snapToGrid w:val="0"/>
                <w:color w:val="auto"/>
                <w:kern w:val="0"/>
                <w:sz w:val="24"/>
                <w:highlight w:val="none"/>
              </w:rPr>
              <w:t>由计算可知，</w:t>
            </w:r>
            <w:r>
              <w:rPr>
                <w:rFonts w:hint="default" w:ascii="Times New Roman" w:hAnsi="Times New Roman" w:cs="Times New Roman"/>
                <w:snapToGrid w:val="0"/>
                <w:color w:val="auto"/>
                <w:kern w:val="0"/>
                <w:sz w:val="24"/>
                <w:highlight w:val="none"/>
                <w:lang w:val="en-US" w:eastAsia="zh-CN"/>
              </w:rPr>
              <w:t>砂料成品</w:t>
            </w:r>
            <w:r>
              <w:rPr>
                <w:rFonts w:hint="default" w:ascii="Times New Roman" w:hAnsi="Times New Roman" w:cs="Times New Roman"/>
                <w:snapToGrid w:val="0"/>
                <w:color w:val="auto"/>
                <w:kern w:val="0"/>
                <w:sz w:val="24"/>
                <w:highlight w:val="none"/>
              </w:rPr>
              <w:t>堆场扬尘的产生量为</w:t>
            </w:r>
            <w:r>
              <w:rPr>
                <w:rFonts w:hint="default" w:ascii="Times New Roman" w:hAnsi="Times New Roman" w:cs="Times New Roman"/>
                <w:snapToGrid w:val="0"/>
                <w:color w:val="auto"/>
                <w:kern w:val="0"/>
                <w:sz w:val="24"/>
                <w:highlight w:val="none"/>
                <w:lang w:val="en-US" w:eastAsia="zh-CN"/>
              </w:rPr>
              <w:t>242.23</w:t>
            </w:r>
            <w:r>
              <w:rPr>
                <w:rFonts w:hint="default" w:ascii="Times New Roman" w:hAnsi="Times New Roman" w:cs="Times New Roman"/>
                <w:snapToGrid w:val="0"/>
                <w:color w:val="auto"/>
                <w:kern w:val="0"/>
                <w:sz w:val="24"/>
                <w:highlight w:val="none"/>
              </w:rPr>
              <w:t>t/a</w:t>
            </w:r>
            <w:r>
              <w:rPr>
                <w:rFonts w:hint="default" w:ascii="Times New Roman" w:hAnsi="Times New Roman" w:cs="Times New Roman"/>
                <w:snapToGrid w:val="0"/>
                <w:color w:val="auto"/>
                <w:kern w:val="0"/>
                <w:sz w:val="24"/>
                <w:highlight w:val="none"/>
                <w:lang w:eastAsia="zh-CN"/>
              </w:rPr>
              <w:t>，</w:t>
            </w:r>
            <w:r>
              <w:rPr>
                <w:rFonts w:hint="default" w:ascii="Times New Roman" w:hAnsi="Times New Roman" w:cs="Times New Roman"/>
                <w:snapToGrid w:val="0"/>
                <w:color w:val="auto"/>
                <w:kern w:val="0"/>
                <w:sz w:val="24"/>
                <w:highlight w:val="none"/>
                <w:lang w:val="en-US" w:eastAsia="zh-CN"/>
              </w:rPr>
              <w:t>产生速</w:t>
            </w:r>
            <w:r>
              <w:rPr>
                <w:rFonts w:hint="default" w:ascii="Times New Roman" w:hAnsi="Times New Roman" w:eastAsia="宋体" w:cs="Times New Roman"/>
                <w:snapToGrid w:val="0"/>
                <w:color w:val="auto"/>
                <w:kern w:val="0"/>
                <w:sz w:val="24"/>
                <w:highlight w:val="none"/>
                <w:lang w:val="en-US" w:eastAsia="zh-CN"/>
              </w:rPr>
              <w:t>率</w:t>
            </w:r>
            <w:r>
              <w:rPr>
                <w:rFonts w:hint="default" w:ascii="Times New Roman" w:hAnsi="Times New Roman" w:cs="Times New Roman"/>
                <w:snapToGrid w:val="0"/>
                <w:color w:val="auto"/>
                <w:kern w:val="0"/>
                <w:sz w:val="24"/>
                <w:highlight w:val="none"/>
                <w:lang w:val="en-US" w:eastAsia="zh-CN"/>
              </w:rPr>
              <w:t>100.92</w:t>
            </w:r>
            <w:r>
              <w:rPr>
                <w:rFonts w:hint="default" w:ascii="Times New Roman" w:hAnsi="Times New Roman" w:eastAsia="宋体" w:cs="Times New Roman"/>
                <w:snapToGrid w:val="0"/>
                <w:color w:val="auto"/>
                <w:kern w:val="0"/>
                <w:sz w:val="24"/>
                <w:highlight w:val="none"/>
                <w:lang w:val="en-US" w:eastAsia="zh-CN"/>
              </w:rPr>
              <w:t>kg/h。</w:t>
            </w:r>
          </w:p>
          <w:p w14:paraId="7812186A">
            <w:pPr>
              <w:adjustRightInd w:val="0"/>
              <w:snapToGrid w:val="0"/>
              <w:spacing w:line="360" w:lineRule="auto"/>
              <w:ind w:firstLine="480" w:firstLineChars="200"/>
              <w:rPr>
                <w:rFonts w:hint="default" w:ascii="Times New Roman" w:hAnsi="Times New Roman" w:cs="Times New Roman"/>
                <w:snapToGrid w:val="0"/>
                <w:color w:val="auto"/>
                <w:kern w:val="0"/>
                <w:sz w:val="24"/>
                <w:highlight w:val="none"/>
              </w:rPr>
            </w:pPr>
            <w:r>
              <w:rPr>
                <w:rFonts w:hint="default" w:ascii="Times New Roman" w:hAnsi="Times New Roman" w:cs="Times New Roman"/>
                <w:snapToGrid w:val="0"/>
                <w:color w:val="auto"/>
                <w:kern w:val="0"/>
                <w:sz w:val="24"/>
                <w:highlight w:val="none"/>
              </w:rPr>
              <w:t>②颗粒物排放量</w:t>
            </w:r>
          </w:p>
          <w:p w14:paraId="0856F966">
            <w:pPr>
              <w:adjustRightInd w:val="0"/>
              <w:snapToGrid w:val="0"/>
              <w:spacing w:line="360" w:lineRule="auto"/>
              <w:ind w:firstLine="960" w:firstLineChars="400"/>
              <w:rPr>
                <w:rFonts w:hint="default" w:ascii="Times New Roman" w:hAnsi="Times New Roman" w:eastAsia="宋体" w:cs="Times New Roman"/>
                <w:snapToGrid w:val="0"/>
                <w:color w:val="auto"/>
                <w:kern w:val="0"/>
                <w:sz w:val="24"/>
                <w:highlight w:val="none"/>
                <w:lang w:eastAsia="zh-CN"/>
              </w:rPr>
            </w:pPr>
            <w:r>
              <w:rPr>
                <w:rFonts w:hint="default" w:ascii="Times New Roman" w:hAnsi="Times New Roman" w:cs="Times New Roman"/>
                <w:snapToGrid w:val="0"/>
                <w:color w:val="auto"/>
                <w:kern w:val="0"/>
                <w:sz w:val="24"/>
                <w:highlight w:val="none"/>
              </w:rPr>
              <w:t>U</w:t>
            </w:r>
            <w:r>
              <w:rPr>
                <w:rFonts w:hint="default" w:ascii="Times New Roman" w:hAnsi="Times New Roman" w:cs="Times New Roman"/>
                <w:snapToGrid w:val="0"/>
                <w:color w:val="auto"/>
                <w:kern w:val="0"/>
                <w:sz w:val="24"/>
                <w:highlight w:val="none"/>
                <w:vertAlign w:val="subscript"/>
              </w:rPr>
              <w:t>c</w:t>
            </w:r>
            <w:r>
              <w:rPr>
                <w:rFonts w:hint="default" w:ascii="Times New Roman" w:hAnsi="Times New Roman" w:cs="Times New Roman"/>
                <w:snapToGrid w:val="0"/>
                <w:color w:val="auto"/>
                <w:kern w:val="0"/>
                <w:sz w:val="24"/>
                <w:highlight w:val="none"/>
              </w:rPr>
              <w:t>=P×（1-C</w:t>
            </w:r>
            <w:r>
              <w:rPr>
                <w:rFonts w:hint="default" w:ascii="Times New Roman" w:hAnsi="Times New Roman" w:cs="Times New Roman"/>
                <w:snapToGrid w:val="0"/>
                <w:color w:val="auto"/>
                <w:kern w:val="0"/>
                <w:sz w:val="24"/>
                <w:highlight w:val="none"/>
                <w:vertAlign w:val="subscript"/>
              </w:rPr>
              <w:t>m</w:t>
            </w:r>
            <w:r>
              <w:rPr>
                <w:rFonts w:hint="default" w:ascii="Times New Roman" w:hAnsi="Times New Roman" w:cs="Times New Roman"/>
                <w:snapToGrid w:val="0"/>
                <w:color w:val="auto"/>
                <w:kern w:val="0"/>
                <w:sz w:val="24"/>
                <w:highlight w:val="none"/>
              </w:rPr>
              <w:t>）×（1-T</w:t>
            </w:r>
            <w:r>
              <w:rPr>
                <w:rFonts w:hint="default" w:ascii="Times New Roman" w:hAnsi="Times New Roman" w:cs="Times New Roman"/>
                <w:snapToGrid w:val="0"/>
                <w:color w:val="auto"/>
                <w:kern w:val="0"/>
                <w:sz w:val="24"/>
                <w:highlight w:val="none"/>
                <w:vertAlign w:val="subscript"/>
              </w:rPr>
              <w:t>m</w:t>
            </w:r>
            <w:r>
              <w:rPr>
                <w:rFonts w:hint="default" w:ascii="Times New Roman" w:hAnsi="Times New Roman" w:cs="Times New Roman"/>
                <w:snapToGrid w:val="0"/>
                <w:color w:val="auto"/>
                <w:kern w:val="0"/>
                <w:sz w:val="24"/>
                <w:highlight w:val="none"/>
              </w:rPr>
              <w:t>）</w:t>
            </w:r>
          </w:p>
          <w:p w14:paraId="5934A873">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snapToGrid w:val="0"/>
                <w:color w:val="auto"/>
                <w:kern w:val="0"/>
                <w:sz w:val="24"/>
                <w:highlight w:val="none"/>
              </w:rPr>
              <w:t>式中：</w:t>
            </w:r>
            <w:r>
              <w:rPr>
                <w:rFonts w:hint="default" w:ascii="Times New Roman" w:hAnsi="Times New Roman" w:cs="Times New Roman"/>
                <w:color w:val="auto"/>
                <w:sz w:val="24"/>
                <w:highlight w:val="none"/>
                <w:lang w:bidi="ar"/>
              </w:rPr>
              <w:t>P—颗粒物产生量（单位：t）；</w:t>
            </w:r>
          </w:p>
          <w:p w14:paraId="4293A5E9">
            <w:pPr>
              <w:spacing w:line="360" w:lineRule="auto"/>
              <w:ind w:firstLine="1200" w:firstLineChars="500"/>
              <w:rPr>
                <w:rFonts w:hint="default" w:ascii="Times New Roman" w:hAnsi="Times New Roman" w:eastAsia="宋体" w:cs="Times New Roman"/>
                <w:color w:val="auto"/>
                <w:sz w:val="24"/>
                <w:highlight w:val="none"/>
                <w:lang w:bidi="ar"/>
              </w:rPr>
            </w:pPr>
            <w:r>
              <w:rPr>
                <w:rFonts w:hint="default" w:ascii="Times New Roman" w:hAnsi="Times New Roman" w:cs="Times New Roman"/>
                <w:color w:val="auto"/>
                <w:sz w:val="24"/>
                <w:highlight w:val="none"/>
                <w:lang w:bidi="ar"/>
              </w:rPr>
              <w:t>U</w:t>
            </w:r>
            <w:r>
              <w:rPr>
                <w:rFonts w:hint="default" w:ascii="Times New Roman" w:hAnsi="Times New Roman" w:cs="Times New Roman"/>
                <w:color w:val="auto"/>
                <w:sz w:val="24"/>
                <w:highlight w:val="none"/>
                <w:vertAlign w:val="subscript"/>
                <w:lang w:bidi="ar"/>
              </w:rPr>
              <w:t>c</w:t>
            </w:r>
            <w:r>
              <w:rPr>
                <w:rFonts w:hint="default" w:ascii="Times New Roman" w:hAnsi="Times New Roman" w:cs="Times New Roman"/>
                <w:color w:val="auto"/>
                <w:sz w:val="24"/>
                <w:highlight w:val="none"/>
                <w:lang w:bidi="ar"/>
              </w:rPr>
              <w:t>—颗粒物排放</w:t>
            </w:r>
            <w:r>
              <w:rPr>
                <w:rFonts w:hint="default" w:ascii="Times New Roman" w:hAnsi="Times New Roman" w:eastAsia="宋体" w:cs="Times New Roman"/>
                <w:color w:val="auto"/>
                <w:sz w:val="24"/>
                <w:highlight w:val="none"/>
                <w:lang w:bidi="ar"/>
              </w:rPr>
              <w:t>量（单位：t）；</w:t>
            </w:r>
          </w:p>
          <w:p w14:paraId="4B532B6E">
            <w:pPr>
              <w:spacing w:line="360" w:lineRule="auto"/>
              <w:ind w:firstLine="1200" w:firstLineChars="500"/>
              <w:rPr>
                <w:rFonts w:hint="default" w:ascii="Times New Roman" w:hAnsi="Times New Roman" w:eastAsia="宋体" w:cs="Times New Roman"/>
                <w:color w:val="auto"/>
                <w:sz w:val="24"/>
                <w:highlight w:val="none"/>
                <w:lang w:eastAsia="zh-CN" w:bidi="ar"/>
              </w:rPr>
            </w:pPr>
            <w:r>
              <w:rPr>
                <w:rFonts w:hint="default" w:ascii="Times New Roman" w:hAnsi="Times New Roman" w:eastAsia="宋体" w:cs="Times New Roman"/>
                <w:color w:val="auto"/>
                <w:sz w:val="24"/>
                <w:highlight w:val="none"/>
                <w:lang w:bidi="ar"/>
              </w:rPr>
              <w:t>C</w:t>
            </w:r>
            <w:r>
              <w:rPr>
                <w:rFonts w:hint="default" w:ascii="Times New Roman" w:hAnsi="Times New Roman" w:eastAsia="宋体" w:cs="Times New Roman"/>
                <w:color w:val="auto"/>
                <w:sz w:val="24"/>
                <w:highlight w:val="none"/>
                <w:vertAlign w:val="subscript"/>
                <w:lang w:bidi="ar"/>
              </w:rPr>
              <w:t>m</w:t>
            </w:r>
            <w:r>
              <w:rPr>
                <w:rFonts w:hint="default" w:ascii="Times New Roman" w:hAnsi="Times New Roman" w:eastAsia="宋体" w:cs="Times New Roman"/>
                <w:color w:val="auto"/>
                <w:sz w:val="24"/>
                <w:highlight w:val="none"/>
                <w:lang w:bidi="ar"/>
              </w:rPr>
              <w:t>—颗粒物控制措施控制效率（单位：%）</w:t>
            </w:r>
            <w:r>
              <w:rPr>
                <w:rFonts w:hint="default" w:ascii="Times New Roman" w:hAnsi="Times New Roman" w:eastAsia="宋体" w:cs="Times New Roman"/>
                <w:color w:val="auto"/>
                <w:sz w:val="24"/>
                <w:highlight w:val="none"/>
                <w:lang w:eastAsia="zh-CN" w:bidi="ar"/>
              </w:rPr>
              <w:t>，</w:t>
            </w:r>
            <w:r>
              <w:rPr>
                <w:rFonts w:hint="default" w:ascii="Times New Roman" w:hAnsi="Times New Roman" w:cs="Times New Roman"/>
                <w:color w:val="auto"/>
              </w:rPr>
              <w:t>根据《固体物料堆存颗粒物产排污核算系数手册》附录4，洒水措施控制效率为74％、围挡措施控制效率为60％，本项目采用洒水、三面围挡综合控制效率取</w:t>
            </w:r>
            <w:r>
              <w:rPr>
                <w:rFonts w:hint="default" w:ascii="Times New Roman" w:hAnsi="Times New Roman" w:cs="Times New Roman"/>
                <w:color w:val="auto"/>
                <w:lang w:val="en-US" w:eastAsia="zh-CN"/>
              </w:rPr>
              <w:t>90</w:t>
            </w:r>
            <w:r>
              <w:rPr>
                <w:rFonts w:hint="default" w:ascii="Times New Roman" w:hAnsi="Times New Roman" w:cs="Times New Roman"/>
                <w:color w:val="auto"/>
              </w:rPr>
              <w:t>％</w:t>
            </w:r>
            <w:r>
              <w:rPr>
                <w:rFonts w:hint="default" w:ascii="Times New Roman" w:hAnsi="Times New Roman" w:cs="Times New Roman"/>
                <w:color w:val="auto"/>
                <w:highlight w:val="none"/>
                <w:lang w:eastAsia="zh-CN"/>
              </w:rPr>
              <w:t>；</w:t>
            </w:r>
          </w:p>
          <w:p w14:paraId="08B8E3A3">
            <w:pPr>
              <w:spacing w:line="360" w:lineRule="auto"/>
              <w:ind w:firstLine="1200" w:firstLineChars="500"/>
              <w:rPr>
                <w:rFonts w:hint="default" w:ascii="Times New Roman" w:hAnsi="Times New Roman" w:eastAsia="宋体" w:cs="Times New Roman"/>
                <w:color w:val="auto"/>
                <w:sz w:val="24"/>
                <w:highlight w:val="none"/>
                <w:lang w:eastAsia="zh-CN" w:bidi="ar"/>
              </w:rPr>
            </w:pPr>
            <w:r>
              <w:rPr>
                <w:rFonts w:hint="default" w:ascii="Times New Roman" w:hAnsi="Times New Roman" w:eastAsia="宋体" w:cs="Times New Roman"/>
                <w:color w:val="auto"/>
                <w:sz w:val="24"/>
                <w:highlight w:val="none"/>
                <w:lang w:bidi="ar"/>
              </w:rPr>
              <w:t>T</w:t>
            </w:r>
            <w:r>
              <w:rPr>
                <w:rFonts w:hint="default" w:ascii="Times New Roman" w:hAnsi="Times New Roman" w:eastAsia="宋体" w:cs="Times New Roman"/>
                <w:color w:val="auto"/>
                <w:sz w:val="24"/>
                <w:highlight w:val="none"/>
                <w:vertAlign w:val="subscript"/>
                <w:lang w:bidi="ar"/>
              </w:rPr>
              <w:t>m</w:t>
            </w:r>
            <w:r>
              <w:rPr>
                <w:rFonts w:hint="default" w:ascii="Times New Roman" w:hAnsi="Times New Roman" w:eastAsia="宋体" w:cs="Times New Roman"/>
                <w:color w:val="auto"/>
                <w:sz w:val="24"/>
                <w:highlight w:val="none"/>
                <w:lang w:bidi="ar"/>
              </w:rPr>
              <w:t>—堆场类型控制效率（单位：%）</w:t>
            </w:r>
            <w:r>
              <w:rPr>
                <w:rFonts w:hint="default" w:ascii="Times New Roman" w:hAnsi="Times New Roman" w:eastAsia="宋体" w:cs="Times New Roman"/>
                <w:color w:val="auto"/>
                <w:sz w:val="24"/>
                <w:highlight w:val="none"/>
                <w:lang w:eastAsia="zh-CN" w:bidi="ar"/>
              </w:rPr>
              <w:t>，</w:t>
            </w:r>
            <w:r>
              <w:rPr>
                <w:rFonts w:hint="default" w:ascii="Times New Roman" w:hAnsi="Times New Roman" w:cs="Times New Roman"/>
                <w:color w:val="auto"/>
                <w:highlight w:val="none"/>
              </w:rPr>
              <w:t>半敞开式取60％</w:t>
            </w:r>
            <w:r>
              <w:rPr>
                <w:rFonts w:hint="default" w:ascii="Times New Roman" w:hAnsi="Times New Roman" w:cs="Times New Roman"/>
                <w:color w:val="auto"/>
                <w:highlight w:val="none"/>
                <w:lang w:eastAsia="zh-CN"/>
              </w:rPr>
              <w:t>；</w:t>
            </w:r>
          </w:p>
          <w:p w14:paraId="126056DF">
            <w:pPr>
              <w:spacing w:line="360" w:lineRule="auto"/>
              <w:rPr>
                <w:rFonts w:hint="default" w:ascii="Times New Roman" w:hAnsi="Times New Roman" w:eastAsia="宋体" w:cs="Times New Roman"/>
                <w:snapToGrid w:val="0"/>
                <w:color w:val="auto"/>
                <w:kern w:val="0"/>
                <w:sz w:val="24"/>
                <w:highlight w:val="none"/>
                <w:lang w:val="en-US" w:eastAsia="zh-CN"/>
              </w:rPr>
            </w:pPr>
            <w:r>
              <w:rPr>
                <w:rFonts w:hint="default" w:ascii="Times New Roman" w:hAnsi="Times New Roman" w:cs="Times New Roman"/>
                <w:snapToGrid w:val="0"/>
                <w:color w:val="auto"/>
                <w:kern w:val="0"/>
                <w:sz w:val="24"/>
                <w:highlight w:val="none"/>
              </w:rPr>
              <w:t>由上述</w:t>
            </w:r>
            <w:r>
              <w:rPr>
                <w:rFonts w:hint="default" w:ascii="Times New Roman" w:hAnsi="Times New Roman" w:cs="Times New Roman"/>
                <w:snapToGrid w:val="0"/>
                <w:color w:val="auto"/>
                <w:kern w:val="0"/>
                <w:sz w:val="24"/>
                <w:highlight w:val="none"/>
                <w:lang w:eastAsia="zh-CN"/>
              </w:rPr>
              <w:t>公式</w:t>
            </w:r>
            <w:r>
              <w:rPr>
                <w:rFonts w:hint="default" w:ascii="Times New Roman" w:hAnsi="Times New Roman" w:cs="Times New Roman"/>
                <w:snapToGrid w:val="0"/>
                <w:color w:val="auto"/>
                <w:kern w:val="0"/>
                <w:sz w:val="24"/>
                <w:highlight w:val="none"/>
              </w:rPr>
              <w:t>计算可知，</w:t>
            </w:r>
            <w:r>
              <w:rPr>
                <w:rFonts w:hint="default" w:ascii="Times New Roman" w:hAnsi="Times New Roman" w:cs="Times New Roman"/>
                <w:snapToGrid w:val="0"/>
                <w:color w:val="auto"/>
                <w:kern w:val="0"/>
                <w:sz w:val="24"/>
                <w:highlight w:val="none"/>
                <w:lang w:val="en-US" w:eastAsia="zh-CN"/>
              </w:rPr>
              <w:t>砂料堆场</w:t>
            </w:r>
            <w:r>
              <w:rPr>
                <w:rFonts w:hint="default" w:ascii="Times New Roman" w:hAnsi="Times New Roman" w:cs="Times New Roman"/>
                <w:snapToGrid w:val="0"/>
                <w:color w:val="auto"/>
                <w:kern w:val="0"/>
                <w:sz w:val="24"/>
                <w:highlight w:val="none"/>
              </w:rPr>
              <w:t>扬尘在采取定期洒水抑尘</w:t>
            </w:r>
            <w:r>
              <w:rPr>
                <w:rFonts w:hint="default" w:ascii="Times New Roman" w:hAnsi="Times New Roman" w:cs="Times New Roman"/>
                <w:snapToGrid w:val="0"/>
                <w:color w:val="auto"/>
                <w:kern w:val="0"/>
                <w:sz w:val="24"/>
                <w:highlight w:val="none"/>
                <w:lang w:eastAsia="zh-CN"/>
              </w:rPr>
              <w:t>、</w:t>
            </w:r>
            <w:r>
              <w:rPr>
                <w:rFonts w:hint="default" w:ascii="Times New Roman" w:hAnsi="Times New Roman" w:cs="Times New Roman"/>
                <w:color w:val="auto"/>
              </w:rPr>
              <w:t>三面围挡</w:t>
            </w:r>
            <w:r>
              <w:rPr>
                <w:rFonts w:hint="default" w:ascii="Times New Roman" w:hAnsi="Times New Roman" w:cs="Times New Roman"/>
                <w:snapToGrid w:val="0"/>
                <w:color w:val="auto"/>
                <w:kern w:val="0"/>
                <w:sz w:val="24"/>
                <w:highlight w:val="none"/>
              </w:rPr>
              <w:t>等措施后，扬尘的排放量为</w:t>
            </w:r>
            <w:r>
              <w:rPr>
                <w:rFonts w:hint="default" w:ascii="Times New Roman" w:hAnsi="Times New Roman" w:cs="Times New Roman"/>
                <w:snapToGrid w:val="0"/>
                <w:color w:val="auto"/>
                <w:kern w:val="0"/>
                <w:sz w:val="24"/>
                <w:highlight w:val="none"/>
                <w:lang w:val="en-US" w:eastAsia="zh-CN"/>
              </w:rPr>
              <w:t>9.69t</w:t>
            </w:r>
            <w:r>
              <w:rPr>
                <w:rFonts w:hint="default" w:ascii="Times New Roman" w:hAnsi="Times New Roman" w:cs="Times New Roman"/>
                <w:snapToGrid w:val="0"/>
                <w:color w:val="auto"/>
                <w:kern w:val="0"/>
                <w:sz w:val="24"/>
                <w:highlight w:val="none"/>
              </w:rPr>
              <w:t>/a</w:t>
            </w:r>
            <w:r>
              <w:rPr>
                <w:rFonts w:hint="default" w:ascii="Times New Roman" w:hAnsi="Times New Roman" w:cs="Times New Roman"/>
                <w:snapToGrid w:val="0"/>
                <w:color w:val="auto"/>
                <w:kern w:val="0"/>
                <w:sz w:val="24"/>
                <w:highlight w:val="none"/>
                <w:lang w:eastAsia="zh-CN"/>
              </w:rPr>
              <w:t>，</w:t>
            </w:r>
            <w:r>
              <w:rPr>
                <w:rFonts w:hint="default" w:ascii="Times New Roman" w:hAnsi="Times New Roman" w:cs="Times New Roman"/>
                <w:snapToGrid w:val="0"/>
                <w:color w:val="auto"/>
                <w:kern w:val="0"/>
                <w:sz w:val="24"/>
                <w:highlight w:val="none"/>
                <w:lang w:val="en-US" w:eastAsia="zh-CN"/>
              </w:rPr>
              <w:t>排放速</w:t>
            </w:r>
            <w:r>
              <w:rPr>
                <w:rFonts w:hint="default" w:ascii="Times New Roman" w:hAnsi="Times New Roman" w:eastAsia="宋体" w:cs="Times New Roman"/>
                <w:snapToGrid w:val="0"/>
                <w:color w:val="auto"/>
                <w:kern w:val="0"/>
                <w:sz w:val="24"/>
                <w:highlight w:val="none"/>
                <w:lang w:val="en-US" w:eastAsia="zh-CN"/>
              </w:rPr>
              <w:t>率4.</w:t>
            </w:r>
            <w:r>
              <w:rPr>
                <w:rFonts w:hint="default" w:ascii="Times New Roman" w:hAnsi="Times New Roman" w:cs="Times New Roman"/>
                <w:snapToGrid w:val="0"/>
                <w:color w:val="auto"/>
                <w:kern w:val="0"/>
                <w:sz w:val="24"/>
                <w:highlight w:val="none"/>
                <w:lang w:val="en-US" w:eastAsia="zh-CN"/>
              </w:rPr>
              <w:t>04</w:t>
            </w:r>
            <w:r>
              <w:rPr>
                <w:rFonts w:hint="default" w:ascii="Times New Roman" w:hAnsi="Times New Roman" w:eastAsia="宋体" w:cs="Times New Roman"/>
                <w:snapToGrid w:val="0"/>
                <w:color w:val="auto"/>
                <w:kern w:val="0"/>
                <w:sz w:val="24"/>
                <w:highlight w:val="none"/>
                <w:lang w:val="en-US" w:eastAsia="zh-CN"/>
              </w:rPr>
              <w:t>kg/h。</w:t>
            </w:r>
          </w:p>
          <w:p w14:paraId="66FC2234">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rPr>
              <w:t>燃油机械尾气</w:t>
            </w:r>
          </w:p>
          <w:p w14:paraId="71B9124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矿山自卸汽车、装载机等机械以柴油作为燃料，燃烧产生一定量废气。项目使用的机械主要为工程机械如挖掘机、装载机、运输汽车等，该部分废气成分主要为SO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、CO、NO</w:t>
            </w:r>
            <w:r>
              <w:rPr>
                <w:rFonts w:hint="default" w:ascii="Times New Roman" w:hAnsi="Times New Roman" w:cs="Times New Roman"/>
                <w:color w:val="auto"/>
                <w:highlight w:val="none"/>
                <w:vertAlign w:val="subscript"/>
              </w:rPr>
              <w:t>X</w:t>
            </w:r>
            <w:r>
              <w:rPr>
                <w:rFonts w:hint="default" w:ascii="Times New Roman" w:hAnsi="Times New Roman" w:cs="Times New Roman"/>
                <w:color w:val="auto"/>
                <w:highlight w:val="none"/>
              </w:rPr>
              <w:t>和CH类化合物。通过使用优质燃油、加强机械维修和保养，可在一定程度上减少上述污染物的产生和排放量。同时通过自然扩散后对周围环境影响较小。</w:t>
            </w:r>
          </w:p>
          <w:p w14:paraId="369B9C2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rPr>
              <w:t>食堂油烟</w:t>
            </w:r>
          </w:p>
          <w:p w14:paraId="0D8DFD7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outlineLvl w:val="9"/>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eastAsia="zh-CN"/>
              </w:rPr>
              <w:t>本项目</w:t>
            </w:r>
            <w:r>
              <w:rPr>
                <w:rFonts w:hint="default" w:ascii="Times New Roman" w:hAnsi="Times New Roman" w:eastAsia="宋体" w:cs="Times New Roman"/>
                <w:color w:val="auto"/>
                <w:sz w:val="24"/>
                <w:szCs w:val="24"/>
                <w:highlight w:val="none"/>
                <w:lang w:val="en-US" w:eastAsia="zh-CN"/>
              </w:rPr>
              <w:t>劳动定员</w:t>
            </w:r>
            <w:r>
              <w:rPr>
                <w:rFonts w:hint="default" w:ascii="Times New Roman" w:hAnsi="Times New Roman"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lang w:val="zh-CN" w:eastAsia="zh-CN"/>
              </w:rPr>
              <w:t>人，根据营养膳食按每天使用食用油30g/人，在食堂烹饪过程中产生的油烟挥发量按食用油量的2%计算，项目每天提供</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zh-CN" w:eastAsia="zh-CN"/>
              </w:rPr>
              <w:t>餐，炊事时间按4h计算。</w:t>
            </w:r>
            <w:r>
              <w:rPr>
                <w:rFonts w:hint="default" w:ascii="Times New Roman" w:hAnsi="Times New Roman" w:eastAsia="宋体" w:cs="Times New Roman"/>
                <w:color w:val="auto"/>
                <w:sz w:val="24"/>
                <w:szCs w:val="24"/>
                <w:highlight w:val="none"/>
                <w:lang w:val="en-US" w:eastAsia="zh-CN"/>
              </w:rPr>
              <w:t>本次评价提出项目安装一台油烟净化器，</w:t>
            </w:r>
            <w:r>
              <w:rPr>
                <w:rFonts w:hint="default" w:ascii="Times New Roman" w:hAnsi="Times New Roman" w:eastAsia="宋体" w:cs="Times New Roman"/>
                <w:color w:val="auto"/>
                <w:sz w:val="24"/>
                <w:szCs w:val="24"/>
                <w:highlight w:val="none"/>
                <w:lang w:val="zh-CN" w:eastAsia="zh-CN"/>
              </w:rPr>
              <w:t>净化设备每天运行4h，油烟净化设施风机风量为</w:t>
            </w:r>
            <w:r>
              <w:rPr>
                <w:rFonts w:hint="default"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zh-CN" w:eastAsia="zh-CN"/>
              </w:rPr>
              <w:t>000m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zh-CN" w:eastAsia="zh-CN"/>
              </w:rPr>
              <w:t>/h</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zh-CN" w:eastAsia="zh-CN"/>
              </w:rPr>
              <w:t>处理效率不低于</w:t>
            </w:r>
            <w:r>
              <w:rPr>
                <w:rFonts w:hint="default" w:ascii="Times New Roman" w:hAnsi="Times New Roman" w:cs="Times New Roman"/>
                <w:color w:val="auto"/>
                <w:sz w:val="24"/>
                <w:szCs w:val="24"/>
                <w:highlight w:val="none"/>
                <w:lang w:val="en-US" w:eastAsia="zh-CN"/>
              </w:rPr>
              <w:t>60</w:t>
            </w:r>
            <w:r>
              <w:rPr>
                <w:rFonts w:hint="default" w:ascii="Times New Roman" w:hAnsi="Times New Roman" w:eastAsia="宋体" w:cs="Times New Roman"/>
                <w:color w:val="auto"/>
                <w:sz w:val="24"/>
                <w:szCs w:val="24"/>
                <w:highlight w:val="none"/>
                <w:lang w:val="zh-CN" w:eastAsia="zh-CN"/>
              </w:rPr>
              <w:t>%。</w:t>
            </w:r>
            <w:r>
              <w:rPr>
                <w:rFonts w:hint="default" w:ascii="Times New Roman" w:hAnsi="Times New Roman" w:eastAsia="宋体" w:cs="Times New Roman"/>
                <w:color w:val="auto"/>
                <w:sz w:val="24"/>
                <w:szCs w:val="24"/>
                <w:highlight w:val="none"/>
                <w:lang w:val="en-US" w:eastAsia="zh-CN"/>
              </w:rPr>
              <w:t>则项目油烟废气排放情况如下表所示：</w:t>
            </w:r>
          </w:p>
          <w:p w14:paraId="403085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color w:val="auto"/>
                <w:highlight w:val="none"/>
                <w:lang w:val="zh-CN" w:eastAsia="zh-CN"/>
              </w:rPr>
            </w:pPr>
            <w:r>
              <w:rPr>
                <w:rFonts w:hint="default" w:ascii="Times New Roman" w:hAnsi="Times New Roman" w:eastAsia="宋体" w:cs="Times New Roman"/>
                <w:b/>
                <w:bCs/>
                <w:color w:val="auto"/>
                <w:sz w:val="21"/>
                <w:szCs w:val="21"/>
                <w:highlight w:val="none"/>
                <w:lang w:val="en-US" w:eastAsia="zh-CN"/>
              </w:rPr>
              <w:t>表4-</w:t>
            </w:r>
            <w:r>
              <w:rPr>
                <w:rFonts w:hint="default" w:ascii="Times New Roman" w:hAnsi="Times New Roman" w:cs="Times New Roman"/>
                <w:b/>
                <w:bCs/>
                <w:color w:val="auto"/>
                <w:sz w:val="21"/>
                <w:szCs w:val="21"/>
                <w:highlight w:val="none"/>
                <w:lang w:val="en-US" w:eastAsia="zh-CN"/>
              </w:rPr>
              <w:t>6</w:t>
            </w:r>
            <w:r>
              <w:rPr>
                <w:rFonts w:hint="default" w:ascii="Times New Roman" w:hAnsi="Times New Roman" w:eastAsia="宋体" w:cs="Times New Roman"/>
                <w:b/>
                <w:bCs/>
                <w:color w:val="auto"/>
                <w:sz w:val="21"/>
                <w:szCs w:val="21"/>
                <w:highlight w:val="none"/>
                <w:lang w:val="en-US" w:eastAsia="zh-CN"/>
              </w:rPr>
              <w:t>食堂油烟产排情况一览表</w:t>
            </w:r>
          </w:p>
          <w:tbl>
            <w:tblPr>
              <w:tblStyle w:val="30"/>
              <w:tblW w:w="7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19"/>
              <w:gridCol w:w="681"/>
              <w:gridCol w:w="634"/>
              <w:gridCol w:w="750"/>
              <w:gridCol w:w="681"/>
              <w:gridCol w:w="715"/>
              <w:gridCol w:w="1127"/>
              <w:gridCol w:w="710"/>
              <w:gridCol w:w="748"/>
              <w:gridCol w:w="646"/>
              <w:gridCol w:w="684"/>
            </w:tblGrid>
            <w:tr w14:paraId="6CCB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6" w:hRule="atLeast"/>
                <w:jc w:val="center"/>
              </w:trPr>
              <w:tc>
                <w:tcPr>
                  <w:tcW w:w="328" w:type="pct"/>
                  <w:vMerge w:val="restart"/>
                  <w:noWrap w:val="0"/>
                  <w:vAlign w:val="center"/>
                </w:tcPr>
                <w:p w14:paraId="4CBACF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vertAlign w:val="baseline"/>
                      <w:lang w:val="en-US" w:eastAsia="zh-CN"/>
                    </w:rPr>
                    <w:t>用餐人数</w:t>
                  </w:r>
                </w:p>
              </w:tc>
              <w:tc>
                <w:tcPr>
                  <w:tcW w:w="431" w:type="pct"/>
                  <w:vMerge w:val="restart"/>
                  <w:noWrap w:val="0"/>
                  <w:vAlign w:val="center"/>
                </w:tcPr>
                <w:p w14:paraId="772AA1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zh-CN" w:eastAsia="zh-CN"/>
                    </w:rPr>
                    <w:t>食用油</w:t>
                  </w:r>
                  <w:r>
                    <w:rPr>
                      <w:rFonts w:hint="default" w:ascii="Times New Roman" w:hAnsi="Times New Roman" w:eastAsia="宋体" w:cs="Times New Roman"/>
                      <w:b/>
                      <w:bCs/>
                      <w:color w:val="auto"/>
                      <w:sz w:val="21"/>
                      <w:szCs w:val="21"/>
                      <w:highlight w:val="none"/>
                      <w:lang w:val="en-US" w:eastAsia="zh-CN"/>
                    </w:rPr>
                    <w:t>用量</w:t>
                  </w:r>
                </w:p>
              </w:tc>
              <w:tc>
                <w:tcPr>
                  <w:tcW w:w="1760" w:type="pct"/>
                  <w:gridSpan w:val="4"/>
                  <w:noWrap w:val="0"/>
                  <w:vAlign w:val="center"/>
                </w:tcPr>
                <w:p w14:paraId="7F314E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vertAlign w:val="baseline"/>
                      <w:lang w:val="en-US" w:eastAsia="zh-CN"/>
                    </w:rPr>
                    <w:t>油烟产生情况</w:t>
                  </w:r>
                </w:p>
              </w:tc>
              <w:tc>
                <w:tcPr>
                  <w:tcW w:w="713" w:type="pct"/>
                  <w:vMerge w:val="restart"/>
                  <w:noWrap w:val="0"/>
                  <w:vAlign w:val="center"/>
                </w:tcPr>
                <w:p w14:paraId="5C2D06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vertAlign w:val="baseline"/>
                      <w:lang w:val="en-US" w:eastAsia="zh-CN"/>
                    </w:rPr>
                    <w:t>治理措施</w:t>
                  </w:r>
                </w:p>
              </w:tc>
              <w:tc>
                <w:tcPr>
                  <w:tcW w:w="1765" w:type="pct"/>
                  <w:gridSpan w:val="4"/>
                  <w:noWrap w:val="0"/>
                  <w:vAlign w:val="center"/>
                </w:tcPr>
                <w:p w14:paraId="1AAC4F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vertAlign w:val="baseline"/>
                      <w:lang w:val="en-US" w:eastAsia="zh-CN"/>
                    </w:rPr>
                    <w:t>排放情况</w:t>
                  </w:r>
                </w:p>
              </w:tc>
            </w:tr>
            <w:tr w14:paraId="6C05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70" w:hRule="atLeast"/>
                <w:jc w:val="center"/>
              </w:trPr>
              <w:tc>
                <w:tcPr>
                  <w:tcW w:w="328" w:type="pct"/>
                  <w:vMerge w:val="continue"/>
                  <w:noWrap w:val="0"/>
                  <w:vAlign w:val="center"/>
                </w:tcPr>
                <w:p w14:paraId="379CA2D9">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31" w:type="pct"/>
                  <w:vMerge w:val="continue"/>
                  <w:noWrap w:val="0"/>
                  <w:vAlign w:val="center"/>
                </w:tcPr>
                <w:p w14:paraId="7D28F529">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c>
                <w:tcPr>
                  <w:tcW w:w="401" w:type="pct"/>
                  <w:noWrap w:val="0"/>
                  <w:vAlign w:val="center"/>
                </w:tcPr>
                <w:p w14:paraId="4F0444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zh-CN" w:eastAsia="zh-CN"/>
                    </w:rPr>
                    <w:t>kg/d</w:t>
                  </w:r>
                </w:p>
              </w:tc>
              <w:tc>
                <w:tcPr>
                  <w:tcW w:w="474" w:type="pct"/>
                  <w:noWrap w:val="0"/>
                  <w:vAlign w:val="center"/>
                </w:tcPr>
                <w:p w14:paraId="427A68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zh-CN" w:eastAsia="zh-CN"/>
                    </w:rPr>
                    <w:t>t/a</w:t>
                  </w:r>
                </w:p>
              </w:tc>
              <w:tc>
                <w:tcPr>
                  <w:tcW w:w="431" w:type="pct"/>
                  <w:noWrap w:val="0"/>
                  <w:vAlign w:val="center"/>
                </w:tcPr>
                <w:p w14:paraId="3E56AA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kg/h</w:t>
                  </w:r>
                </w:p>
              </w:tc>
              <w:tc>
                <w:tcPr>
                  <w:tcW w:w="452" w:type="pct"/>
                  <w:noWrap w:val="0"/>
                  <w:vAlign w:val="center"/>
                </w:tcPr>
                <w:p w14:paraId="22456C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zh-CN" w:eastAsia="zh-CN"/>
                    </w:rPr>
                    <w:t>mg/m</w:t>
                  </w:r>
                  <w:r>
                    <w:rPr>
                      <w:rFonts w:hint="default" w:ascii="Times New Roman" w:hAnsi="Times New Roman" w:eastAsia="宋体" w:cs="Times New Roman"/>
                      <w:b/>
                      <w:bCs/>
                      <w:color w:val="auto"/>
                      <w:sz w:val="21"/>
                      <w:szCs w:val="21"/>
                      <w:highlight w:val="none"/>
                      <w:vertAlign w:val="superscript"/>
                      <w:lang w:val="zh-CN" w:eastAsia="zh-CN"/>
                    </w:rPr>
                    <w:t>3</w:t>
                  </w:r>
                </w:p>
              </w:tc>
              <w:tc>
                <w:tcPr>
                  <w:tcW w:w="713" w:type="pct"/>
                  <w:vMerge w:val="continue"/>
                  <w:noWrap w:val="0"/>
                  <w:vAlign w:val="center"/>
                </w:tcPr>
                <w:p w14:paraId="015C81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p>
              </w:tc>
              <w:tc>
                <w:tcPr>
                  <w:tcW w:w="449" w:type="pct"/>
                  <w:noWrap w:val="0"/>
                  <w:vAlign w:val="center"/>
                </w:tcPr>
                <w:p w14:paraId="7D3A37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zh-CN" w:eastAsia="zh-CN"/>
                    </w:rPr>
                    <w:t>kg/d</w:t>
                  </w:r>
                </w:p>
              </w:tc>
              <w:tc>
                <w:tcPr>
                  <w:tcW w:w="473" w:type="pct"/>
                  <w:noWrap w:val="0"/>
                  <w:vAlign w:val="center"/>
                </w:tcPr>
                <w:p w14:paraId="46D6E3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zh-CN" w:eastAsia="zh-CN"/>
                    </w:rPr>
                    <w:t>t/a</w:t>
                  </w:r>
                </w:p>
              </w:tc>
              <w:tc>
                <w:tcPr>
                  <w:tcW w:w="409" w:type="pct"/>
                  <w:noWrap w:val="0"/>
                  <w:vAlign w:val="center"/>
                </w:tcPr>
                <w:p w14:paraId="3B403C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kg/h</w:t>
                  </w:r>
                </w:p>
              </w:tc>
              <w:tc>
                <w:tcPr>
                  <w:tcW w:w="433" w:type="pct"/>
                  <w:noWrap w:val="0"/>
                  <w:vAlign w:val="center"/>
                </w:tcPr>
                <w:p w14:paraId="715263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zh-CN" w:eastAsia="zh-CN"/>
                    </w:rPr>
                    <w:t>mg/m</w:t>
                  </w:r>
                  <w:r>
                    <w:rPr>
                      <w:rFonts w:hint="default" w:ascii="Times New Roman" w:hAnsi="Times New Roman" w:eastAsia="宋体" w:cs="Times New Roman"/>
                      <w:b/>
                      <w:bCs/>
                      <w:color w:val="auto"/>
                      <w:sz w:val="21"/>
                      <w:szCs w:val="21"/>
                      <w:highlight w:val="none"/>
                      <w:vertAlign w:val="superscript"/>
                      <w:lang w:val="zh-CN" w:eastAsia="zh-CN"/>
                    </w:rPr>
                    <w:t>3</w:t>
                  </w:r>
                </w:p>
              </w:tc>
            </w:tr>
            <w:tr w14:paraId="4BC8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94" w:hRule="atLeast"/>
                <w:jc w:val="center"/>
              </w:trPr>
              <w:tc>
                <w:tcPr>
                  <w:tcW w:w="328" w:type="pct"/>
                  <w:noWrap w:val="0"/>
                  <w:vAlign w:val="center"/>
                </w:tcPr>
                <w:p w14:paraId="314757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cs="Times New Roman"/>
                      <w:b w:val="0"/>
                      <w:bCs w:val="0"/>
                      <w:i w:val="0"/>
                      <w:iCs w:val="0"/>
                      <w:color w:val="auto"/>
                      <w:kern w:val="0"/>
                      <w:sz w:val="21"/>
                      <w:szCs w:val="21"/>
                      <w:highlight w:val="none"/>
                      <w:u w:val="none"/>
                      <w:lang w:val="en-US" w:eastAsia="zh-CN" w:bidi="ar"/>
                    </w:rPr>
                    <w:t>12</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人/d</w:t>
                  </w:r>
                </w:p>
              </w:tc>
              <w:tc>
                <w:tcPr>
                  <w:tcW w:w="431" w:type="pct"/>
                  <w:noWrap w:val="0"/>
                  <w:vAlign w:val="center"/>
                </w:tcPr>
                <w:p w14:paraId="03DB35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30g/人</w:t>
                  </w:r>
                </w:p>
              </w:tc>
              <w:tc>
                <w:tcPr>
                  <w:tcW w:w="401" w:type="pct"/>
                  <w:noWrap w:val="0"/>
                  <w:vAlign w:val="center"/>
                </w:tcPr>
                <w:p w14:paraId="4D7BA3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i w:val="0"/>
                      <w:iCs w:val="0"/>
                      <w:color w:val="auto"/>
                      <w:kern w:val="0"/>
                      <w:sz w:val="21"/>
                      <w:szCs w:val="21"/>
                      <w:highlight w:val="none"/>
                      <w:u w:val="none"/>
                      <w:lang w:val="en-US" w:eastAsia="zh-CN" w:bidi="ar"/>
                    </w:rPr>
                    <w:t>0.0072</w:t>
                  </w:r>
                </w:p>
              </w:tc>
              <w:tc>
                <w:tcPr>
                  <w:tcW w:w="474" w:type="pct"/>
                  <w:noWrap w:val="0"/>
                  <w:vAlign w:val="center"/>
                </w:tcPr>
                <w:p w14:paraId="328942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0.00216</w:t>
                  </w:r>
                </w:p>
              </w:tc>
              <w:tc>
                <w:tcPr>
                  <w:tcW w:w="431" w:type="pct"/>
                  <w:noWrap w:val="0"/>
                  <w:vAlign w:val="center"/>
                </w:tcPr>
                <w:p w14:paraId="13A7E3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0.0018</w:t>
                  </w:r>
                </w:p>
              </w:tc>
              <w:tc>
                <w:tcPr>
                  <w:tcW w:w="452" w:type="pct"/>
                  <w:noWrap w:val="0"/>
                  <w:vAlign w:val="center"/>
                </w:tcPr>
                <w:p w14:paraId="6173A6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0.90</w:t>
                  </w:r>
                </w:p>
              </w:tc>
              <w:tc>
                <w:tcPr>
                  <w:tcW w:w="713" w:type="pct"/>
                  <w:noWrap w:val="0"/>
                  <w:vAlign w:val="center"/>
                </w:tcPr>
                <w:p w14:paraId="5B718F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油烟净化器，治理效率</w:t>
                  </w:r>
                  <w:r>
                    <w:rPr>
                      <w:rFonts w:hint="default" w:ascii="Times New Roman" w:hAnsi="Times New Roman" w:cs="Times New Roman"/>
                      <w:b w:val="0"/>
                      <w:bCs w:val="0"/>
                      <w:i w:val="0"/>
                      <w:iCs w:val="0"/>
                      <w:color w:val="auto"/>
                      <w:kern w:val="0"/>
                      <w:sz w:val="21"/>
                      <w:szCs w:val="21"/>
                      <w:highlight w:val="none"/>
                      <w:u w:val="none"/>
                      <w:lang w:val="en-US" w:eastAsia="zh-CN" w:bidi="ar"/>
                    </w:rPr>
                    <w:t>60</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449" w:type="pct"/>
                  <w:noWrap w:val="0"/>
                  <w:vAlign w:val="center"/>
                </w:tcPr>
                <w:p w14:paraId="64B75D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0.00864</w:t>
                  </w:r>
                </w:p>
              </w:tc>
              <w:tc>
                <w:tcPr>
                  <w:tcW w:w="473" w:type="pct"/>
                  <w:noWrap w:val="0"/>
                  <w:vAlign w:val="center"/>
                </w:tcPr>
                <w:p w14:paraId="03A674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0.001296</w:t>
                  </w:r>
                </w:p>
              </w:tc>
              <w:tc>
                <w:tcPr>
                  <w:tcW w:w="409" w:type="pct"/>
                  <w:noWrap w:val="0"/>
                  <w:vAlign w:val="center"/>
                </w:tcPr>
                <w:p w14:paraId="0A1535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0.00108</w:t>
                  </w:r>
                </w:p>
              </w:tc>
              <w:tc>
                <w:tcPr>
                  <w:tcW w:w="433" w:type="pct"/>
                  <w:noWrap w:val="0"/>
                  <w:vAlign w:val="center"/>
                </w:tcPr>
                <w:p w14:paraId="26C7F4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0.54</w:t>
                  </w:r>
                </w:p>
              </w:tc>
            </w:tr>
          </w:tbl>
          <w:p w14:paraId="63FF5BD9">
            <w:pPr>
              <w:adjustRightInd w:val="0"/>
              <w:ind w:firstLine="482"/>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lang w:val="en-US" w:eastAsia="zh-CN"/>
              </w:rPr>
              <w:t>4、</w:t>
            </w:r>
            <w:r>
              <w:rPr>
                <w:rFonts w:hint="default" w:ascii="Times New Roman" w:hAnsi="Times New Roman" w:cs="Times New Roman"/>
                <w:b/>
                <w:color w:val="auto"/>
                <w:kern w:val="0"/>
                <w:szCs w:val="21"/>
                <w:highlight w:val="none"/>
              </w:rPr>
              <w:t>项目废气产排</w:t>
            </w:r>
            <w:r>
              <w:rPr>
                <w:rFonts w:hint="default" w:ascii="Times New Roman" w:hAnsi="Times New Roman" w:cs="Times New Roman"/>
                <w:b/>
                <w:color w:val="auto"/>
                <w:kern w:val="0"/>
                <w:szCs w:val="21"/>
                <w:highlight w:val="none"/>
                <w:lang w:val="en-US" w:eastAsia="zh-CN"/>
              </w:rPr>
              <w:t>情况</w:t>
            </w:r>
            <w:r>
              <w:rPr>
                <w:rFonts w:hint="default" w:ascii="Times New Roman" w:hAnsi="Times New Roman" w:cs="Times New Roman"/>
                <w:b/>
                <w:color w:val="auto"/>
                <w:kern w:val="0"/>
                <w:szCs w:val="21"/>
                <w:highlight w:val="none"/>
              </w:rPr>
              <w:t>汇总</w:t>
            </w:r>
          </w:p>
          <w:p w14:paraId="5673923C">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综上，项目废气产排情况见表4-</w:t>
            </w:r>
            <w:r>
              <w:rPr>
                <w:rFonts w:hint="default" w:ascii="Times New Roman" w:hAnsi="Times New Roman" w:cs="Times New Roman"/>
                <w:bCs/>
                <w:color w:val="auto"/>
                <w:kern w:val="0"/>
                <w:szCs w:val="21"/>
                <w:highlight w:val="none"/>
                <w:lang w:val="en-US" w:eastAsia="zh-CN"/>
              </w:rPr>
              <w:t>7</w:t>
            </w:r>
            <w:r>
              <w:rPr>
                <w:rFonts w:hint="default" w:ascii="Times New Roman" w:hAnsi="Times New Roman" w:cs="Times New Roman"/>
                <w:bCs/>
                <w:color w:val="auto"/>
                <w:kern w:val="0"/>
                <w:szCs w:val="21"/>
                <w:highlight w:val="none"/>
              </w:rPr>
              <w:t>：</w:t>
            </w:r>
          </w:p>
          <w:p w14:paraId="2ABDF2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color w:val="auto"/>
              </w:rPr>
            </w:pPr>
            <w:r>
              <w:rPr>
                <w:rFonts w:hint="default" w:ascii="Times New Roman" w:hAnsi="Times New Roman" w:eastAsia="宋体" w:cs="Times New Roman"/>
                <w:b/>
                <w:bCs/>
                <w:color w:val="auto"/>
                <w:sz w:val="21"/>
                <w:szCs w:val="21"/>
                <w:highlight w:val="none"/>
                <w:lang w:val="en-US" w:eastAsia="zh-CN"/>
              </w:rPr>
              <w:t>表4-</w:t>
            </w:r>
            <w:r>
              <w:rPr>
                <w:rFonts w:hint="default" w:ascii="Times New Roman" w:hAnsi="Times New Roman" w:cs="Times New Roman"/>
                <w:b/>
                <w:bCs/>
                <w:color w:val="auto"/>
                <w:sz w:val="21"/>
                <w:szCs w:val="21"/>
                <w:highlight w:val="none"/>
                <w:lang w:val="en-US" w:eastAsia="zh-CN"/>
              </w:rPr>
              <w:t>7</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rPr>
              <w:t>废气污染物源强核算一览表</w:t>
            </w:r>
          </w:p>
          <w:tbl>
            <w:tblPr>
              <w:tblStyle w:val="30"/>
              <w:tblW w:w="7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
              <w:gridCol w:w="474"/>
              <w:gridCol w:w="505"/>
              <w:gridCol w:w="395"/>
              <w:gridCol w:w="627"/>
              <w:gridCol w:w="614"/>
              <w:gridCol w:w="613"/>
              <w:gridCol w:w="1064"/>
              <w:gridCol w:w="545"/>
              <w:gridCol w:w="587"/>
              <w:gridCol w:w="613"/>
              <w:gridCol w:w="655"/>
              <w:gridCol w:w="423"/>
              <w:gridCol w:w="491"/>
            </w:tblGrid>
            <w:tr w14:paraId="4DF6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31" w:type="pct"/>
                  <w:vMerge w:val="restart"/>
                  <w:tcMar>
                    <w:left w:w="57" w:type="dxa"/>
                    <w:right w:w="57" w:type="dxa"/>
                  </w:tcMar>
                  <w:vAlign w:val="center"/>
                </w:tcPr>
                <w:p w14:paraId="53FB7F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污染源</w:t>
                  </w:r>
                </w:p>
              </w:tc>
              <w:tc>
                <w:tcPr>
                  <w:tcW w:w="297" w:type="pct"/>
                  <w:vMerge w:val="restart"/>
                  <w:tcMar>
                    <w:left w:w="57" w:type="dxa"/>
                    <w:right w:w="57" w:type="dxa"/>
                  </w:tcMar>
                  <w:vAlign w:val="center"/>
                </w:tcPr>
                <w:p w14:paraId="7259A2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生产工序</w:t>
                  </w:r>
                </w:p>
              </w:tc>
              <w:tc>
                <w:tcPr>
                  <w:tcW w:w="316" w:type="pct"/>
                  <w:vMerge w:val="restart"/>
                  <w:tcMar>
                    <w:left w:w="57" w:type="dxa"/>
                    <w:right w:w="57" w:type="dxa"/>
                  </w:tcMar>
                  <w:vAlign w:val="center"/>
                </w:tcPr>
                <w:p w14:paraId="73CB98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污染物</w:t>
                  </w:r>
                </w:p>
              </w:tc>
              <w:tc>
                <w:tcPr>
                  <w:tcW w:w="1409" w:type="pct"/>
                  <w:gridSpan w:val="4"/>
                  <w:tcMar>
                    <w:left w:w="57" w:type="dxa"/>
                    <w:right w:w="57" w:type="dxa"/>
                  </w:tcMar>
                  <w:vAlign w:val="center"/>
                </w:tcPr>
                <w:p w14:paraId="770CC4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lang w:val="en-US" w:eastAsia="zh-CN"/>
                    </w:rPr>
                    <w:t>污染物</w:t>
                  </w:r>
                  <w:r>
                    <w:rPr>
                      <w:rFonts w:hint="default" w:ascii="Times New Roman" w:hAnsi="Times New Roman" w:cs="Times New Roman"/>
                      <w:b/>
                      <w:color w:val="auto"/>
                      <w:kern w:val="0"/>
                      <w:sz w:val="21"/>
                      <w:szCs w:val="21"/>
                      <w:highlight w:val="none"/>
                    </w:rPr>
                    <w:t>产生量</w:t>
                  </w:r>
                </w:p>
              </w:tc>
              <w:tc>
                <w:tcPr>
                  <w:tcW w:w="1008" w:type="pct"/>
                  <w:gridSpan w:val="2"/>
                  <w:tcMar>
                    <w:left w:w="57" w:type="dxa"/>
                    <w:right w:w="57" w:type="dxa"/>
                  </w:tcMar>
                  <w:vAlign w:val="center"/>
                </w:tcPr>
                <w:p w14:paraId="1AC01D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lang w:val="en-US" w:eastAsia="zh-CN"/>
                    </w:rPr>
                    <w:t>治</w:t>
                  </w:r>
                  <w:r>
                    <w:rPr>
                      <w:rFonts w:hint="default" w:ascii="Times New Roman" w:hAnsi="Times New Roman" w:cs="Times New Roman"/>
                      <w:b/>
                      <w:color w:val="auto"/>
                      <w:kern w:val="0"/>
                      <w:sz w:val="21"/>
                      <w:szCs w:val="21"/>
                      <w:highlight w:val="none"/>
                    </w:rPr>
                    <w:t>理措施</w:t>
                  </w:r>
                </w:p>
              </w:tc>
              <w:tc>
                <w:tcPr>
                  <w:tcW w:w="1162" w:type="pct"/>
                  <w:gridSpan w:val="3"/>
                  <w:tcMar>
                    <w:left w:w="57" w:type="dxa"/>
                    <w:right w:w="57" w:type="dxa"/>
                  </w:tcMar>
                  <w:vAlign w:val="center"/>
                </w:tcPr>
                <w:p w14:paraId="15E7F1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auto"/>
                      <w:kern w:val="0"/>
                      <w:sz w:val="21"/>
                      <w:szCs w:val="21"/>
                      <w:highlight w:val="none"/>
                      <w:lang w:val="en-US" w:eastAsia="zh-CN"/>
                    </w:rPr>
                  </w:pPr>
                  <w:r>
                    <w:rPr>
                      <w:rFonts w:hint="default" w:ascii="Times New Roman" w:hAnsi="Times New Roman" w:cs="Times New Roman"/>
                      <w:b/>
                      <w:color w:val="auto"/>
                      <w:kern w:val="0"/>
                      <w:sz w:val="21"/>
                      <w:szCs w:val="21"/>
                      <w:highlight w:val="none"/>
                      <w:lang w:val="en-US" w:eastAsia="zh-CN"/>
                    </w:rPr>
                    <w:t>污染物排放</w:t>
                  </w:r>
                </w:p>
              </w:tc>
              <w:tc>
                <w:tcPr>
                  <w:tcW w:w="265" w:type="pct"/>
                  <w:vMerge w:val="restart"/>
                  <w:tcMar>
                    <w:left w:w="57" w:type="dxa"/>
                    <w:right w:w="57" w:type="dxa"/>
                  </w:tcMar>
                  <w:vAlign w:val="center"/>
                </w:tcPr>
                <w:p w14:paraId="7E212F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auto"/>
                      <w:kern w:val="0"/>
                      <w:sz w:val="21"/>
                      <w:szCs w:val="21"/>
                      <w:highlight w:val="none"/>
                      <w:lang w:val="en-US" w:eastAsia="zh-CN"/>
                    </w:rPr>
                  </w:pPr>
                  <w:r>
                    <w:rPr>
                      <w:rFonts w:hint="default" w:ascii="Times New Roman" w:hAnsi="Times New Roman" w:cs="Times New Roman"/>
                      <w:b/>
                      <w:color w:val="auto"/>
                      <w:kern w:val="0"/>
                      <w:sz w:val="21"/>
                      <w:szCs w:val="21"/>
                      <w:highlight w:val="none"/>
                    </w:rPr>
                    <w:t>排放方式</w:t>
                  </w:r>
                </w:p>
              </w:tc>
              <w:tc>
                <w:tcPr>
                  <w:tcW w:w="307" w:type="pct"/>
                  <w:vMerge w:val="restart"/>
                  <w:tcMar>
                    <w:left w:w="57" w:type="dxa"/>
                    <w:right w:w="57" w:type="dxa"/>
                  </w:tcMar>
                  <w:vAlign w:val="center"/>
                </w:tcPr>
                <w:p w14:paraId="1126E3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color w:val="auto"/>
                      <w:kern w:val="0"/>
                      <w:sz w:val="21"/>
                      <w:szCs w:val="21"/>
                      <w:highlight w:val="none"/>
                      <w:lang w:val="en-US" w:eastAsia="zh-CN"/>
                    </w:rPr>
                  </w:pPr>
                  <w:r>
                    <w:rPr>
                      <w:rFonts w:hint="default" w:ascii="Times New Roman" w:hAnsi="Times New Roman" w:cs="Times New Roman"/>
                      <w:b/>
                      <w:color w:val="auto"/>
                      <w:kern w:val="0"/>
                      <w:sz w:val="21"/>
                      <w:szCs w:val="21"/>
                      <w:highlight w:val="none"/>
                      <w:lang w:val="en-US" w:eastAsia="zh-CN"/>
                    </w:rPr>
                    <w:t>排放时间</w:t>
                  </w:r>
                  <w:r>
                    <w:rPr>
                      <w:rFonts w:hint="eastAsia" w:ascii="Times New Roman" w:hAnsi="Times New Roman" w:cs="Times New Roman"/>
                      <w:b/>
                      <w:color w:val="auto"/>
                      <w:kern w:val="0"/>
                      <w:sz w:val="21"/>
                      <w:szCs w:val="21"/>
                      <w:highlight w:val="none"/>
                      <w:lang w:val="en-US" w:eastAsia="zh-CN"/>
                    </w:rPr>
                    <w:t>（h）</w:t>
                  </w:r>
                </w:p>
              </w:tc>
            </w:tr>
            <w:tr w14:paraId="7E8B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jc w:val="center"/>
              </w:trPr>
              <w:tc>
                <w:tcPr>
                  <w:tcW w:w="231" w:type="pct"/>
                  <w:vMerge w:val="continue"/>
                  <w:tcMar>
                    <w:left w:w="57" w:type="dxa"/>
                    <w:right w:w="57" w:type="dxa"/>
                  </w:tcMar>
                  <w:vAlign w:val="center"/>
                </w:tcPr>
                <w:p w14:paraId="1AF77ABD">
                  <w:pPr>
                    <w:spacing w:line="240" w:lineRule="auto"/>
                    <w:ind w:firstLine="0" w:firstLineChars="0"/>
                    <w:jc w:val="center"/>
                    <w:rPr>
                      <w:rFonts w:hint="default" w:ascii="Times New Roman" w:hAnsi="Times New Roman" w:cs="Times New Roman"/>
                      <w:color w:val="auto"/>
                      <w:sz w:val="21"/>
                      <w:szCs w:val="21"/>
                    </w:rPr>
                  </w:pPr>
                </w:p>
              </w:tc>
              <w:tc>
                <w:tcPr>
                  <w:tcW w:w="297" w:type="pct"/>
                  <w:vMerge w:val="continue"/>
                  <w:tcMar>
                    <w:left w:w="57" w:type="dxa"/>
                    <w:right w:w="57" w:type="dxa"/>
                  </w:tcMar>
                  <w:vAlign w:val="center"/>
                </w:tcPr>
                <w:p w14:paraId="132047CE">
                  <w:pPr>
                    <w:spacing w:line="240" w:lineRule="auto"/>
                    <w:ind w:firstLine="0" w:firstLineChars="0"/>
                    <w:jc w:val="center"/>
                    <w:rPr>
                      <w:rFonts w:hint="default" w:ascii="Times New Roman" w:hAnsi="Times New Roman" w:cs="Times New Roman"/>
                      <w:color w:val="auto"/>
                      <w:sz w:val="21"/>
                      <w:szCs w:val="21"/>
                    </w:rPr>
                  </w:pPr>
                </w:p>
              </w:tc>
              <w:tc>
                <w:tcPr>
                  <w:tcW w:w="316" w:type="pct"/>
                  <w:vMerge w:val="continue"/>
                  <w:tcMar>
                    <w:left w:w="57" w:type="dxa"/>
                    <w:right w:w="57" w:type="dxa"/>
                  </w:tcMar>
                  <w:vAlign w:val="center"/>
                </w:tcPr>
                <w:p w14:paraId="576DB923">
                  <w:pPr>
                    <w:spacing w:line="240" w:lineRule="auto"/>
                    <w:ind w:firstLine="0" w:firstLineChars="0"/>
                    <w:jc w:val="center"/>
                    <w:rPr>
                      <w:rFonts w:hint="default" w:ascii="Times New Roman" w:hAnsi="Times New Roman" w:cs="Times New Roman"/>
                      <w:color w:val="auto"/>
                      <w:sz w:val="21"/>
                      <w:szCs w:val="21"/>
                    </w:rPr>
                  </w:pPr>
                </w:p>
              </w:tc>
              <w:tc>
                <w:tcPr>
                  <w:tcW w:w="247" w:type="pct"/>
                  <w:tcMar>
                    <w:left w:w="57" w:type="dxa"/>
                    <w:right w:w="57" w:type="dxa"/>
                  </w:tcMar>
                  <w:vAlign w:val="center"/>
                </w:tcPr>
                <w:p w14:paraId="7834121E">
                  <w:pPr>
                    <w:spacing w:line="240" w:lineRule="auto"/>
                    <w:ind w:firstLine="0" w:firstLineChars="0"/>
                    <w:jc w:val="center"/>
                    <w:rPr>
                      <w:rFonts w:hint="default" w:ascii="Times New Roman" w:hAnsi="Times New Roman" w:cs="Times New Roman"/>
                      <w:b/>
                      <w:color w:val="auto"/>
                      <w:kern w:val="0"/>
                      <w:sz w:val="21"/>
                      <w:szCs w:val="21"/>
                      <w:highlight w:val="none"/>
                      <w:lang w:val="en-US" w:eastAsia="zh-CN"/>
                    </w:rPr>
                  </w:pPr>
                  <w:r>
                    <w:rPr>
                      <w:rFonts w:hint="default" w:ascii="Times New Roman" w:hAnsi="Times New Roman" w:cs="Times New Roman"/>
                      <w:b/>
                      <w:color w:val="auto"/>
                      <w:kern w:val="0"/>
                      <w:sz w:val="21"/>
                      <w:szCs w:val="21"/>
                      <w:highlight w:val="none"/>
                      <w:lang w:val="en-US" w:eastAsia="zh-CN"/>
                    </w:rPr>
                    <w:t>核算方法</w:t>
                  </w:r>
                </w:p>
              </w:tc>
              <w:tc>
                <w:tcPr>
                  <w:tcW w:w="393" w:type="pct"/>
                  <w:tcMar>
                    <w:left w:w="57" w:type="dxa"/>
                    <w:right w:w="57" w:type="dxa"/>
                  </w:tcMar>
                  <w:vAlign w:val="center"/>
                </w:tcPr>
                <w:p w14:paraId="095EF676">
                  <w:pPr>
                    <w:spacing w:line="240" w:lineRule="auto"/>
                    <w:ind w:firstLine="0" w:firstLine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lang w:val="en-US" w:eastAsia="zh-CN"/>
                    </w:rPr>
                    <w:t>废气产生量</w:t>
                  </w:r>
                  <w:r>
                    <w:rPr>
                      <w:rFonts w:hint="default" w:ascii="Times New Roman" w:hAnsi="Times New Roman" w:cs="Times New Roman"/>
                      <w:b/>
                      <w:color w:val="auto"/>
                      <w:kern w:val="0"/>
                      <w:sz w:val="21"/>
                      <w:szCs w:val="21"/>
                      <w:highlight w:val="none"/>
                    </w:rPr>
                    <w:t>（t/a）</w:t>
                  </w:r>
                </w:p>
              </w:tc>
              <w:tc>
                <w:tcPr>
                  <w:tcW w:w="384" w:type="pct"/>
                  <w:tcMar>
                    <w:left w:w="57" w:type="dxa"/>
                    <w:right w:w="57" w:type="dxa"/>
                  </w:tcMar>
                  <w:vAlign w:val="center"/>
                </w:tcPr>
                <w:p w14:paraId="78CD1FBC">
                  <w:pPr>
                    <w:spacing w:line="240" w:lineRule="auto"/>
                    <w:ind w:firstLine="0" w:firstLineChars="0"/>
                    <w:jc w:val="center"/>
                    <w:rPr>
                      <w:rFonts w:hint="default" w:ascii="Times New Roman" w:hAnsi="Times New Roman" w:eastAsia="宋体" w:cs="Times New Roman"/>
                      <w:b/>
                      <w:color w:val="auto"/>
                      <w:kern w:val="0"/>
                      <w:sz w:val="21"/>
                      <w:szCs w:val="21"/>
                      <w:highlight w:val="none"/>
                      <w:lang w:val="en-US" w:eastAsia="zh-CN"/>
                    </w:rPr>
                  </w:pPr>
                  <w:r>
                    <w:rPr>
                      <w:rFonts w:hint="default" w:ascii="Times New Roman" w:hAnsi="Times New Roman" w:cs="Times New Roman"/>
                      <w:b/>
                      <w:color w:val="auto"/>
                      <w:kern w:val="0"/>
                      <w:sz w:val="21"/>
                      <w:szCs w:val="21"/>
                      <w:highlight w:val="none"/>
                      <w:lang w:val="en-US" w:eastAsia="zh-CN"/>
                    </w:rPr>
                    <w:t>产生速率（kg/h）</w:t>
                  </w:r>
                </w:p>
              </w:tc>
              <w:tc>
                <w:tcPr>
                  <w:tcW w:w="384" w:type="pct"/>
                  <w:tcMar>
                    <w:left w:w="57" w:type="dxa"/>
                    <w:right w:w="57" w:type="dxa"/>
                  </w:tcMar>
                  <w:vAlign w:val="center"/>
                </w:tcPr>
                <w:p w14:paraId="1E0029EE">
                  <w:pPr>
                    <w:spacing w:line="240" w:lineRule="auto"/>
                    <w:ind w:firstLine="0" w:firstLineChars="0"/>
                    <w:jc w:val="center"/>
                    <w:rPr>
                      <w:rFonts w:hint="default" w:ascii="Times New Roman" w:hAnsi="Times New Roman" w:eastAsia="宋体" w:cs="Times New Roman"/>
                      <w:b/>
                      <w:color w:val="auto"/>
                      <w:kern w:val="0"/>
                      <w:sz w:val="21"/>
                      <w:szCs w:val="21"/>
                      <w:highlight w:val="none"/>
                      <w:lang w:val="en-US" w:eastAsia="zh-CN"/>
                    </w:rPr>
                  </w:pPr>
                  <w:r>
                    <w:rPr>
                      <w:rFonts w:hint="default" w:ascii="Times New Roman" w:hAnsi="Times New Roman" w:cs="Times New Roman"/>
                      <w:b/>
                      <w:color w:val="auto"/>
                      <w:kern w:val="0"/>
                      <w:sz w:val="21"/>
                      <w:szCs w:val="21"/>
                      <w:highlight w:val="none"/>
                      <w:lang w:val="en-US" w:eastAsia="zh-CN"/>
                    </w:rPr>
                    <w:t>产生浓度</w:t>
                  </w:r>
                  <w:r>
                    <w:rPr>
                      <w:rFonts w:hint="default" w:ascii="Times New Roman" w:hAnsi="Times New Roman" w:cs="Times New Roman"/>
                      <w:b/>
                      <w:color w:val="auto"/>
                      <w:kern w:val="0"/>
                      <w:sz w:val="21"/>
                      <w:szCs w:val="21"/>
                      <w:highlight w:val="none"/>
                    </w:rPr>
                    <w:t>（mg/m</w:t>
                  </w:r>
                  <w:r>
                    <w:rPr>
                      <w:rFonts w:hint="default" w:ascii="Times New Roman" w:hAnsi="Times New Roman" w:cs="Times New Roman"/>
                      <w:b/>
                      <w:color w:val="auto"/>
                      <w:kern w:val="0"/>
                      <w:sz w:val="21"/>
                      <w:szCs w:val="21"/>
                      <w:highlight w:val="none"/>
                      <w:vertAlign w:val="superscript"/>
                    </w:rPr>
                    <w:t>3</w:t>
                  </w:r>
                  <w:r>
                    <w:rPr>
                      <w:rFonts w:hint="default" w:ascii="Times New Roman" w:hAnsi="Times New Roman" w:cs="Times New Roman"/>
                      <w:b/>
                      <w:color w:val="auto"/>
                      <w:kern w:val="0"/>
                      <w:sz w:val="21"/>
                      <w:szCs w:val="21"/>
                      <w:highlight w:val="none"/>
                    </w:rPr>
                    <w:t>）</w:t>
                  </w:r>
                </w:p>
              </w:tc>
              <w:tc>
                <w:tcPr>
                  <w:tcW w:w="667" w:type="pct"/>
                  <w:tcMar>
                    <w:left w:w="57" w:type="dxa"/>
                    <w:right w:w="57" w:type="dxa"/>
                  </w:tcMar>
                  <w:vAlign w:val="center"/>
                </w:tcPr>
                <w:p w14:paraId="565C78C3">
                  <w:pPr>
                    <w:spacing w:line="240" w:lineRule="auto"/>
                    <w:ind w:firstLine="0" w:firstLineChars="0"/>
                    <w:jc w:val="center"/>
                    <w:rPr>
                      <w:rFonts w:hint="default" w:ascii="Times New Roman" w:hAnsi="Times New Roman" w:eastAsia="宋体" w:cs="Times New Roman"/>
                      <w:b/>
                      <w:color w:val="auto"/>
                      <w:kern w:val="0"/>
                      <w:sz w:val="21"/>
                      <w:szCs w:val="21"/>
                      <w:highlight w:val="none"/>
                      <w:lang w:val="en-US" w:eastAsia="zh-CN"/>
                    </w:rPr>
                  </w:pPr>
                  <w:r>
                    <w:rPr>
                      <w:rFonts w:hint="default" w:ascii="Times New Roman" w:hAnsi="Times New Roman" w:cs="Times New Roman"/>
                      <w:b/>
                      <w:color w:val="auto"/>
                      <w:kern w:val="0"/>
                      <w:sz w:val="21"/>
                      <w:szCs w:val="21"/>
                      <w:highlight w:val="none"/>
                      <w:lang w:val="en-US" w:eastAsia="zh-CN"/>
                    </w:rPr>
                    <w:t>工艺</w:t>
                  </w:r>
                </w:p>
              </w:tc>
              <w:tc>
                <w:tcPr>
                  <w:tcW w:w="341" w:type="pct"/>
                  <w:tcMar>
                    <w:left w:w="57" w:type="dxa"/>
                    <w:right w:w="57" w:type="dxa"/>
                  </w:tcMar>
                  <w:vAlign w:val="center"/>
                </w:tcPr>
                <w:p w14:paraId="12444756">
                  <w:pPr>
                    <w:spacing w:line="240" w:lineRule="auto"/>
                    <w:ind w:firstLine="0" w:firstLineChars="0"/>
                    <w:jc w:val="center"/>
                    <w:rPr>
                      <w:rFonts w:hint="default" w:ascii="Times New Roman" w:hAnsi="Times New Roman" w:eastAsia="宋体" w:cs="Times New Roman"/>
                      <w:b/>
                      <w:color w:val="auto"/>
                      <w:kern w:val="0"/>
                      <w:sz w:val="21"/>
                      <w:szCs w:val="21"/>
                      <w:highlight w:val="none"/>
                      <w:lang w:val="en-US" w:eastAsia="zh-CN"/>
                    </w:rPr>
                  </w:pPr>
                  <w:r>
                    <w:rPr>
                      <w:rFonts w:hint="default" w:ascii="Times New Roman" w:hAnsi="Times New Roman" w:cs="Times New Roman"/>
                      <w:b/>
                      <w:color w:val="auto"/>
                      <w:kern w:val="0"/>
                      <w:sz w:val="21"/>
                      <w:szCs w:val="21"/>
                      <w:highlight w:val="none"/>
                      <w:lang w:val="en-US" w:eastAsia="zh-CN"/>
                    </w:rPr>
                    <w:t>效率（%）</w:t>
                  </w:r>
                </w:p>
              </w:tc>
              <w:tc>
                <w:tcPr>
                  <w:tcW w:w="367" w:type="pct"/>
                  <w:tcMar>
                    <w:left w:w="57" w:type="dxa"/>
                    <w:right w:w="57" w:type="dxa"/>
                  </w:tcMar>
                  <w:vAlign w:val="center"/>
                </w:tcPr>
                <w:p w14:paraId="19E264BD">
                  <w:pPr>
                    <w:spacing w:line="240" w:lineRule="auto"/>
                    <w:ind w:firstLine="0" w:firstLineChars="0"/>
                    <w:jc w:val="center"/>
                    <w:rPr>
                      <w:rFonts w:hint="default" w:ascii="Times New Roman" w:hAnsi="Times New Roman" w:cs="Times New Roman"/>
                      <w:b/>
                      <w:color w:val="auto"/>
                      <w:kern w:val="0"/>
                      <w:sz w:val="21"/>
                      <w:szCs w:val="21"/>
                      <w:highlight w:val="none"/>
                    </w:rPr>
                  </w:pPr>
                  <w:r>
                    <w:rPr>
                      <w:rFonts w:hint="default" w:ascii="Times New Roman" w:hAnsi="Times New Roman" w:cs="Times New Roman"/>
                      <w:b/>
                      <w:color w:val="auto"/>
                      <w:kern w:val="0"/>
                      <w:sz w:val="21"/>
                      <w:szCs w:val="21"/>
                      <w:highlight w:val="none"/>
                    </w:rPr>
                    <w:t>排放量（t/a）</w:t>
                  </w:r>
                </w:p>
              </w:tc>
              <w:tc>
                <w:tcPr>
                  <w:tcW w:w="384" w:type="pct"/>
                  <w:tcMar>
                    <w:left w:w="57" w:type="dxa"/>
                    <w:right w:w="57" w:type="dxa"/>
                  </w:tcMar>
                  <w:vAlign w:val="center"/>
                </w:tcPr>
                <w:p w14:paraId="6DA29EDA">
                  <w:pPr>
                    <w:spacing w:line="240" w:lineRule="auto"/>
                    <w:ind w:firstLine="0" w:firstLineChars="0"/>
                    <w:jc w:val="center"/>
                    <w:rPr>
                      <w:rFonts w:hint="default" w:ascii="Times New Roman" w:hAnsi="Times New Roman"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lang w:val="en-US" w:eastAsia="zh-CN"/>
                    </w:rPr>
                    <w:t>排放速率（kg/h）</w:t>
                  </w:r>
                </w:p>
              </w:tc>
              <w:tc>
                <w:tcPr>
                  <w:tcW w:w="410" w:type="pct"/>
                  <w:tcMar>
                    <w:left w:w="57" w:type="dxa"/>
                    <w:right w:w="57" w:type="dxa"/>
                  </w:tcMar>
                  <w:vAlign w:val="center"/>
                </w:tcPr>
                <w:p w14:paraId="43D961B8">
                  <w:pPr>
                    <w:spacing w:line="240" w:lineRule="auto"/>
                    <w:ind w:firstLine="0" w:firstLineChars="0"/>
                    <w:jc w:val="center"/>
                    <w:rPr>
                      <w:rFonts w:hint="default" w:ascii="Times New Roman" w:hAnsi="Times New Roman"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lang w:val="en-US" w:eastAsia="zh-CN"/>
                    </w:rPr>
                    <w:t>排放浓度（mg/m</w:t>
                  </w:r>
                  <w:r>
                    <w:rPr>
                      <w:rFonts w:hint="default" w:ascii="Times New Roman" w:hAnsi="Times New Roman" w:eastAsia="宋体" w:cs="Times New Roman"/>
                      <w:b/>
                      <w:color w:val="auto"/>
                      <w:kern w:val="0"/>
                      <w:sz w:val="21"/>
                      <w:szCs w:val="21"/>
                      <w:highlight w:val="none"/>
                      <w:vertAlign w:val="superscript"/>
                      <w:lang w:val="en-US" w:eastAsia="zh-CN"/>
                    </w:rPr>
                    <w:t>3</w:t>
                  </w:r>
                  <w:r>
                    <w:rPr>
                      <w:rFonts w:hint="default" w:ascii="Times New Roman" w:hAnsi="Times New Roman" w:eastAsia="宋体" w:cs="Times New Roman"/>
                      <w:b/>
                      <w:color w:val="auto"/>
                      <w:kern w:val="0"/>
                      <w:sz w:val="21"/>
                      <w:szCs w:val="21"/>
                      <w:highlight w:val="none"/>
                      <w:lang w:val="en-US" w:eastAsia="zh-CN"/>
                    </w:rPr>
                    <w:t>）</w:t>
                  </w:r>
                </w:p>
              </w:tc>
              <w:tc>
                <w:tcPr>
                  <w:tcW w:w="265" w:type="pct"/>
                  <w:vMerge w:val="continue"/>
                  <w:tcMar>
                    <w:left w:w="57" w:type="dxa"/>
                    <w:right w:w="57" w:type="dxa"/>
                  </w:tcMar>
                  <w:vAlign w:val="center"/>
                </w:tcPr>
                <w:p w14:paraId="4C0AF67A">
                  <w:pPr>
                    <w:spacing w:line="240" w:lineRule="auto"/>
                    <w:ind w:firstLine="0" w:firstLineChars="0"/>
                    <w:jc w:val="center"/>
                    <w:rPr>
                      <w:rFonts w:hint="default" w:ascii="Times New Roman" w:hAnsi="Times New Roman" w:cs="Times New Roman"/>
                      <w:b/>
                      <w:color w:val="auto"/>
                      <w:kern w:val="0"/>
                      <w:sz w:val="21"/>
                      <w:szCs w:val="21"/>
                      <w:highlight w:val="none"/>
                    </w:rPr>
                  </w:pPr>
                </w:p>
              </w:tc>
              <w:tc>
                <w:tcPr>
                  <w:tcW w:w="307" w:type="pct"/>
                  <w:vMerge w:val="continue"/>
                  <w:tcMar>
                    <w:left w:w="57" w:type="dxa"/>
                    <w:right w:w="57" w:type="dxa"/>
                  </w:tcMar>
                  <w:vAlign w:val="center"/>
                </w:tcPr>
                <w:p w14:paraId="5352D45E">
                  <w:pPr>
                    <w:spacing w:line="240" w:lineRule="auto"/>
                    <w:ind w:firstLine="0" w:firstLineChars="0"/>
                    <w:jc w:val="center"/>
                    <w:rPr>
                      <w:rFonts w:hint="default" w:ascii="Times New Roman" w:hAnsi="Times New Roman" w:cs="Times New Roman"/>
                      <w:b/>
                      <w:color w:val="auto"/>
                      <w:kern w:val="0"/>
                      <w:sz w:val="21"/>
                      <w:szCs w:val="21"/>
                      <w:highlight w:val="none"/>
                    </w:rPr>
                  </w:pPr>
                </w:p>
              </w:tc>
            </w:tr>
            <w:tr w14:paraId="46711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31" w:type="pct"/>
                  <w:vMerge w:val="restart"/>
                  <w:tcMar>
                    <w:left w:w="57" w:type="dxa"/>
                    <w:right w:w="57" w:type="dxa"/>
                  </w:tcMar>
                  <w:vAlign w:val="center"/>
                </w:tcPr>
                <w:p w14:paraId="76E366BE">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露天开采区</w:t>
                  </w:r>
                </w:p>
              </w:tc>
              <w:tc>
                <w:tcPr>
                  <w:tcW w:w="297" w:type="pct"/>
                  <w:tcMar>
                    <w:left w:w="57" w:type="dxa"/>
                    <w:right w:w="57" w:type="dxa"/>
                  </w:tcMar>
                  <w:vAlign w:val="center"/>
                </w:tcPr>
                <w:p w14:paraId="0CE98941">
                  <w:pPr>
                    <w:autoSpaceDE w:val="0"/>
                    <w:autoSpaceDN w:val="0"/>
                    <w:adjustRightIn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露天开采</w:t>
                  </w:r>
                  <w:r>
                    <w:rPr>
                      <w:rFonts w:hint="default" w:ascii="Times New Roman" w:hAnsi="Times New Roman" w:cs="Times New Roman"/>
                      <w:color w:val="auto"/>
                      <w:kern w:val="0"/>
                      <w:sz w:val="21"/>
                      <w:szCs w:val="21"/>
                      <w:highlight w:val="none"/>
                      <w:lang w:val="en-US" w:eastAsia="zh-CN"/>
                    </w:rPr>
                    <w:t>扬尘</w:t>
                  </w:r>
                </w:p>
              </w:tc>
              <w:tc>
                <w:tcPr>
                  <w:tcW w:w="316" w:type="pct"/>
                  <w:tcMar>
                    <w:left w:w="57" w:type="dxa"/>
                    <w:right w:w="57" w:type="dxa"/>
                  </w:tcMar>
                  <w:vAlign w:val="center"/>
                </w:tcPr>
                <w:p w14:paraId="76432A66">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TSP</w:t>
                  </w:r>
                </w:p>
              </w:tc>
              <w:tc>
                <w:tcPr>
                  <w:tcW w:w="247" w:type="pct"/>
                  <w:vMerge w:val="restart"/>
                  <w:tcMar>
                    <w:left w:w="57" w:type="dxa"/>
                    <w:right w:w="57" w:type="dxa"/>
                  </w:tcMar>
                  <w:vAlign w:val="center"/>
                </w:tcPr>
                <w:p w14:paraId="486FC4B6">
                  <w:pPr>
                    <w:autoSpaceDE w:val="0"/>
                    <w:autoSpaceDN w:val="0"/>
                    <w:adjustRightIn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产污系数</w:t>
                  </w:r>
                </w:p>
              </w:tc>
              <w:tc>
                <w:tcPr>
                  <w:tcW w:w="393" w:type="pct"/>
                  <w:tcMar>
                    <w:left w:w="57" w:type="dxa"/>
                    <w:right w:w="57" w:type="dxa"/>
                  </w:tcMar>
                  <w:vAlign w:val="center"/>
                </w:tcPr>
                <w:p w14:paraId="09BE7635">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5.7</w:t>
                  </w:r>
                </w:p>
              </w:tc>
              <w:tc>
                <w:tcPr>
                  <w:tcW w:w="384" w:type="pct"/>
                  <w:tcMar>
                    <w:left w:w="57" w:type="dxa"/>
                    <w:right w:w="57" w:type="dxa"/>
                  </w:tcMar>
                  <w:vAlign w:val="center"/>
                </w:tcPr>
                <w:p w14:paraId="6D2C2986">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2.375</w:t>
                  </w:r>
                </w:p>
              </w:tc>
              <w:tc>
                <w:tcPr>
                  <w:tcW w:w="384" w:type="pct"/>
                  <w:tcMar>
                    <w:left w:w="57" w:type="dxa"/>
                    <w:right w:w="57" w:type="dxa"/>
                  </w:tcMar>
                  <w:vAlign w:val="center"/>
                </w:tcPr>
                <w:p w14:paraId="54B54D07">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667" w:type="pct"/>
                  <w:tcMar>
                    <w:left w:w="57" w:type="dxa"/>
                    <w:right w:w="57" w:type="dxa"/>
                  </w:tcMar>
                  <w:vAlign w:val="center"/>
                </w:tcPr>
                <w:p w14:paraId="6AC97923">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洒水降尘</w:t>
                  </w:r>
                </w:p>
              </w:tc>
              <w:tc>
                <w:tcPr>
                  <w:tcW w:w="341" w:type="pct"/>
                  <w:tcMar>
                    <w:left w:w="57" w:type="dxa"/>
                    <w:right w:w="57" w:type="dxa"/>
                  </w:tcMar>
                  <w:vAlign w:val="center"/>
                </w:tcPr>
                <w:p w14:paraId="38F10329">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7</w:t>
                  </w:r>
                  <w:r>
                    <w:rPr>
                      <w:rFonts w:hint="default" w:ascii="Times New Roman" w:hAnsi="Times New Roman" w:cs="Times New Roman"/>
                      <w:color w:val="auto"/>
                      <w:kern w:val="0"/>
                      <w:sz w:val="21"/>
                      <w:szCs w:val="21"/>
                      <w:highlight w:val="none"/>
                      <w:lang w:val="en-US" w:eastAsia="zh-CN"/>
                    </w:rPr>
                    <w:t>4</w:t>
                  </w:r>
                </w:p>
              </w:tc>
              <w:tc>
                <w:tcPr>
                  <w:tcW w:w="367" w:type="pct"/>
                  <w:tcMar>
                    <w:left w:w="57" w:type="dxa"/>
                    <w:right w:w="57" w:type="dxa"/>
                  </w:tcMar>
                  <w:vAlign w:val="center"/>
                </w:tcPr>
                <w:p w14:paraId="4E392229">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1.482</w:t>
                  </w:r>
                </w:p>
              </w:tc>
              <w:tc>
                <w:tcPr>
                  <w:tcW w:w="384" w:type="pct"/>
                  <w:tcMar>
                    <w:left w:w="57" w:type="dxa"/>
                    <w:right w:w="57" w:type="dxa"/>
                  </w:tcMar>
                  <w:vAlign w:val="center"/>
                </w:tcPr>
                <w:p w14:paraId="00E04ED9">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0.618</w:t>
                  </w:r>
                </w:p>
              </w:tc>
              <w:tc>
                <w:tcPr>
                  <w:tcW w:w="410" w:type="pct"/>
                  <w:tcMar>
                    <w:left w:w="57" w:type="dxa"/>
                    <w:right w:w="57" w:type="dxa"/>
                  </w:tcMar>
                  <w:vAlign w:val="center"/>
                </w:tcPr>
                <w:p w14:paraId="383D870A">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265" w:type="pct"/>
                  <w:vMerge w:val="restart"/>
                  <w:tcMar>
                    <w:left w:w="57" w:type="dxa"/>
                    <w:right w:w="57" w:type="dxa"/>
                  </w:tcMar>
                  <w:vAlign w:val="center"/>
                </w:tcPr>
                <w:p w14:paraId="2B726AEB">
                  <w:pPr>
                    <w:spacing w:line="240" w:lineRule="auto"/>
                    <w:ind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无组织</w:t>
                  </w:r>
                </w:p>
                <w:p w14:paraId="043A6853">
                  <w:pPr>
                    <w:spacing w:line="240" w:lineRule="auto"/>
                    <w:ind w:firstLine="0" w:firstLineChars="0"/>
                    <w:jc w:val="center"/>
                    <w:rPr>
                      <w:rFonts w:hint="default" w:ascii="Times New Roman" w:hAnsi="Times New Roman" w:eastAsia="宋体" w:cs="Times New Roman"/>
                      <w:color w:val="auto"/>
                      <w:kern w:val="0"/>
                      <w:sz w:val="21"/>
                      <w:szCs w:val="21"/>
                      <w:highlight w:val="none"/>
                    </w:rPr>
                  </w:pPr>
                </w:p>
              </w:tc>
              <w:tc>
                <w:tcPr>
                  <w:tcW w:w="307" w:type="pct"/>
                  <w:tcMar>
                    <w:left w:w="57" w:type="dxa"/>
                    <w:right w:w="57" w:type="dxa"/>
                  </w:tcMar>
                  <w:vAlign w:val="center"/>
                </w:tcPr>
                <w:p w14:paraId="67995363">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2400</w:t>
                  </w:r>
                </w:p>
              </w:tc>
            </w:tr>
            <w:tr w14:paraId="4E55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231" w:type="pct"/>
                  <w:vMerge w:val="continue"/>
                  <w:tcMar>
                    <w:left w:w="57" w:type="dxa"/>
                    <w:right w:w="57" w:type="dxa"/>
                  </w:tcMar>
                  <w:vAlign w:val="center"/>
                </w:tcPr>
                <w:p w14:paraId="61C577BC">
                  <w:pPr>
                    <w:spacing w:line="240" w:lineRule="auto"/>
                    <w:ind w:firstLine="0" w:firstLineChars="0"/>
                    <w:jc w:val="center"/>
                    <w:rPr>
                      <w:rFonts w:hint="default" w:ascii="Times New Roman" w:hAnsi="Times New Roman" w:cs="Times New Roman"/>
                      <w:color w:val="auto"/>
                      <w:kern w:val="0"/>
                      <w:sz w:val="21"/>
                      <w:szCs w:val="21"/>
                      <w:highlight w:val="none"/>
                    </w:rPr>
                  </w:pPr>
                </w:p>
              </w:tc>
              <w:tc>
                <w:tcPr>
                  <w:tcW w:w="297" w:type="pct"/>
                  <w:vMerge w:val="restart"/>
                  <w:tcMar>
                    <w:left w:w="57" w:type="dxa"/>
                    <w:right w:w="57" w:type="dxa"/>
                  </w:tcMar>
                  <w:vAlign w:val="center"/>
                </w:tcPr>
                <w:p w14:paraId="2861E7FE">
                  <w:pPr>
                    <w:autoSpaceDE w:val="0"/>
                    <w:autoSpaceDN w:val="0"/>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爆破废气</w:t>
                  </w:r>
                </w:p>
              </w:tc>
              <w:tc>
                <w:tcPr>
                  <w:tcW w:w="316" w:type="pct"/>
                  <w:tcMar>
                    <w:left w:w="57" w:type="dxa"/>
                    <w:right w:w="57" w:type="dxa"/>
                  </w:tcMar>
                  <w:vAlign w:val="center"/>
                </w:tcPr>
                <w:p w14:paraId="32C669BE">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TSP</w:t>
                  </w:r>
                </w:p>
              </w:tc>
              <w:tc>
                <w:tcPr>
                  <w:tcW w:w="247" w:type="pct"/>
                  <w:vMerge w:val="continue"/>
                  <w:tcMar>
                    <w:left w:w="57" w:type="dxa"/>
                    <w:right w:w="57" w:type="dxa"/>
                  </w:tcMar>
                  <w:vAlign w:val="center"/>
                </w:tcPr>
                <w:p w14:paraId="15557F34">
                  <w:pPr>
                    <w:autoSpaceDE w:val="0"/>
                    <w:autoSpaceDN w:val="0"/>
                    <w:adjustRightIn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393" w:type="pct"/>
                  <w:tcMar>
                    <w:left w:w="57" w:type="dxa"/>
                    <w:right w:w="57" w:type="dxa"/>
                  </w:tcMar>
                  <w:vAlign w:val="center"/>
                </w:tcPr>
                <w:p w14:paraId="0B0E9594">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4.782</w:t>
                  </w:r>
                </w:p>
              </w:tc>
              <w:tc>
                <w:tcPr>
                  <w:tcW w:w="384" w:type="pct"/>
                  <w:tcMar>
                    <w:left w:w="57" w:type="dxa"/>
                    <w:right w:w="57" w:type="dxa"/>
                  </w:tcMar>
                  <w:vAlign w:val="center"/>
                </w:tcPr>
                <w:p w14:paraId="2959D03A">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119.558</w:t>
                  </w:r>
                </w:p>
              </w:tc>
              <w:tc>
                <w:tcPr>
                  <w:tcW w:w="384" w:type="pct"/>
                  <w:tcMar>
                    <w:left w:w="57" w:type="dxa"/>
                    <w:right w:w="57" w:type="dxa"/>
                  </w:tcMar>
                  <w:vAlign w:val="center"/>
                </w:tcPr>
                <w:p w14:paraId="29BB230F">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667" w:type="pct"/>
                  <w:tcMar>
                    <w:left w:w="57" w:type="dxa"/>
                    <w:right w:w="57" w:type="dxa"/>
                  </w:tcMar>
                  <w:vAlign w:val="center"/>
                </w:tcPr>
                <w:p w14:paraId="1703F60C">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湿式钻孔+洒水降尘</w:t>
                  </w:r>
                </w:p>
              </w:tc>
              <w:tc>
                <w:tcPr>
                  <w:tcW w:w="341" w:type="pct"/>
                  <w:tcMar>
                    <w:left w:w="57" w:type="dxa"/>
                    <w:right w:w="57" w:type="dxa"/>
                  </w:tcMar>
                  <w:vAlign w:val="center"/>
                </w:tcPr>
                <w:p w14:paraId="08CD5C8C">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74</w:t>
                  </w:r>
                </w:p>
              </w:tc>
              <w:tc>
                <w:tcPr>
                  <w:tcW w:w="367" w:type="pct"/>
                  <w:tcMar>
                    <w:left w:w="57" w:type="dxa"/>
                    <w:right w:w="57" w:type="dxa"/>
                  </w:tcMar>
                  <w:vAlign w:val="center"/>
                </w:tcPr>
                <w:p w14:paraId="66B86D88">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1.243</w:t>
                  </w:r>
                </w:p>
              </w:tc>
              <w:tc>
                <w:tcPr>
                  <w:tcW w:w="384" w:type="pct"/>
                  <w:tcMar>
                    <w:left w:w="57" w:type="dxa"/>
                    <w:right w:w="57" w:type="dxa"/>
                  </w:tcMar>
                  <w:vAlign w:val="center"/>
                </w:tcPr>
                <w:p w14:paraId="193ECF05">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31.083</w:t>
                  </w:r>
                </w:p>
              </w:tc>
              <w:tc>
                <w:tcPr>
                  <w:tcW w:w="410" w:type="pct"/>
                  <w:tcMar>
                    <w:left w:w="57" w:type="dxa"/>
                    <w:right w:w="57" w:type="dxa"/>
                  </w:tcMar>
                  <w:vAlign w:val="center"/>
                </w:tcPr>
                <w:p w14:paraId="5C8E3F4C">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265" w:type="pct"/>
                  <w:vMerge w:val="continue"/>
                  <w:tcMar>
                    <w:left w:w="57" w:type="dxa"/>
                    <w:right w:w="57" w:type="dxa"/>
                  </w:tcMar>
                  <w:vAlign w:val="center"/>
                </w:tcPr>
                <w:p w14:paraId="128C054F">
                  <w:pPr>
                    <w:spacing w:line="240" w:lineRule="auto"/>
                    <w:ind w:firstLine="0" w:firstLineChars="0"/>
                    <w:jc w:val="center"/>
                    <w:rPr>
                      <w:rFonts w:hint="default" w:ascii="Times New Roman" w:hAnsi="Times New Roman" w:eastAsia="宋体" w:cs="Times New Roman"/>
                      <w:color w:val="auto"/>
                      <w:kern w:val="0"/>
                      <w:sz w:val="21"/>
                      <w:szCs w:val="21"/>
                      <w:highlight w:val="none"/>
                    </w:rPr>
                  </w:pPr>
                </w:p>
              </w:tc>
              <w:tc>
                <w:tcPr>
                  <w:tcW w:w="307" w:type="pct"/>
                  <w:tcMar>
                    <w:left w:w="57" w:type="dxa"/>
                    <w:right w:w="57" w:type="dxa"/>
                  </w:tcMar>
                  <w:vAlign w:val="center"/>
                </w:tcPr>
                <w:p w14:paraId="0CEC31AB">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40</w:t>
                  </w:r>
                </w:p>
              </w:tc>
            </w:tr>
            <w:tr w14:paraId="6914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231" w:type="pct"/>
                  <w:vMerge w:val="continue"/>
                  <w:tcMar>
                    <w:left w:w="57" w:type="dxa"/>
                    <w:right w:w="57" w:type="dxa"/>
                  </w:tcMar>
                  <w:vAlign w:val="center"/>
                </w:tcPr>
                <w:p w14:paraId="4B57A3DD">
                  <w:pPr>
                    <w:spacing w:line="240" w:lineRule="auto"/>
                    <w:ind w:firstLine="0" w:firstLineChars="0"/>
                    <w:jc w:val="center"/>
                    <w:rPr>
                      <w:rFonts w:hint="default" w:ascii="Times New Roman" w:hAnsi="Times New Roman" w:cs="Times New Roman"/>
                      <w:color w:val="auto"/>
                      <w:kern w:val="0"/>
                      <w:sz w:val="21"/>
                      <w:szCs w:val="21"/>
                      <w:highlight w:val="none"/>
                    </w:rPr>
                  </w:pPr>
                </w:p>
              </w:tc>
              <w:tc>
                <w:tcPr>
                  <w:tcW w:w="297" w:type="pct"/>
                  <w:vMerge w:val="continue"/>
                  <w:tcMar>
                    <w:left w:w="57" w:type="dxa"/>
                    <w:right w:w="57" w:type="dxa"/>
                  </w:tcMar>
                  <w:vAlign w:val="center"/>
                </w:tcPr>
                <w:p w14:paraId="3460DAFC">
                  <w:pPr>
                    <w:autoSpaceDE w:val="0"/>
                    <w:autoSpaceDN w:val="0"/>
                    <w:adjustRightInd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316" w:type="pct"/>
                  <w:tcMar>
                    <w:left w:w="57" w:type="dxa"/>
                    <w:right w:w="57" w:type="dxa"/>
                  </w:tcMar>
                  <w:vAlign w:val="center"/>
                </w:tcPr>
                <w:p w14:paraId="2AD33729">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CO</w:t>
                  </w:r>
                </w:p>
              </w:tc>
              <w:tc>
                <w:tcPr>
                  <w:tcW w:w="247" w:type="pct"/>
                  <w:vMerge w:val="continue"/>
                  <w:tcMar>
                    <w:left w:w="57" w:type="dxa"/>
                    <w:right w:w="57" w:type="dxa"/>
                  </w:tcMar>
                  <w:vAlign w:val="center"/>
                </w:tcPr>
                <w:p w14:paraId="22678DC6">
                  <w:pPr>
                    <w:autoSpaceDE w:val="0"/>
                    <w:autoSpaceDN w:val="0"/>
                    <w:adjustRightIn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393" w:type="pct"/>
                  <w:tcMar>
                    <w:left w:w="57" w:type="dxa"/>
                    <w:right w:w="57" w:type="dxa"/>
                  </w:tcMar>
                  <w:vAlign w:val="center"/>
                </w:tcPr>
                <w:p w14:paraId="2CAF5550">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0.468</w:t>
                  </w:r>
                </w:p>
              </w:tc>
              <w:tc>
                <w:tcPr>
                  <w:tcW w:w="384" w:type="pct"/>
                  <w:tcMar>
                    <w:left w:w="57" w:type="dxa"/>
                    <w:right w:w="57" w:type="dxa"/>
                  </w:tcMar>
                  <w:vAlign w:val="center"/>
                </w:tcPr>
                <w:p w14:paraId="1F8217D6">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11.7</w:t>
                  </w:r>
                </w:p>
              </w:tc>
              <w:tc>
                <w:tcPr>
                  <w:tcW w:w="384" w:type="pct"/>
                  <w:tcMar>
                    <w:left w:w="57" w:type="dxa"/>
                    <w:right w:w="57" w:type="dxa"/>
                  </w:tcMar>
                  <w:vAlign w:val="center"/>
                </w:tcPr>
                <w:p w14:paraId="55F4A016">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667" w:type="pct"/>
                  <w:tcMar>
                    <w:left w:w="57" w:type="dxa"/>
                    <w:right w:w="57" w:type="dxa"/>
                  </w:tcMar>
                  <w:vAlign w:val="center"/>
                </w:tcPr>
                <w:p w14:paraId="24211F6B">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w:t>
                  </w:r>
                </w:p>
              </w:tc>
              <w:tc>
                <w:tcPr>
                  <w:tcW w:w="341" w:type="pct"/>
                  <w:tcMar>
                    <w:left w:w="57" w:type="dxa"/>
                    <w:right w:w="57" w:type="dxa"/>
                  </w:tcMar>
                  <w:vAlign w:val="center"/>
                </w:tcPr>
                <w:p w14:paraId="651476AE">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587" w:type="dxa"/>
                  <w:tcMar>
                    <w:left w:w="57" w:type="dxa"/>
                    <w:right w:w="57" w:type="dxa"/>
                  </w:tcMar>
                  <w:vAlign w:val="center"/>
                </w:tcPr>
                <w:p w14:paraId="66E099A2">
                  <w:pPr>
                    <w:spacing w:line="240" w:lineRule="auto"/>
                    <w:ind w:firstLine="0" w:firstLineChars="0"/>
                    <w:jc w:val="center"/>
                    <w:rPr>
                      <w:rFonts w:hint="default"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0.468</w:t>
                  </w:r>
                </w:p>
              </w:tc>
              <w:tc>
                <w:tcPr>
                  <w:tcW w:w="613" w:type="dxa"/>
                  <w:tcMar>
                    <w:left w:w="57" w:type="dxa"/>
                    <w:right w:w="57" w:type="dxa"/>
                  </w:tcMar>
                  <w:vAlign w:val="center"/>
                </w:tcPr>
                <w:p w14:paraId="5510CE58">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11.7</w:t>
                  </w:r>
                </w:p>
              </w:tc>
              <w:tc>
                <w:tcPr>
                  <w:tcW w:w="410" w:type="pct"/>
                  <w:tcMar>
                    <w:left w:w="57" w:type="dxa"/>
                    <w:right w:w="57" w:type="dxa"/>
                  </w:tcMar>
                  <w:vAlign w:val="center"/>
                </w:tcPr>
                <w:p w14:paraId="5D9BA9B3">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265" w:type="pct"/>
                  <w:vMerge w:val="continue"/>
                  <w:tcMar>
                    <w:left w:w="57" w:type="dxa"/>
                    <w:right w:w="57" w:type="dxa"/>
                  </w:tcMar>
                  <w:vAlign w:val="center"/>
                </w:tcPr>
                <w:p w14:paraId="3F057B43">
                  <w:pPr>
                    <w:spacing w:line="240" w:lineRule="auto"/>
                    <w:ind w:firstLine="0" w:firstLineChars="0"/>
                    <w:jc w:val="center"/>
                    <w:rPr>
                      <w:rFonts w:hint="default" w:ascii="Times New Roman" w:hAnsi="Times New Roman" w:eastAsia="宋体" w:cs="Times New Roman"/>
                      <w:color w:val="auto"/>
                      <w:kern w:val="0"/>
                      <w:sz w:val="21"/>
                      <w:szCs w:val="21"/>
                      <w:highlight w:val="none"/>
                    </w:rPr>
                  </w:pPr>
                </w:p>
              </w:tc>
              <w:tc>
                <w:tcPr>
                  <w:tcW w:w="307" w:type="pct"/>
                  <w:tcMar>
                    <w:left w:w="57" w:type="dxa"/>
                    <w:right w:w="57" w:type="dxa"/>
                  </w:tcMar>
                  <w:vAlign w:val="center"/>
                </w:tcPr>
                <w:p w14:paraId="75418F30">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40</w:t>
                  </w:r>
                </w:p>
              </w:tc>
            </w:tr>
            <w:tr w14:paraId="593F4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231" w:type="pct"/>
                  <w:vMerge w:val="continue"/>
                  <w:tcMar>
                    <w:left w:w="57" w:type="dxa"/>
                    <w:right w:w="57" w:type="dxa"/>
                  </w:tcMar>
                  <w:vAlign w:val="center"/>
                </w:tcPr>
                <w:p w14:paraId="14ECDE67">
                  <w:pPr>
                    <w:spacing w:line="240" w:lineRule="auto"/>
                    <w:ind w:firstLine="0" w:firstLineChars="0"/>
                    <w:jc w:val="center"/>
                    <w:rPr>
                      <w:rFonts w:hint="default" w:ascii="Times New Roman" w:hAnsi="Times New Roman" w:cs="Times New Roman"/>
                      <w:color w:val="auto"/>
                      <w:kern w:val="0"/>
                      <w:sz w:val="21"/>
                      <w:szCs w:val="21"/>
                      <w:highlight w:val="none"/>
                    </w:rPr>
                  </w:pPr>
                </w:p>
              </w:tc>
              <w:tc>
                <w:tcPr>
                  <w:tcW w:w="297" w:type="pct"/>
                  <w:vMerge w:val="continue"/>
                  <w:tcMar>
                    <w:left w:w="57" w:type="dxa"/>
                    <w:right w:w="57" w:type="dxa"/>
                  </w:tcMar>
                  <w:vAlign w:val="center"/>
                </w:tcPr>
                <w:p w14:paraId="724F729C">
                  <w:pPr>
                    <w:autoSpaceDE w:val="0"/>
                    <w:autoSpaceDN w:val="0"/>
                    <w:adjustRightInd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316" w:type="pct"/>
                  <w:tcMar>
                    <w:left w:w="57" w:type="dxa"/>
                    <w:right w:w="57" w:type="dxa"/>
                  </w:tcMar>
                  <w:vAlign w:val="center"/>
                </w:tcPr>
                <w:p w14:paraId="60CB9FAA">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NOx</w:t>
                  </w:r>
                </w:p>
              </w:tc>
              <w:tc>
                <w:tcPr>
                  <w:tcW w:w="247" w:type="pct"/>
                  <w:vMerge w:val="continue"/>
                  <w:tcMar>
                    <w:left w:w="57" w:type="dxa"/>
                    <w:right w:w="57" w:type="dxa"/>
                  </w:tcMar>
                  <w:vAlign w:val="center"/>
                </w:tcPr>
                <w:p w14:paraId="3CCBD989">
                  <w:pPr>
                    <w:autoSpaceDE w:val="0"/>
                    <w:autoSpaceDN w:val="0"/>
                    <w:adjustRightInd w:val="0"/>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rPr>
                  </w:pPr>
                </w:p>
              </w:tc>
              <w:tc>
                <w:tcPr>
                  <w:tcW w:w="393" w:type="pct"/>
                  <w:tcMar>
                    <w:left w:w="57" w:type="dxa"/>
                    <w:right w:w="57" w:type="dxa"/>
                  </w:tcMar>
                  <w:vAlign w:val="center"/>
                </w:tcPr>
                <w:p w14:paraId="77665453">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1.288</w:t>
                  </w:r>
                </w:p>
              </w:tc>
              <w:tc>
                <w:tcPr>
                  <w:tcW w:w="384" w:type="pct"/>
                  <w:tcMar>
                    <w:left w:w="57" w:type="dxa"/>
                    <w:right w:w="57" w:type="dxa"/>
                  </w:tcMar>
                  <w:vAlign w:val="center"/>
                </w:tcPr>
                <w:p w14:paraId="0B4ADA73">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32.2</w:t>
                  </w:r>
                </w:p>
              </w:tc>
              <w:tc>
                <w:tcPr>
                  <w:tcW w:w="384" w:type="pct"/>
                  <w:tcMar>
                    <w:left w:w="57" w:type="dxa"/>
                    <w:right w:w="57" w:type="dxa"/>
                  </w:tcMar>
                  <w:vAlign w:val="center"/>
                </w:tcPr>
                <w:p w14:paraId="6020F539">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667" w:type="pct"/>
                  <w:tcMar>
                    <w:left w:w="57" w:type="dxa"/>
                    <w:right w:w="57" w:type="dxa"/>
                  </w:tcMar>
                  <w:vAlign w:val="center"/>
                </w:tcPr>
                <w:p w14:paraId="5ACD4AFE">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w:t>
                  </w:r>
                </w:p>
              </w:tc>
              <w:tc>
                <w:tcPr>
                  <w:tcW w:w="341" w:type="pct"/>
                  <w:tcMar>
                    <w:left w:w="57" w:type="dxa"/>
                    <w:right w:w="57" w:type="dxa"/>
                  </w:tcMar>
                  <w:vAlign w:val="center"/>
                </w:tcPr>
                <w:p w14:paraId="3A6F4706">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w:t>
                  </w:r>
                </w:p>
              </w:tc>
              <w:tc>
                <w:tcPr>
                  <w:tcW w:w="587" w:type="dxa"/>
                  <w:tcMar>
                    <w:left w:w="57" w:type="dxa"/>
                    <w:right w:w="57" w:type="dxa"/>
                  </w:tcMar>
                  <w:vAlign w:val="center"/>
                </w:tcPr>
                <w:p w14:paraId="16ED2B0A">
                  <w:pPr>
                    <w:spacing w:line="240" w:lineRule="auto"/>
                    <w:ind w:firstLine="0" w:firstLineChars="0"/>
                    <w:jc w:val="center"/>
                    <w:rPr>
                      <w:rFonts w:hint="default" w:ascii="Times New Roman" w:hAnsi="Times New Roman" w:cs="Times New Roman"/>
                      <w:color w:val="auto"/>
                      <w:kern w:val="0"/>
                      <w:sz w:val="21"/>
                      <w:szCs w:val="21"/>
                      <w:highlight w:val="none"/>
                    </w:rPr>
                  </w:pPr>
                  <w:r>
                    <w:rPr>
                      <w:rFonts w:hint="eastAsia" w:ascii="Times New Roman" w:hAnsi="Times New Roman" w:cs="Times New Roman"/>
                      <w:color w:val="auto"/>
                      <w:kern w:val="0"/>
                      <w:sz w:val="21"/>
                      <w:szCs w:val="21"/>
                      <w:highlight w:val="none"/>
                      <w:lang w:val="en-US" w:eastAsia="zh-CN"/>
                    </w:rPr>
                    <w:t>1.288</w:t>
                  </w:r>
                </w:p>
              </w:tc>
              <w:tc>
                <w:tcPr>
                  <w:tcW w:w="613" w:type="dxa"/>
                  <w:tcMar>
                    <w:left w:w="57" w:type="dxa"/>
                    <w:right w:w="57" w:type="dxa"/>
                  </w:tcMar>
                  <w:vAlign w:val="center"/>
                </w:tcPr>
                <w:p w14:paraId="1E2BE2FC">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32.2</w:t>
                  </w:r>
                </w:p>
              </w:tc>
              <w:tc>
                <w:tcPr>
                  <w:tcW w:w="410" w:type="pct"/>
                  <w:tcMar>
                    <w:left w:w="57" w:type="dxa"/>
                    <w:right w:w="57" w:type="dxa"/>
                  </w:tcMar>
                  <w:vAlign w:val="center"/>
                </w:tcPr>
                <w:p w14:paraId="777567BE">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265" w:type="pct"/>
                  <w:vMerge w:val="continue"/>
                  <w:tcMar>
                    <w:left w:w="57" w:type="dxa"/>
                    <w:right w:w="57" w:type="dxa"/>
                  </w:tcMar>
                  <w:vAlign w:val="center"/>
                </w:tcPr>
                <w:p w14:paraId="07C13129">
                  <w:pPr>
                    <w:spacing w:line="240" w:lineRule="auto"/>
                    <w:ind w:firstLine="0" w:firstLineChars="0"/>
                    <w:jc w:val="center"/>
                    <w:rPr>
                      <w:rFonts w:hint="default" w:ascii="Times New Roman" w:hAnsi="Times New Roman" w:eastAsia="宋体" w:cs="Times New Roman"/>
                      <w:color w:val="auto"/>
                      <w:kern w:val="0"/>
                      <w:sz w:val="21"/>
                      <w:szCs w:val="21"/>
                      <w:highlight w:val="none"/>
                    </w:rPr>
                  </w:pPr>
                </w:p>
              </w:tc>
              <w:tc>
                <w:tcPr>
                  <w:tcW w:w="307" w:type="pct"/>
                  <w:tcMar>
                    <w:left w:w="57" w:type="dxa"/>
                    <w:right w:w="57" w:type="dxa"/>
                  </w:tcMar>
                  <w:vAlign w:val="center"/>
                </w:tcPr>
                <w:p w14:paraId="1909728D">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40</w:t>
                  </w:r>
                </w:p>
              </w:tc>
            </w:tr>
            <w:tr w14:paraId="4F764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31" w:type="pct"/>
                  <w:vMerge w:val="continue"/>
                  <w:tcMar>
                    <w:left w:w="57" w:type="dxa"/>
                    <w:right w:w="57" w:type="dxa"/>
                  </w:tcMar>
                  <w:vAlign w:val="center"/>
                </w:tcPr>
                <w:p w14:paraId="4C548577">
                  <w:pPr>
                    <w:spacing w:line="240" w:lineRule="auto"/>
                    <w:ind w:firstLine="0" w:firstLineChars="0"/>
                    <w:jc w:val="center"/>
                    <w:rPr>
                      <w:rFonts w:hint="default" w:ascii="Times New Roman" w:hAnsi="Times New Roman" w:cs="Times New Roman"/>
                      <w:color w:val="auto"/>
                      <w:kern w:val="0"/>
                      <w:sz w:val="21"/>
                      <w:szCs w:val="21"/>
                      <w:highlight w:val="none"/>
                    </w:rPr>
                  </w:pPr>
                </w:p>
              </w:tc>
              <w:tc>
                <w:tcPr>
                  <w:tcW w:w="297" w:type="pct"/>
                  <w:shd w:val="clear" w:color="auto" w:fill="auto"/>
                  <w:tcMar>
                    <w:left w:w="57" w:type="dxa"/>
                    <w:right w:w="57" w:type="dxa"/>
                  </w:tcMar>
                  <w:vAlign w:val="center"/>
                </w:tcPr>
                <w:p w14:paraId="47E1CCB4">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铲装</w:t>
                  </w:r>
                  <w:r>
                    <w:rPr>
                      <w:rFonts w:hint="default" w:ascii="Times New Roman" w:hAnsi="Times New Roman" w:cs="Times New Roman"/>
                      <w:color w:val="auto"/>
                      <w:kern w:val="0"/>
                      <w:sz w:val="21"/>
                      <w:szCs w:val="21"/>
                      <w:highlight w:val="none"/>
                      <w:lang w:val="en-US" w:eastAsia="zh-CN"/>
                    </w:rPr>
                    <w:t>扬尘</w:t>
                  </w:r>
                </w:p>
              </w:tc>
              <w:tc>
                <w:tcPr>
                  <w:tcW w:w="316" w:type="pct"/>
                  <w:tcMar>
                    <w:left w:w="57" w:type="dxa"/>
                    <w:right w:w="57" w:type="dxa"/>
                  </w:tcMar>
                  <w:vAlign w:val="center"/>
                </w:tcPr>
                <w:p w14:paraId="4F592DF1">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TSP</w:t>
                  </w:r>
                </w:p>
              </w:tc>
              <w:tc>
                <w:tcPr>
                  <w:tcW w:w="247" w:type="pct"/>
                  <w:vMerge w:val="continue"/>
                  <w:tcMar>
                    <w:left w:w="57" w:type="dxa"/>
                    <w:right w:w="57" w:type="dxa"/>
                  </w:tcMar>
                  <w:vAlign w:val="center"/>
                </w:tcPr>
                <w:p w14:paraId="797A9C0D">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p>
              </w:tc>
              <w:tc>
                <w:tcPr>
                  <w:tcW w:w="393" w:type="pct"/>
                  <w:tcMar>
                    <w:left w:w="57" w:type="dxa"/>
                    <w:right w:w="57" w:type="dxa"/>
                  </w:tcMar>
                  <w:vAlign w:val="center"/>
                </w:tcPr>
                <w:p w14:paraId="554C8B0E">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1.25</w:t>
                  </w:r>
                </w:p>
              </w:tc>
              <w:tc>
                <w:tcPr>
                  <w:tcW w:w="384" w:type="pct"/>
                  <w:tcMar>
                    <w:left w:w="57" w:type="dxa"/>
                    <w:right w:w="57" w:type="dxa"/>
                  </w:tcMar>
                  <w:vAlign w:val="center"/>
                </w:tcPr>
                <w:p w14:paraId="612968F1">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0.521</w:t>
                  </w:r>
                </w:p>
              </w:tc>
              <w:tc>
                <w:tcPr>
                  <w:tcW w:w="384" w:type="pct"/>
                  <w:tcMar>
                    <w:left w:w="57" w:type="dxa"/>
                    <w:right w:w="57" w:type="dxa"/>
                  </w:tcMar>
                  <w:vAlign w:val="center"/>
                </w:tcPr>
                <w:p w14:paraId="07322EB7">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667" w:type="pct"/>
                  <w:tcMar>
                    <w:left w:w="57" w:type="dxa"/>
                    <w:right w:w="57" w:type="dxa"/>
                  </w:tcMar>
                  <w:vAlign w:val="center"/>
                </w:tcPr>
                <w:p w14:paraId="0CBA6936">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洒水降尘</w:t>
                  </w:r>
                </w:p>
              </w:tc>
              <w:tc>
                <w:tcPr>
                  <w:tcW w:w="341" w:type="pct"/>
                  <w:tcMar>
                    <w:left w:w="57" w:type="dxa"/>
                    <w:right w:w="57" w:type="dxa"/>
                  </w:tcMar>
                  <w:vAlign w:val="center"/>
                </w:tcPr>
                <w:p w14:paraId="2739B2AA">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74</w:t>
                  </w:r>
                </w:p>
              </w:tc>
              <w:tc>
                <w:tcPr>
                  <w:tcW w:w="367" w:type="pct"/>
                  <w:tcMar>
                    <w:left w:w="57" w:type="dxa"/>
                    <w:right w:w="57" w:type="dxa"/>
                  </w:tcMar>
                  <w:vAlign w:val="center"/>
                </w:tcPr>
                <w:p w14:paraId="40916616">
                  <w:pPr>
                    <w:spacing w:line="240" w:lineRule="auto"/>
                    <w:ind w:left="0" w:leftChars="0" w:firstLine="0" w:firstLineChars="0"/>
                    <w:jc w:val="both"/>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0.325</w:t>
                  </w:r>
                </w:p>
              </w:tc>
              <w:tc>
                <w:tcPr>
                  <w:tcW w:w="384" w:type="pct"/>
                  <w:tcMar>
                    <w:left w:w="57" w:type="dxa"/>
                    <w:right w:w="57" w:type="dxa"/>
                  </w:tcMar>
                  <w:vAlign w:val="center"/>
                </w:tcPr>
                <w:p w14:paraId="56DC039E">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0.135</w:t>
                  </w:r>
                </w:p>
              </w:tc>
              <w:tc>
                <w:tcPr>
                  <w:tcW w:w="410" w:type="pct"/>
                  <w:tcMar>
                    <w:left w:w="57" w:type="dxa"/>
                    <w:right w:w="57" w:type="dxa"/>
                  </w:tcMar>
                  <w:vAlign w:val="center"/>
                </w:tcPr>
                <w:p w14:paraId="78942970">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265" w:type="pct"/>
                  <w:vMerge w:val="continue"/>
                  <w:tcMar>
                    <w:left w:w="57" w:type="dxa"/>
                    <w:right w:w="57" w:type="dxa"/>
                  </w:tcMar>
                  <w:vAlign w:val="center"/>
                </w:tcPr>
                <w:p w14:paraId="7894C061">
                  <w:pPr>
                    <w:spacing w:line="240" w:lineRule="auto"/>
                    <w:ind w:firstLine="0" w:firstLineChars="0"/>
                    <w:jc w:val="center"/>
                    <w:rPr>
                      <w:rFonts w:hint="default" w:ascii="Times New Roman" w:hAnsi="Times New Roman" w:eastAsia="宋体" w:cs="Times New Roman"/>
                      <w:color w:val="auto"/>
                      <w:kern w:val="0"/>
                      <w:sz w:val="21"/>
                      <w:szCs w:val="21"/>
                      <w:highlight w:val="none"/>
                    </w:rPr>
                  </w:pPr>
                </w:p>
              </w:tc>
              <w:tc>
                <w:tcPr>
                  <w:tcW w:w="307" w:type="pct"/>
                  <w:tcMar>
                    <w:left w:w="57" w:type="dxa"/>
                    <w:right w:w="57" w:type="dxa"/>
                  </w:tcMar>
                  <w:vAlign w:val="center"/>
                </w:tcPr>
                <w:p w14:paraId="3C38F3EA">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2400</w:t>
                  </w:r>
                </w:p>
              </w:tc>
            </w:tr>
            <w:tr w14:paraId="34B7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231" w:type="pct"/>
                  <w:vMerge w:val="continue"/>
                  <w:tcMar>
                    <w:left w:w="57" w:type="dxa"/>
                    <w:right w:w="57" w:type="dxa"/>
                  </w:tcMar>
                  <w:vAlign w:val="center"/>
                </w:tcPr>
                <w:p w14:paraId="35958989">
                  <w:pPr>
                    <w:spacing w:line="240" w:lineRule="auto"/>
                    <w:ind w:firstLine="0" w:firstLineChars="0"/>
                    <w:jc w:val="center"/>
                    <w:rPr>
                      <w:rFonts w:hint="default" w:ascii="Times New Roman" w:hAnsi="Times New Roman" w:cs="Times New Roman"/>
                      <w:color w:val="auto"/>
                      <w:kern w:val="0"/>
                      <w:sz w:val="21"/>
                      <w:szCs w:val="21"/>
                      <w:highlight w:val="none"/>
                    </w:rPr>
                  </w:pPr>
                </w:p>
              </w:tc>
              <w:tc>
                <w:tcPr>
                  <w:tcW w:w="297" w:type="pct"/>
                  <w:shd w:val="clear" w:color="auto" w:fill="auto"/>
                  <w:tcMar>
                    <w:left w:w="57" w:type="dxa"/>
                    <w:right w:w="57" w:type="dxa"/>
                  </w:tcMar>
                  <w:vAlign w:val="center"/>
                </w:tcPr>
                <w:p w14:paraId="080C26D7">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运输</w:t>
                  </w:r>
                  <w:r>
                    <w:rPr>
                      <w:rFonts w:hint="default" w:ascii="Times New Roman" w:hAnsi="Times New Roman" w:cs="Times New Roman"/>
                      <w:color w:val="auto"/>
                      <w:kern w:val="0"/>
                      <w:sz w:val="21"/>
                      <w:szCs w:val="21"/>
                      <w:highlight w:val="none"/>
                      <w:lang w:val="en-US" w:eastAsia="zh-CN"/>
                    </w:rPr>
                    <w:t>扬尘</w:t>
                  </w:r>
                </w:p>
              </w:tc>
              <w:tc>
                <w:tcPr>
                  <w:tcW w:w="316" w:type="pct"/>
                  <w:tcMar>
                    <w:left w:w="57" w:type="dxa"/>
                    <w:right w:w="57" w:type="dxa"/>
                  </w:tcMar>
                  <w:vAlign w:val="center"/>
                </w:tcPr>
                <w:p w14:paraId="79D0B35D">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TSP</w:t>
                  </w:r>
                </w:p>
              </w:tc>
              <w:tc>
                <w:tcPr>
                  <w:tcW w:w="247" w:type="pct"/>
                  <w:vMerge w:val="continue"/>
                  <w:tcMar>
                    <w:left w:w="57" w:type="dxa"/>
                    <w:right w:w="57" w:type="dxa"/>
                  </w:tcMar>
                  <w:vAlign w:val="center"/>
                </w:tcPr>
                <w:p w14:paraId="68C10EBC">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p>
              </w:tc>
              <w:tc>
                <w:tcPr>
                  <w:tcW w:w="393" w:type="pct"/>
                  <w:tcMar>
                    <w:left w:w="57" w:type="dxa"/>
                    <w:right w:w="57" w:type="dxa"/>
                  </w:tcMar>
                  <w:vAlign w:val="center"/>
                </w:tcPr>
                <w:p w14:paraId="283C6C36">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2.904</w:t>
                  </w:r>
                </w:p>
              </w:tc>
              <w:tc>
                <w:tcPr>
                  <w:tcW w:w="384" w:type="pct"/>
                  <w:tcMar>
                    <w:left w:w="57" w:type="dxa"/>
                    <w:right w:w="57" w:type="dxa"/>
                  </w:tcMar>
                  <w:vAlign w:val="center"/>
                </w:tcPr>
                <w:p w14:paraId="5DCC2B8E">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1.21</w:t>
                  </w:r>
                </w:p>
              </w:tc>
              <w:tc>
                <w:tcPr>
                  <w:tcW w:w="384" w:type="pct"/>
                  <w:tcMar>
                    <w:left w:w="57" w:type="dxa"/>
                    <w:right w:w="57" w:type="dxa"/>
                  </w:tcMar>
                  <w:vAlign w:val="center"/>
                </w:tcPr>
                <w:p w14:paraId="74A36A0E">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667" w:type="pct"/>
                  <w:tcMar>
                    <w:left w:w="57" w:type="dxa"/>
                    <w:right w:w="57" w:type="dxa"/>
                  </w:tcMar>
                  <w:vAlign w:val="center"/>
                </w:tcPr>
                <w:p w14:paraId="3A480B20">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洒水降尘</w:t>
                  </w:r>
                </w:p>
              </w:tc>
              <w:tc>
                <w:tcPr>
                  <w:tcW w:w="341" w:type="pct"/>
                  <w:tcMar>
                    <w:left w:w="57" w:type="dxa"/>
                    <w:right w:w="57" w:type="dxa"/>
                  </w:tcMar>
                  <w:vAlign w:val="center"/>
                </w:tcPr>
                <w:p w14:paraId="0D5A0A65">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74</w:t>
                  </w:r>
                </w:p>
              </w:tc>
              <w:tc>
                <w:tcPr>
                  <w:tcW w:w="367" w:type="pct"/>
                  <w:tcMar>
                    <w:left w:w="57" w:type="dxa"/>
                    <w:right w:w="57" w:type="dxa"/>
                  </w:tcMar>
                  <w:vAlign w:val="center"/>
                </w:tcPr>
                <w:p w14:paraId="13E736C0">
                  <w:pPr>
                    <w:spacing w:line="240" w:lineRule="auto"/>
                    <w:ind w:left="0" w:leftChars="0" w:firstLine="0" w:firstLineChars="0"/>
                    <w:jc w:val="both"/>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0.755</w:t>
                  </w:r>
                </w:p>
              </w:tc>
              <w:tc>
                <w:tcPr>
                  <w:tcW w:w="384" w:type="pct"/>
                  <w:tcMar>
                    <w:left w:w="57" w:type="dxa"/>
                    <w:right w:w="57" w:type="dxa"/>
                  </w:tcMar>
                  <w:vAlign w:val="center"/>
                </w:tcPr>
                <w:p w14:paraId="63A1FDAA">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0.315</w:t>
                  </w:r>
                </w:p>
              </w:tc>
              <w:tc>
                <w:tcPr>
                  <w:tcW w:w="410" w:type="pct"/>
                  <w:tcMar>
                    <w:left w:w="57" w:type="dxa"/>
                    <w:right w:w="57" w:type="dxa"/>
                  </w:tcMar>
                  <w:vAlign w:val="center"/>
                </w:tcPr>
                <w:p w14:paraId="7E40999E">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265" w:type="pct"/>
                  <w:vMerge w:val="continue"/>
                  <w:tcMar>
                    <w:left w:w="57" w:type="dxa"/>
                    <w:right w:w="57" w:type="dxa"/>
                  </w:tcMar>
                  <w:vAlign w:val="center"/>
                </w:tcPr>
                <w:p w14:paraId="78037049">
                  <w:pPr>
                    <w:spacing w:line="240" w:lineRule="auto"/>
                    <w:ind w:firstLine="0" w:firstLineChars="0"/>
                    <w:jc w:val="center"/>
                    <w:rPr>
                      <w:rFonts w:hint="default" w:ascii="Times New Roman" w:hAnsi="Times New Roman" w:eastAsia="宋体" w:cs="Times New Roman"/>
                      <w:color w:val="auto"/>
                      <w:kern w:val="0"/>
                      <w:sz w:val="21"/>
                      <w:szCs w:val="21"/>
                      <w:highlight w:val="none"/>
                    </w:rPr>
                  </w:pPr>
                </w:p>
              </w:tc>
              <w:tc>
                <w:tcPr>
                  <w:tcW w:w="307" w:type="pct"/>
                  <w:tcMar>
                    <w:left w:w="57" w:type="dxa"/>
                    <w:right w:w="57" w:type="dxa"/>
                  </w:tcMar>
                  <w:vAlign w:val="center"/>
                </w:tcPr>
                <w:p w14:paraId="4CC84F99">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2400</w:t>
                  </w:r>
                </w:p>
              </w:tc>
            </w:tr>
            <w:tr w14:paraId="0C30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231" w:type="pct"/>
                  <w:vMerge w:val="restart"/>
                  <w:tcMar>
                    <w:left w:w="57" w:type="dxa"/>
                    <w:right w:w="57" w:type="dxa"/>
                  </w:tcMar>
                  <w:vAlign w:val="center"/>
                </w:tcPr>
                <w:p w14:paraId="32D98AA2">
                  <w:pPr>
                    <w:spacing w:line="240" w:lineRule="auto"/>
                    <w:ind w:firstLine="0" w:firstLineChars="0"/>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工业场地</w:t>
                  </w:r>
                </w:p>
              </w:tc>
              <w:tc>
                <w:tcPr>
                  <w:tcW w:w="297" w:type="pct"/>
                  <w:vMerge w:val="restart"/>
                  <w:shd w:val="clear" w:color="auto" w:fill="auto"/>
                  <w:tcMar>
                    <w:left w:w="57" w:type="dxa"/>
                    <w:right w:w="57" w:type="dxa"/>
                  </w:tcMar>
                  <w:vAlign w:val="center"/>
                </w:tcPr>
                <w:p w14:paraId="6B54E0DF">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rPr>
                    <w:t>破碎</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筛分</w:t>
                  </w:r>
                  <w:r>
                    <w:rPr>
                      <w:rFonts w:hint="default" w:ascii="Times New Roman" w:hAnsi="Times New Roman" w:eastAsia="宋体" w:cs="Times New Roman"/>
                      <w:color w:val="auto"/>
                      <w:kern w:val="0"/>
                      <w:sz w:val="21"/>
                      <w:szCs w:val="21"/>
                      <w:highlight w:val="none"/>
                    </w:rPr>
                    <w:t>粉尘</w:t>
                  </w:r>
                </w:p>
              </w:tc>
              <w:tc>
                <w:tcPr>
                  <w:tcW w:w="564" w:type="pct"/>
                  <w:gridSpan w:val="2"/>
                  <w:tcMar>
                    <w:left w:w="57" w:type="dxa"/>
                    <w:right w:w="57" w:type="dxa"/>
                  </w:tcMar>
                  <w:vAlign w:val="center"/>
                </w:tcPr>
                <w:p w14:paraId="7DA397A3">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废气量</w:t>
                  </w:r>
                </w:p>
              </w:tc>
              <w:tc>
                <w:tcPr>
                  <w:tcW w:w="3906" w:type="pct"/>
                  <w:gridSpan w:val="10"/>
                  <w:tcMar>
                    <w:left w:w="57" w:type="dxa"/>
                    <w:right w:w="57" w:type="dxa"/>
                  </w:tcMar>
                  <w:vAlign w:val="center"/>
                </w:tcPr>
                <w:p w14:paraId="60C36C01">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20000m</w:t>
                  </w:r>
                  <w:r>
                    <w:rPr>
                      <w:rFonts w:hint="default" w:ascii="Times New Roman" w:hAnsi="Times New Roman" w:cs="Times New Roman"/>
                      <w:color w:val="auto"/>
                      <w:kern w:val="0"/>
                      <w:sz w:val="21"/>
                      <w:szCs w:val="21"/>
                      <w:highlight w:val="none"/>
                      <w:vertAlign w:val="superscript"/>
                      <w:lang w:val="en-US" w:eastAsia="zh-CN"/>
                    </w:rPr>
                    <w:t>3</w:t>
                  </w:r>
                  <w:r>
                    <w:rPr>
                      <w:rFonts w:hint="default" w:ascii="Times New Roman" w:hAnsi="Times New Roman" w:cs="Times New Roman"/>
                      <w:color w:val="auto"/>
                      <w:kern w:val="0"/>
                      <w:sz w:val="21"/>
                      <w:szCs w:val="21"/>
                      <w:highlight w:val="none"/>
                      <w:lang w:val="en-US" w:eastAsia="zh-CN"/>
                    </w:rPr>
                    <w:t>/h</w:t>
                  </w:r>
                </w:p>
              </w:tc>
            </w:tr>
            <w:tr w14:paraId="5129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231" w:type="pct"/>
                  <w:vMerge w:val="continue"/>
                  <w:tcMar>
                    <w:left w:w="57" w:type="dxa"/>
                    <w:right w:w="57" w:type="dxa"/>
                  </w:tcMar>
                  <w:vAlign w:val="center"/>
                </w:tcPr>
                <w:p w14:paraId="330356B8">
                  <w:pPr>
                    <w:spacing w:line="240" w:lineRule="auto"/>
                    <w:ind w:firstLine="0" w:firstLineChars="0"/>
                    <w:jc w:val="center"/>
                    <w:rPr>
                      <w:rFonts w:hint="default" w:ascii="Times New Roman" w:hAnsi="Times New Roman" w:eastAsia="宋体" w:cs="Times New Roman"/>
                      <w:color w:val="auto"/>
                      <w:kern w:val="0"/>
                      <w:sz w:val="21"/>
                      <w:szCs w:val="21"/>
                      <w:highlight w:val="none"/>
                      <w:lang w:eastAsia="zh-CN"/>
                    </w:rPr>
                  </w:pPr>
                </w:p>
              </w:tc>
              <w:tc>
                <w:tcPr>
                  <w:tcW w:w="297" w:type="pct"/>
                  <w:vMerge w:val="continue"/>
                  <w:shd w:val="clear" w:color="auto" w:fill="auto"/>
                  <w:tcMar>
                    <w:left w:w="57" w:type="dxa"/>
                    <w:right w:w="57" w:type="dxa"/>
                  </w:tcMar>
                  <w:vAlign w:val="center"/>
                </w:tcPr>
                <w:p w14:paraId="2222B2B4">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316" w:type="pct"/>
                  <w:tcMar>
                    <w:left w:w="57" w:type="dxa"/>
                    <w:right w:w="57" w:type="dxa"/>
                  </w:tcMar>
                  <w:vAlign w:val="center"/>
                </w:tcPr>
                <w:p w14:paraId="282E5F69">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TSP</w:t>
                  </w:r>
                </w:p>
              </w:tc>
              <w:tc>
                <w:tcPr>
                  <w:tcW w:w="247" w:type="pct"/>
                  <w:tcMar>
                    <w:left w:w="57" w:type="dxa"/>
                    <w:right w:w="57" w:type="dxa"/>
                  </w:tcMar>
                  <w:vAlign w:val="center"/>
                </w:tcPr>
                <w:p w14:paraId="70B44CE7">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产污系数</w:t>
                  </w:r>
                </w:p>
              </w:tc>
              <w:tc>
                <w:tcPr>
                  <w:tcW w:w="393" w:type="pct"/>
                  <w:tcMar>
                    <w:left w:w="57" w:type="dxa"/>
                    <w:right w:w="57" w:type="dxa"/>
                  </w:tcMar>
                  <w:vAlign w:val="center"/>
                </w:tcPr>
                <w:p w14:paraId="160F0594">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130.5</w:t>
                  </w:r>
                </w:p>
              </w:tc>
              <w:tc>
                <w:tcPr>
                  <w:tcW w:w="384" w:type="pct"/>
                  <w:tcMar>
                    <w:left w:w="57" w:type="dxa"/>
                    <w:right w:w="57" w:type="dxa"/>
                  </w:tcMar>
                  <w:vAlign w:val="center"/>
                </w:tcPr>
                <w:p w14:paraId="0C28A0A7">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54.375</w:t>
                  </w:r>
                </w:p>
              </w:tc>
              <w:tc>
                <w:tcPr>
                  <w:tcW w:w="384" w:type="pct"/>
                  <w:tcMar>
                    <w:left w:w="57" w:type="dxa"/>
                    <w:right w:w="57" w:type="dxa"/>
                  </w:tcMar>
                  <w:vAlign w:val="center"/>
                </w:tcPr>
                <w:p w14:paraId="685E52D0">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2718</w:t>
                  </w:r>
                </w:p>
              </w:tc>
              <w:tc>
                <w:tcPr>
                  <w:tcW w:w="667" w:type="pct"/>
                  <w:tcMar>
                    <w:left w:w="57" w:type="dxa"/>
                    <w:right w:w="57" w:type="dxa"/>
                  </w:tcMar>
                  <w:vAlign w:val="center"/>
                </w:tcPr>
                <w:p w14:paraId="5955CEB7">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集气罩+布袋除尘装置+15m高排气筒DA001</w:t>
                  </w:r>
                </w:p>
              </w:tc>
              <w:tc>
                <w:tcPr>
                  <w:tcW w:w="341" w:type="pct"/>
                  <w:tcMar>
                    <w:left w:w="57" w:type="dxa"/>
                    <w:right w:w="57" w:type="dxa"/>
                  </w:tcMar>
                  <w:vAlign w:val="center"/>
                </w:tcPr>
                <w:p w14:paraId="30352B2F">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99</w:t>
                  </w:r>
                </w:p>
              </w:tc>
              <w:tc>
                <w:tcPr>
                  <w:tcW w:w="367" w:type="pct"/>
                  <w:tcMar>
                    <w:left w:w="57" w:type="dxa"/>
                    <w:right w:w="57" w:type="dxa"/>
                  </w:tcMar>
                  <w:vAlign w:val="center"/>
                </w:tcPr>
                <w:p w14:paraId="4BE8150D">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1.305</w:t>
                  </w:r>
                </w:p>
              </w:tc>
              <w:tc>
                <w:tcPr>
                  <w:tcW w:w="384" w:type="pct"/>
                  <w:tcMar>
                    <w:left w:w="57" w:type="dxa"/>
                    <w:right w:w="57" w:type="dxa"/>
                  </w:tcMar>
                  <w:vAlign w:val="center"/>
                </w:tcPr>
                <w:p w14:paraId="217C7402">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0.54</w:t>
                  </w:r>
                </w:p>
              </w:tc>
              <w:tc>
                <w:tcPr>
                  <w:tcW w:w="410" w:type="pct"/>
                  <w:tcMar>
                    <w:left w:w="57" w:type="dxa"/>
                    <w:right w:w="57" w:type="dxa"/>
                  </w:tcMar>
                  <w:vAlign w:val="center"/>
                </w:tcPr>
                <w:p w14:paraId="3E7B33DD">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27</w:t>
                  </w:r>
                </w:p>
              </w:tc>
              <w:tc>
                <w:tcPr>
                  <w:tcW w:w="265" w:type="pct"/>
                  <w:tcMar>
                    <w:left w:w="57" w:type="dxa"/>
                    <w:right w:w="57" w:type="dxa"/>
                  </w:tcMar>
                  <w:vAlign w:val="center"/>
                </w:tcPr>
                <w:p w14:paraId="17817589">
                  <w:pPr>
                    <w:spacing w:line="240" w:lineRule="auto"/>
                    <w:ind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有</w:t>
                  </w:r>
                  <w:r>
                    <w:rPr>
                      <w:rFonts w:hint="default" w:ascii="Times New Roman" w:hAnsi="Times New Roman" w:eastAsia="宋体" w:cs="Times New Roman"/>
                      <w:color w:val="auto"/>
                      <w:kern w:val="0"/>
                      <w:sz w:val="21"/>
                      <w:szCs w:val="21"/>
                      <w:highlight w:val="none"/>
                    </w:rPr>
                    <w:t>组织</w:t>
                  </w:r>
                </w:p>
              </w:tc>
              <w:tc>
                <w:tcPr>
                  <w:tcW w:w="307" w:type="pct"/>
                  <w:tcMar>
                    <w:left w:w="57" w:type="dxa"/>
                    <w:right w:w="57" w:type="dxa"/>
                  </w:tcMar>
                  <w:vAlign w:val="center"/>
                </w:tcPr>
                <w:p w14:paraId="585D6D68">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2400</w:t>
                  </w:r>
                </w:p>
              </w:tc>
            </w:tr>
            <w:tr w14:paraId="47F5B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231" w:type="pct"/>
                  <w:vMerge w:val="continue"/>
                  <w:tcMar>
                    <w:left w:w="57" w:type="dxa"/>
                    <w:right w:w="57" w:type="dxa"/>
                  </w:tcMar>
                  <w:vAlign w:val="center"/>
                </w:tcPr>
                <w:p w14:paraId="3F652890">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p>
              </w:tc>
              <w:tc>
                <w:tcPr>
                  <w:tcW w:w="297" w:type="pct"/>
                  <w:vMerge w:val="continue"/>
                  <w:shd w:val="clear" w:color="auto" w:fill="auto"/>
                  <w:tcMar>
                    <w:left w:w="57" w:type="dxa"/>
                    <w:right w:w="57" w:type="dxa"/>
                  </w:tcMar>
                  <w:vAlign w:val="center"/>
                </w:tcPr>
                <w:p w14:paraId="52B66E9D">
                  <w:pPr>
                    <w:spacing w:line="240" w:lineRule="auto"/>
                    <w:ind w:firstLine="0" w:firstLineChars="0"/>
                    <w:jc w:val="center"/>
                    <w:rPr>
                      <w:rFonts w:hint="default" w:ascii="Times New Roman" w:hAnsi="Times New Roman" w:eastAsia="宋体" w:cs="Times New Roman"/>
                      <w:color w:val="auto"/>
                      <w:kern w:val="0"/>
                      <w:sz w:val="21"/>
                      <w:szCs w:val="21"/>
                      <w:highlight w:val="none"/>
                    </w:rPr>
                  </w:pPr>
                </w:p>
              </w:tc>
              <w:tc>
                <w:tcPr>
                  <w:tcW w:w="316" w:type="pct"/>
                  <w:tcMar>
                    <w:left w:w="57" w:type="dxa"/>
                    <w:right w:w="57" w:type="dxa"/>
                  </w:tcMar>
                  <w:vAlign w:val="center"/>
                </w:tcPr>
                <w:p w14:paraId="7796A0D6">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TSP</w:t>
                  </w:r>
                </w:p>
              </w:tc>
              <w:tc>
                <w:tcPr>
                  <w:tcW w:w="247" w:type="pct"/>
                  <w:tcMar>
                    <w:left w:w="57" w:type="dxa"/>
                    <w:right w:w="57" w:type="dxa"/>
                  </w:tcMar>
                  <w:vAlign w:val="center"/>
                </w:tcPr>
                <w:p w14:paraId="73609AB9">
                  <w:pPr>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物料衡算</w:t>
                  </w:r>
                </w:p>
              </w:tc>
              <w:tc>
                <w:tcPr>
                  <w:tcW w:w="393" w:type="pct"/>
                  <w:tcMar>
                    <w:left w:w="57" w:type="dxa"/>
                    <w:right w:w="57" w:type="dxa"/>
                  </w:tcMar>
                  <w:vAlign w:val="center"/>
                </w:tcPr>
                <w:p w14:paraId="27D9579C">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14.5</w:t>
                  </w:r>
                </w:p>
              </w:tc>
              <w:tc>
                <w:tcPr>
                  <w:tcW w:w="384" w:type="pct"/>
                  <w:tcMar>
                    <w:left w:w="57" w:type="dxa"/>
                    <w:right w:w="57" w:type="dxa"/>
                  </w:tcMar>
                  <w:vAlign w:val="center"/>
                </w:tcPr>
                <w:p w14:paraId="1CF0EC6C">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6.04</w:t>
                  </w:r>
                </w:p>
              </w:tc>
              <w:tc>
                <w:tcPr>
                  <w:tcW w:w="384" w:type="pct"/>
                  <w:tcMar>
                    <w:left w:w="57" w:type="dxa"/>
                    <w:right w:w="57" w:type="dxa"/>
                  </w:tcMar>
                  <w:vAlign w:val="center"/>
                </w:tcPr>
                <w:p w14:paraId="637D1864">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667" w:type="pct"/>
                  <w:tcMar>
                    <w:left w:w="57" w:type="dxa"/>
                    <w:right w:w="57" w:type="dxa"/>
                  </w:tcMar>
                  <w:vAlign w:val="center"/>
                </w:tcPr>
                <w:p w14:paraId="5143F7A7">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密闭厂房沉降+洒水降尘</w:t>
                  </w:r>
                </w:p>
              </w:tc>
              <w:tc>
                <w:tcPr>
                  <w:tcW w:w="341" w:type="pct"/>
                  <w:tcMar>
                    <w:left w:w="57" w:type="dxa"/>
                    <w:right w:w="57" w:type="dxa"/>
                  </w:tcMar>
                  <w:vAlign w:val="center"/>
                </w:tcPr>
                <w:p w14:paraId="21117CDA">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99+74</w:t>
                  </w:r>
                </w:p>
              </w:tc>
              <w:tc>
                <w:tcPr>
                  <w:tcW w:w="367" w:type="pct"/>
                  <w:tcMar>
                    <w:left w:w="57" w:type="dxa"/>
                    <w:right w:w="57" w:type="dxa"/>
                  </w:tcMar>
                  <w:vAlign w:val="center"/>
                </w:tcPr>
                <w:p w14:paraId="17D7960A">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0.038</w:t>
                  </w:r>
                </w:p>
              </w:tc>
              <w:tc>
                <w:tcPr>
                  <w:tcW w:w="384" w:type="pct"/>
                  <w:tcMar>
                    <w:left w:w="57" w:type="dxa"/>
                    <w:right w:w="57" w:type="dxa"/>
                  </w:tcMar>
                  <w:vAlign w:val="center"/>
                </w:tcPr>
                <w:p w14:paraId="253F7397">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0.016</w:t>
                  </w:r>
                </w:p>
              </w:tc>
              <w:tc>
                <w:tcPr>
                  <w:tcW w:w="410" w:type="pct"/>
                  <w:tcMar>
                    <w:left w:w="57" w:type="dxa"/>
                    <w:right w:w="57" w:type="dxa"/>
                  </w:tcMar>
                  <w:vAlign w:val="center"/>
                </w:tcPr>
                <w:p w14:paraId="73591560">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265" w:type="pct"/>
                  <w:tcMar>
                    <w:left w:w="57" w:type="dxa"/>
                    <w:right w:w="57" w:type="dxa"/>
                  </w:tcMar>
                  <w:vAlign w:val="center"/>
                </w:tcPr>
                <w:p w14:paraId="4D6107E3">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无组织</w:t>
                  </w:r>
                </w:p>
              </w:tc>
              <w:tc>
                <w:tcPr>
                  <w:tcW w:w="307" w:type="pct"/>
                  <w:tcMar>
                    <w:left w:w="57" w:type="dxa"/>
                    <w:right w:w="57" w:type="dxa"/>
                  </w:tcMar>
                  <w:vAlign w:val="center"/>
                </w:tcPr>
                <w:p w14:paraId="5A2871E5">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2400</w:t>
                  </w:r>
                </w:p>
              </w:tc>
            </w:tr>
            <w:tr w14:paraId="16AF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231" w:type="pct"/>
                  <w:vMerge w:val="continue"/>
                  <w:tcMar>
                    <w:left w:w="57" w:type="dxa"/>
                    <w:right w:w="57" w:type="dxa"/>
                  </w:tcMar>
                  <w:vAlign w:val="center"/>
                </w:tcPr>
                <w:p w14:paraId="5EE05885">
                  <w:pPr>
                    <w:spacing w:line="240" w:lineRule="auto"/>
                    <w:ind w:firstLine="0" w:firstLineChars="0"/>
                    <w:jc w:val="center"/>
                    <w:rPr>
                      <w:rFonts w:hint="default" w:ascii="Times New Roman" w:hAnsi="Times New Roman" w:cs="Times New Roman"/>
                      <w:color w:val="auto"/>
                      <w:kern w:val="0"/>
                      <w:sz w:val="21"/>
                      <w:szCs w:val="21"/>
                      <w:highlight w:val="none"/>
                    </w:rPr>
                  </w:pPr>
                </w:p>
              </w:tc>
              <w:tc>
                <w:tcPr>
                  <w:tcW w:w="297" w:type="pct"/>
                  <w:tcMar>
                    <w:left w:w="57" w:type="dxa"/>
                    <w:right w:w="57" w:type="dxa"/>
                  </w:tcMar>
                  <w:vAlign w:val="center"/>
                </w:tcPr>
                <w:p w14:paraId="183D9D46">
                  <w:pPr>
                    <w:spacing w:line="240" w:lineRule="auto"/>
                    <w:ind w:firstLine="0" w:firstLineChars="0"/>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砂料</w:t>
                  </w:r>
                  <w:r>
                    <w:rPr>
                      <w:rFonts w:hint="default" w:ascii="Times New Roman" w:hAnsi="Times New Roman" w:eastAsia="宋体" w:cs="Times New Roman"/>
                      <w:color w:val="auto"/>
                      <w:kern w:val="0"/>
                      <w:sz w:val="21"/>
                      <w:szCs w:val="21"/>
                      <w:highlight w:val="none"/>
                      <w:lang w:val="en-US" w:eastAsia="zh-CN"/>
                    </w:rPr>
                    <w:t>堆</w:t>
                  </w:r>
                  <w:r>
                    <w:rPr>
                      <w:rFonts w:hint="default" w:ascii="Times New Roman" w:hAnsi="Times New Roman" w:eastAsia="宋体" w:cs="Times New Roman"/>
                      <w:color w:val="auto"/>
                      <w:kern w:val="0"/>
                      <w:sz w:val="21"/>
                      <w:szCs w:val="21"/>
                      <w:highlight w:val="none"/>
                    </w:rPr>
                    <w:t>场</w:t>
                  </w:r>
                  <w:r>
                    <w:rPr>
                      <w:rFonts w:hint="default" w:ascii="Times New Roman" w:hAnsi="Times New Roman" w:eastAsia="宋体" w:cs="Times New Roman"/>
                      <w:color w:val="auto"/>
                      <w:kern w:val="0"/>
                      <w:sz w:val="21"/>
                      <w:szCs w:val="21"/>
                      <w:highlight w:val="none"/>
                      <w:lang w:val="en-US" w:eastAsia="zh-CN"/>
                    </w:rPr>
                    <w:t>粉尘</w:t>
                  </w:r>
                </w:p>
              </w:tc>
              <w:tc>
                <w:tcPr>
                  <w:tcW w:w="316" w:type="pct"/>
                  <w:tcMar>
                    <w:left w:w="57" w:type="dxa"/>
                    <w:right w:w="57" w:type="dxa"/>
                  </w:tcMar>
                  <w:vAlign w:val="center"/>
                </w:tcPr>
                <w:p w14:paraId="0EC74898">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TSP</w:t>
                  </w:r>
                </w:p>
              </w:tc>
              <w:tc>
                <w:tcPr>
                  <w:tcW w:w="247" w:type="pct"/>
                  <w:vMerge w:val="restart"/>
                  <w:tcMar>
                    <w:left w:w="57" w:type="dxa"/>
                    <w:right w:w="57" w:type="dxa"/>
                  </w:tcMar>
                  <w:vAlign w:val="center"/>
                </w:tcPr>
                <w:p w14:paraId="1BEEC681">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产污系数</w:t>
                  </w:r>
                </w:p>
              </w:tc>
              <w:tc>
                <w:tcPr>
                  <w:tcW w:w="393" w:type="pct"/>
                  <w:tcMar>
                    <w:left w:w="57" w:type="dxa"/>
                    <w:right w:w="57" w:type="dxa"/>
                  </w:tcMar>
                  <w:vAlign w:val="center"/>
                </w:tcPr>
                <w:p w14:paraId="0E38B19C">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242.23</w:t>
                  </w:r>
                </w:p>
              </w:tc>
              <w:tc>
                <w:tcPr>
                  <w:tcW w:w="384" w:type="pct"/>
                  <w:tcMar>
                    <w:left w:w="57" w:type="dxa"/>
                    <w:right w:w="57" w:type="dxa"/>
                  </w:tcMar>
                  <w:vAlign w:val="center"/>
                </w:tcPr>
                <w:p w14:paraId="41C2E788">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100.92</w:t>
                  </w:r>
                </w:p>
              </w:tc>
              <w:tc>
                <w:tcPr>
                  <w:tcW w:w="384" w:type="pct"/>
                  <w:tcMar>
                    <w:left w:w="57" w:type="dxa"/>
                    <w:right w:w="57" w:type="dxa"/>
                  </w:tcMar>
                  <w:vAlign w:val="center"/>
                </w:tcPr>
                <w:p w14:paraId="76576343">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667" w:type="pct"/>
                  <w:tcMar>
                    <w:left w:w="57" w:type="dxa"/>
                    <w:right w:w="57" w:type="dxa"/>
                  </w:tcMar>
                  <w:vAlign w:val="center"/>
                </w:tcPr>
                <w:p w14:paraId="30025E9A">
                  <w:pPr>
                    <w:spacing w:line="240" w:lineRule="auto"/>
                    <w:ind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厂房围挡</w:t>
                  </w:r>
                  <w:r>
                    <w:rPr>
                      <w:rFonts w:hint="default" w:ascii="Times New Roman" w:hAnsi="Times New Roman"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洒水降尘</w:t>
                  </w:r>
                  <w:r>
                    <w:rPr>
                      <w:rFonts w:hint="default" w:ascii="Times New Roman" w:hAnsi="Times New Roman" w:cs="Times New Roman"/>
                      <w:color w:val="auto"/>
                      <w:kern w:val="0"/>
                      <w:sz w:val="21"/>
                      <w:szCs w:val="21"/>
                      <w:highlight w:val="none"/>
                      <w:lang w:val="en-US" w:eastAsia="zh-CN"/>
                    </w:rPr>
                    <w:t>+半敞开式堆场</w:t>
                  </w:r>
                </w:p>
              </w:tc>
              <w:tc>
                <w:tcPr>
                  <w:tcW w:w="341" w:type="pct"/>
                  <w:tcMar>
                    <w:left w:w="57" w:type="dxa"/>
                    <w:right w:w="57" w:type="dxa"/>
                  </w:tcMar>
                  <w:vAlign w:val="center"/>
                </w:tcPr>
                <w:p w14:paraId="358A6A7B">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90+60</w:t>
                  </w:r>
                </w:p>
              </w:tc>
              <w:tc>
                <w:tcPr>
                  <w:tcW w:w="367" w:type="pct"/>
                  <w:tcMar>
                    <w:left w:w="57" w:type="dxa"/>
                    <w:right w:w="57" w:type="dxa"/>
                  </w:tcMar>
                  <w:vAlign w:val="center"/>
                </w:tcPr>
                <w:p w14:paraId="65F404DF">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9.69</w:t>
                  </w:r>
                </w:p>
              </w:tc>
              <w:tc>
                <w:tcPr>
                  <w:tcW w:w="384" w:type="pct"/>
                  <w:tcMar>
                    <w:left w:w="57" w:type="dxa"/>
                    <w:right w:w="57" w:type="dxa"/>
                  </w:tcMar>
                  <w:vAlign w:val="center"/>
                </w:tcPr>
                <w:p w14:paraId="5D6BD16D">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4.04</w:t>
                  </w:r>
                </w:p>
              </w:tc>
              <w:tc>
                <w:tcPr>
                  <w:tcW w:w="410" w:type="pct"/>
                  <w:tcMar>
                    <w:left w:w="57" w:type="dxa"/>
                    <w:right w:w="57" w:type="dxa"/>
                  </w:tcMar>
                  <w:vAlign w:val="center"/>
                </w:tcPr>
                <w:p w14:paraId="0C4E2A74">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265" w:type="pct"/>
                  <w:tcMar>
                    <w:left w:w="57" w:type="dxa"/>
                    <w:right w:w="57" w:type="dxa"/>
                  </w:tcMar>
                  <w:vAlign w:val="center"/>
                </w:tcPr>
                <w:p w14:paraId="2DBF4E2D">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无组织</w:t>
                  </w:r>
                </w:p>
              </w:tc>
              <w:tc>
                <w:tcPr>
                  <w:tcW w:w="307" w:type="pct"/>
                  <w:tcMar>
                    <w:left w:w="57" w:type="dxa"/>
                    <w:right w:w="57" w:type="dxa"/>
                  </w:tcMar>
                  <w:vAlign w:val="center"/>
                </w:tcPr>
                <w:p w14:paraId="7C397957">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2400</w:t>
                  </w:r>
                </w:p>
              </w:tc>
            </w:tr>
            <w:tr w14:paraId="7607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231" w:type="pct"/>
                  <w:vMerge w:val="continue"/>
                  <w:tcMar>
                    <w:left w:w="57" w:type="dxa"/>
                    <w:right w:w="57" w:type="dxa"/>
                  </w:tcMar>
                  <w:vAlign w:val="center"/>
                </w:tcPr>
                <w:p w14:paraId="24EE1364">
                  <w:pPr>
                    <w:spacing w:line="240" w:lineRule="auto"/>
                    <w:ind w:firstLine="0" w:firstLineChars="0"/>
                    <w:jc w:val="center"/>
                    <w:rPr>
                      <w:rFonts w:hint="default" w:ascii="Times New Roman" w:hAnsi="Times New Roman" w:cs="Times New Roman"/>
                      <w:color w:val="auto"/>
                      <w:kern w:val="0"/>
                      <w:sz w:val="21"/>
                      <w:szCs w:val="21"/>
                      <w:highlight w:val="none"/>
                    </w:rPr>
                  </w:pPr>
                </w:p>
              </w:tc>
              <w:tc>
                <w:tcPr>
                  <w:tcW w:w="297" w:type="pct"/>
                  <w:tcMar>
                    <w:left w:w="57" w:type="dxa"/>
                    <w:right w:w="57" w:type="dxa"/>
                  </w:tcMar>
                  <w:vAlign w:val="center"/>
                </w:tcPr>
                <w:p w14:paraId="38A0A0F4">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皮带输送粉尘</w:t>
                  </w:r>
                </w:p>
              </w:tc>
              <w:tc>
                <w:tcPr>
                  <w:tcW w:w="316" w:type="pct"/>
                  <w:tcMar>
                    <w:left w:w="57" w:type="dxa"/>
                    <w:right w:w="57" w:type="dxa"/>
                  </w:tcMar>
                  <w:vAlign w:val="center"/>
                </w:tcPr>
                <w:p w14:paraId="6DD75A97">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TSP</w:t>
                  </w:r>
                </w:p>
              </w:tc>
              <w:tc>
                <w:tcPr>
                  <w:tcW w:w="247" w:type="pct"/>
                  <w:vMerge w:val="continue"/>
                  <w:tcMar>
                    <w:left w:w="57" w:type="dxa"/>
                    <w:right w:w="57" w:type="dxa"/>
                  </w:tcMar>
                  <w:vAlign w:val="center"/>
                </w:tcPr>
                <w:p w14:paraId="709FEA2D">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p>
              </w:tc>
              <w:tc>
                <w:tcPr>
                  <w:tcW w:w="393" w:type="pct"/>
                  <w:tcMar>
                    <w:left w:w="57" w:type="dxa"/>
                    <w:right w:w="57" w:type="dxa"/>
                  </w:tcMar>
                  <w:vAlign w:val="center"/>
                </w:tcPr>
                <w:p w14:paraId="0E0AE4B2">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0.725</w:t>
                  </w:r>
                </w:p>
              </w:tc>
              <w:tc>
                <w:tcPr>
                  <w:tcW w:w="384" w:type="pct"/>
                  <w:tcMar>
                    <w:left w:w="57" w:type="dxa"/>
                    <w:right w:w="57" w:type="dxa"/>
                  </w:tcMar>
                  <w:vAlign w:val="center"/>
                </w:tcPr>
                <w:p w14:paraId="63F02841">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0.302</w:t>
                  </w:r>
                </w:p>
              </w:tc>
              <w:tc>
                <w:tcPr>
                  <w:tcW w:w="384" w:type="pct"/>
                  <w:tcMar>
                    <w:left w:w="57" w:type="dxa"/>
                    <w:right w:w="57" w:type="dxa"/>
                  </w:tcMar>
                  <w:vAlign w:val="center"/>
                </w:tcPr>
                <w:p w14:paraId="09FF1D76">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667" w:type="pct"/>
                  <w:tcMar>
                    <w:left w:w="57" w:type="dxa"/>
                    <w:right w:w="57" w:type="dxa"/>
                  </w:tcMar>
                  <w:vAlign w:val="center"/>
                </w:tcPr>
                <w:p w14:paraId="5F8AF8CF">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彩钢瓦封闭+喷淋洒水</w:t>
                  </w:r>
                </w:p>
              </w:tc>
              <w:tc>
                <w:tcPr>
                  <w:tcW w:w="341" w:type="pct"/>
                  <w:tcMar>
                    <w:left w:w="57" w:type="dxa"/>
                    <w:right w:w="57" w:type="dxa"/>
                  </w:tcMar>
                  <w:vAlign w:val="center"/>
                </w:tcPr>
                <w:p w14:paraId="61854B0F">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99+74</w:t>
                  </w:r>
                </w:p>
              </w:tc>
              <w:tc>
                <w:tcPr>
                  <w:tcW w:w="367" w:type="pct"/>
                  <w:tcMar>
                    <w:left w:w="57" w:type="dxa"/>
                    <w:right w:w="57" w:type="dxa"/>
                  </w:tcMar>
                  <w:vAlign w:val="center"/>
                </w:tcPr>
                <w:p w14:paraId="44F8D0A3">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0.0019</w:t>
                  </w:r>
                </w:p>
              </w:tc>
              <w:tc>
                <w:tcPr>
                  <w:tcW w:w="384" w:type="pct"/>
                  <w:tcMar>
                    <w:left w:w="57" w:type="dxa"/>
                    <w:right w:w="57" w:type="dxa"/>
                  </w:tcMar>
                  <w:vAlign w:val="center"/>
                </w:tcPr>
                <w:p w14:paraId="05DC1369">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0.0008</w:t>
                  </w:r>
                </w:p>
              </w:tc>
              <w:tc>
                <w:tcPr>
                  <w:tcW w:w="410" w:type="pct"/>
                  <w:tcMar>
                    <w:left w:w="57" w:type="dxa"/>
                    <w:right w:w="57" w:type="dxa"/>
                  </w:tcMar>
                  <w:vAlign w:val="center"/>
                </w:tcPr>
                <w:p w14:paraId="72F32F4E">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265" w:type="pct"/>
                  <w:tcMar>
                    <w:left w:w="57" w:type="dxa"/>
                    <w:right w:w="57" w:type="dxa"/>
                  </w:tcMar>
                  <w:vAlign w:val="center"/>
                </w:tcPr>
                <w:p w14:paraId="6ABAEEF0">
                  <w:pPr>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无组织</w:t>
                  </w:r>
                </w:p>
              </w:tc>
              <w:tc>
                <w:tcPr>
                  <w:tcW w:w="307" w:type="pct"/>
                  <w:tcMar>
                    <w:left w:w="57" w:type="dxa"/>
                    <w:right w:w="57" w:type="dxa"/>
                  </w:tcMar>
                  <w:vAlign w:val="center"/>
                </w:tcPr>
                <w:p w14:paraId="04254DA2">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2400</w:t>
                  </w:r>
                </w:p>
              </w:tc>
            </w:tr>
            <w:tr w14:paraId="33AE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jc w:val="center"/>
              </w:trPr>
              <w:tc>
                <w:tcPr>
                  <w:tcW w:w="231" w:type="pct"/>
                  <w:shd w:val="clear" w:color="auto" w:fill="auto"/>
                  <w:tcMar>
                    <w:left w:w="57" w:type="dxa"/>
                    <w:right w:w="57" w:type="dxa"/>
                  </w:tcMar>
                  <w:vAlign w:val="center"/>
                </w:tcPr>
                <w:p w14:paraId="378D82B4">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生产设备、运输车辆</w:t>
                  </w:r>
                </w:p>
              </w:tc>
              <w:tc>
                <w:tcPr>
                  <w:tcW w:w="297" w:type="pct"/>
                  <w:shd w:val="clear" w:color="auto" w:fill="auto"/>
                  <w:tcMar>
                    <w:left w:w="57" w:type="dxa"/>
                    <w:right w:w="57" w:type="dxa"/>
                  </w:tcMar>
                  <w:vAlign w:val="center"/>
                </w:tcPr>
                <w:p w14:paraId="39088E68">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rPr>
                    <w:t>燃油尾气</w:t>
                  </w:r>
                </w:p>
              </w:tc>
              <w:tc>
                <w:tcPr>
                  <w:tcW w:w="316" w:type="pct"/>
                  <w:shd w:val="clear" w:color="auto" w:fill="auto"/>
                  <w:tcMar>
                    <w:left w:w="57" w:type="dxa"/>
                    <w:right w:w="57" w:type="dxa"/>
                  </w:tcMar>
                  <w:vAlign w:val="center"/>
                </w:tcPr>
                <w:p w14:paraId="03BA3D52">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CO、NOx</w:t>
                  </w:r>
                </w:p>
              </w:tc>
              <w:tc>
                <w:tcPr>
                  <w:tcW w:w="247" w:type="pct"/>
                  <w:shd w:val="clear" w:color="auto" w:fill="auto"/>
                  <w:tcMar>
                    <w:left w:w="57" w:type="dxa"/>
                    <w:right w:w="57" w:type="dxa"/>
                  </w:tcMar>
                  <w:vAlign w:val="center"/>
                </w:tcPr>
                <w:p w14:paraId="65EA2A48">
                  <w:pPr>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393" w:type="pct"/>
                  <w:shd w:val="clear" w:color="auto" w:fill="auto"/>
                  <w:tcMar>
                    <w:left w:w="57" w:type="dxa"/>
                    <w:right w:w="57" w:type="dxa"/>
                  </w:tcMar>
                  <w:vAlign w:val="center"/>
                </w:tcPr>
                <w:p w14:paraId="31B0D390">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少量</w:t>
                  </w:r>
                </w:p>
              </w:tc>
              <w:tc>
                <w:tcPr>
                  <w:tcW w:w="384" w:type="pct"/>
                  <w:shd w:val="clear" w:color="auto" w:fill="auto"/>
                  <w:tcMar>
                    <w:left w:w="57" w:type="dxa"/>
                    <w:right w:w="57" w:type="dxa"/>
                  </w:tcMar>
                  <w:vAlign w:val="center"/>
                </w:tcPr>
                <w:p w14:paraId="27146086">
                  <w:pPr>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384" w:type="pct"/>
                  <w:shd w:val="clear" w:color="auto" w:fill="auto"/>
                  <w:tcMar>
                    <w:left w:w="57" w:type="dxa"/>
                    <w:right w:w="57" w:type="dxa"/>
                  </w:tcMar>
                  <w:vAlign w:val="center"/>
                </w:tcPr>
                <w:p w14:paraId="421EE866">
                  <w:pPr>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667" w:type="pct"/>
                  <w:shd w:val="clear" w:color="auto" w:fill="auto"/>
                  <w:tcMar>
                    <w:left w:w="57" w:type="dxa"/>
                    <w:right w:w="57" w:type="dxa"/>
                  </w:tcMar>
                  <w:vAlign w:val="center"/>
                </w:tcPr>
                <w:p w14:paraId="24E9FD1E">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rPr>
                    <w:t>自然扩散</w:t>
                  </w:r>
                </w:p>
              </w:tc>
              <w:tc>
                <w:tcPr>
                  <w:tcW w:w="341" w:type="pct"/>
                  <w:shd w:val="clear" w:color="auto" w:fill="auto"/>
                  <w:tcMar>
                    <w:left w:w="57" w:type="dxa"/>
                    <w:right w:w="57" w:type="dxa"/>
                  </w:tcMar>
                  <w:vAlign w:val="center"/>
                </w:tcPr>
                <w:p w14:paraId="3563B496">
                  <w:pPr>
                    <w:spacing w:line="240" w:lineRule="auto"/>
                    <w:ind w:firstLine="0" w:firstLineChars="0"/>
                    <w:jc w:val="center"/>
                    <w:rPr>
                      <w:rFonts w:hint="eastAsia"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w:t>
                  </w:r>
                </w:p>
              </w:tc>
              <w:tc>
                <w:tcPr>
                  <w:tcW w:w="367" w:type="pct"/>
                  <w:shd w:val="clear" w:color="auto" w:fill="auto"/>
                  <w:tcMar>
                    <w:left w:w="57" w:type="dxa"/>
                    <w:right w:w="57" w:type="dxa"/>
                  </w:tcMar>
                  <w:vAlign w:val="center"/>
                </w:tcPr>
                <w:p w14:paraId="3DE07B97">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w:t>
                  </w:r>
                </w:p>
              </w:tc>
              <w:tc>
                <w:tcPr>
                  <w:tcW w:w="384" w:type="pct"/>
                  <w:shd w:val="clear" w:color="auto" w:fill="auto"/>
                  <w:tcMar>
                    <w:left w:w="57" w:type="dxa"/>
                    <w:right w:w="57" w:type="dxa"/>
                  </w:tcMar>
                  <w:vAlign w:val="center"/>
                </w:tcPr>
                <w:p w14:paraId="13208AEE">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少量</w:t>
                  </w:r>
                </w:p>
              </w:tc>
              <w:tc>
                <w:tcPr>
                  <w:tcW w:w="410" w:type="pct"/>
                  <w:shd w:val="clear" w:color="auto" w:fill="auto"/>
                  <w:tcMar>
                    <w:left w:w="57" w:type="dxa"/>
                    <w:right w:w="57" w:type="dxa"/>
                  </w:tcMar>
                  <w:vAlign w:val="center"/>
                </w:tcPr>
                <w:p w14:paraId="73BE3C46">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少量</w:t>
                  </w:r>
                </w:p>
              </w:tc>
              <w:tc>
                <w:tcPr>
                  <w:tcW w:w="265" w:type="pct"/>
                  <w:shd w:val="clear" w:color="auto" w:fill="auto"/>
                  <w:tcMar>
                    <w:left w:w="57" w:type="dxa"/>
                    <w:right w:w="57" w:type="dxa"/>
                  </w:tcMar>
                  <w:vAlign w:val="center"/>
                </w:tcPr>
                <w:p w14:paraId="7FBD0409">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无组织</w:t>
                  </w:r>
                </w:p>
              </w:tc>
              <w:tc>
                <w:tcPr>
                  <w:tcW w:w="307" w:type="pct"/>
                  <w:shd w:val="clear" w:color="auto" w:fill="auto"/>
                  <w:tcMar>
                    <w:left w:w="57" w:type="dxa"/>
                    <w:right w:w="57" w:type="dxa"/>
                  </w:tcMar>
                  <w:vAlign w:val="center"/>
                </w:tcPr>
                <w:p w14:paraId="046BCFE9">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2400</w:t>
                  </w:r>
                </w:p>
              </w:tc>
            </w:tr>
            <w:tr w14:paraId="70E7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231" w:type="pct"/>
                  <w:tcMar>
                    <w:left w:w="57" w:type="dxa"/>
                    <w:right w:w="57" w:type="dxa"/>
                  </w:tcMar>
                  <w:vAlign w:val="center"/>
                </w:tcPr>
                <w:p w14:paraId="23D457B2">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食堂</w:t>
                  </w:r>
                </w:p>
              </w:tc>
              <w:tc>
                <w:tcPr>
                  <w:tcW w:w="297" w:type="pct"/>
                  <w:tcMar>
                    <w:left w:w="57" w:type="dxa"/>
                    <w:right w:w="57" w:type="dxa"/>
                  </w:tcMar>
                  <w:vAlign w:val="center"/>
                </w:tcPr>
                <w:p w14:paraId="7C5C5891">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油烟</w:t>
                  </w:r>
                </w:p>
              </w:tc>
              <w:tc>
                <w:tcPr>
                  <w:tcW w:w="316" w:type="pct"/>
                  <w:tcMar>
                    <w:left w:w="57" w:type="dxa"/>
                    <w:right w:w="57" w:type="dxa"/>
                  </w:tcMar>
                  <w:vAlign w:val="center"/>
                </w:tcPr>
                <w:p w14:paraId="4AC36A6B">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油烟</w:t>
                  </w:r>
                </w:p>
              </w:tc>
              <w:tc>
                <w:tcPr>
                  <w:tcW w:w="247" w:type="pct"/>
                  <w:tcMar>
                    <w:left w:w="57" w:type="dxa"/>
                    <w:right w:w="57" w:type="dxa"/>
                  </w:tcMar>
                  <w:vAlign w:val="center"/>
                </w:tcPr>
                <w:p w14:paraId="28FECA77">
                  <w:pPr>
                    <w:spacing w:line="240" w:lineRule="auto"/>
                    <w:ind w:firstLine="0" w:firstLineChars="0"/>
                    <w:jc w:val="center"/>
                    <w:rPr>
                      <w:rFonts w:hint="default" w:ascii="Times New Roman" w:hAnsi="Times New Roman" w:cs="Times New Roman"/>
                      <w:b w:val="0"/>
                      <w:bCs w:val="0"/>
                      <w:color w:val="auto"/>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产污系数</w:t>
                  </w:r>
                  <w:r>
                    <w:rPr>
                      <w:rFonts w:hint="eastAsia" w:ascii="Times New Roman" w:hAnsi="Times New Roman" w:cs="Times New Roman"/>
                      <w:b w:val="0"/>
                      <w:bCs w:val="0"/>
                      <w:color w:val="auto"/>
                      <w:sz w:val="21"/>
                      <w:szCs w:val="21"/>
                      <w:highlight w:val="none"/>
                      <w:lang w:val="en-US" w:eastAsia="zh-CN"/>
                    </w:rPr>
                    <w:t>法</w:t>
                  </w:r>
                </w:p>
              </w:tc>
              <w:tc>
                <w:tcPr>
                  <w:tcW w:w="393" w:type="pct"/>
                  <w:tcMar>
                    <w:left w:w="57" w:type="dxa"/>
                    <w:right w:w="57" w:type="dxa"/>
                  </w:tcMar>
                  <w:vAlign w:val="center"/>
                </w:tcPr>
                <w:p w14:paraId="4B0E9C33">
                  <w:pPr>
                    <w:spacing w:line="240" w:lineRule="auto"/>
                    <w:ind w:firstLine="0" w:firstLineChars="0"/>
                    <w:jc w:val="center"/>
                    <w:rPr>
                      <w:rFonts w:hint="default" w:ascii="Times New Roman" w:hAnsi="Times New Roman" w:cs="Times New Roman"/>
                      <w:color w:val="auto"/>
                      <w:kern w:val="0"/>
                      <w:sz w:val="21"/>
                      <w:szCs w:val="21"/>
                      <w:highlight w:val="none"/>
                      <w:lang w:val="en-US"/>
                    </w:rPr>
                  </w:pPr>
                  <w:r>
                    <w:rPr>
                      <w:rFonts w:hint="default" w:ascii="Times New Roman" w:hAnsi="Times New Roman" w:cs="Times New Roman"/>
                      <w:b w:val="0"/>
                      <w:bCs w:val="0"/>
                      <w:color w:val="auto"/>
                      <w:sz w:val="21"/>
                      <w:szCs w:val="21"/>
                      <w:highlight w:val="none"/>
                      <w:lang w:val="en-US" w:eastAsia="zh-CN"/>
                    </w:rPr>
                    <w:t>0.00216</w:t>
                  </w:r>
                </w:p>
              </w:tc>
              <w:tc>
                <w:tcPr>
                  <w:tcW w:w="384" w:type="pct"/>
                  <w:tcMar>
                    <w:left w:w="57" w:type="dxa"/>
                    <w:right w:w="57" w:type="dxa"/>
                  </w:tcMar>
                  <w:vAlign w:val="center"/>
                </w:tcPr>
                <w:p w14:paraId="709F11D0">
                  <w:pPr>
                    <w:spacing w:line="240" w:lineRule="auto"/>
                    <w:ind w:firstLine="0" w:firstLineChars="0"/>
                    <w:jc w:val="center"/>
                    <w:rPr>
                      <w:rFonts w:hint="default" w:ascii="Times New Roman" w:hAnsi="Times New Roman"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0.0018</w:t>
                  </w:r>
                </w:p>
              </w:tc>
              <w:tc>
                <w:tcPr>
                  <w:tcW w:w="384" w:type="pct"/>
                  <w:tcMar>
                    <w:left w:w="57" w:type="dxa"/>
                    <w:right w:w="57" w:type="dxa"/>
                  </w:tcMar>
                  <w:vAlign w:val="center"/>
                </w:tcPr>
                <w:p w14:paraId="418243B0">
                  <w:pPr>
                    <w:spacing w:line="240" w:lineRule="auto"/>
                    <w:ind w:firstLine="0" w:firstLineChars="0"/>
                    <w:jc w:val="center"/>
                    <w:rPr>
                      <w:rFonts w:hint="default" w:ascii="Times New Roman" w:hAnsi="Times New Roman" w:cs="Times New Roman"/>
                      <w:b w:val="0"/>
                      <w:bCs w:val="0"/>
                      <w:color w:val="auto"/>
                      <w:sz w:val="21"/>
                      <w:szCs w:val="21"/>
                      <w:highlight w:val="none"/>
                      <w:lang w:val="en-US" w:eastAsia="zh-CN"/>
                    </w:rPr>
                  </w:pPr>
                  <w:r>
                    <w:rPr>
                      <w:rFonts w:hint="eastAsia" w:ascii="Times New Roman" w:hAnsi="Times New Roman" w:cs="Times New Roman"/>
                      <w:b w:val="0"/>
                      <w:bCs w:val="0"/>
                      <w:color w:val="auto"/>
                      <w:sz w:val="21"/>
                      <w:szCs w:val="21"/>
                      <w:highlight w:val="none"/>
                      <w:lang w:val="en-US" w:eastAsia="zh-CN"/>
                    </w:rPr>
                    <w:t>0.90</w:t>
                  </w:r>
                </w:p>
              </w:tc>
              <w:tc>
                <w:tcPr>
                  <w:tcW w:w="667" w:type="pct"/>
                  <w:tcMar>
                    <w:left w:w="57" w:type="dxa"/>
                    <w:right w:w="57" w:type="dxa"/>
                  </w:tcMar>
                  <w:vAlign w:val="center"/>
                </w:tcPr>
                <w:p w14:paraId="1630F58A">
                  <w:pPr>
                    <w:spacing w:line="240" w:lineRule="auto"/>
                    <w:ind w:firstLine="0" w:firstLineChars="0"/>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油烟净化器</w:t>
                  </w:r>
                </w:p>
              </w:tc>
              <w:tc>
                <w:tcPr>
                  <w:tcW w:w="341" w:type="pct"/>
                  <w:tcMar>
                    <w:left w:w="57" w:type="dxa"/>
                    <w:right w:w="57" w:type="dxa"/>
                  </w:tcMar>
                  <w:vAlign w:val="center"/>
                </w:tcPr>
                <w:p w14:paraId="2D2987F7">
                  <w:pPr>
                    <w:spacing w:line="240" w:lineRule="auto"/>
                    <w:ind w:firstLine="0" w:firstLineChars="0"/>
                    <w:jc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cs="Times New Roman"/>
                      <w:b w:val="0"/>
                      <w:bCs w:val="0"/>
                      <w:i w:val="0"/>
                      <w:iCs w:val="0"/>
                      <w:color w:val="auto"/>
                      <w:kern w:val="0"/>
                      <w:sz w:val="21"/>
                      <w:szCs w:val="21"/>
                      <w:highlight w:val="none"/>
                      <w:u w:val="none"/>
                      <w:lang w:val="en-US" w:eastAsia="zh-CN" w:bidi="ar"/>
                    </w:rPr>
                    <w:t>60</w:t>
                  </w:r>
                </w:p>
              </w:tc>
              <w:tc>
                <w:tcPr>
                  <w:tcW w:w="367" w:type="pct"/>
                  <w:tcMar>
                    <w:left w:w="57" w:type="dxa"/>
                    <w:right w:w="57" w:type="dxa"/>
                  </w:tcMar>
                  <w:vAlign w:val="center"/>
                </w:tcPr>
                <w:p w14:paraId="1A8171F1">
                  <w:pPr>
                    <w:spacing w:line="240" w:lineRule="auto"/>
                    <w:ind w:firstLine="0" w:firstLineChars="0"/>
                    <w:jc w:val="center"/>
                    <w:rPr>
                      <w:rFonts w:hint="default" w:ascii="Times New Roman" w:hAnsi="Times New Roman" w:cs="Times New Roman"/>
                      <w:color w:val="auto"/>
                      <w:kern w:val="0"/>
                      <w:sz w:val="21"/>
                      <w:szCs w:val="21"/>
                      <w:highlight w:val="none"/>
                      <w:lang w:val="en-US"/>
                    </w:rPr>
                  </w:pPr>
                  <w:r>
                    <w:rPr>
                      <w:rFonts w:hint="eastAsia" w:ascii="Times New Roman" w:hAnsi="Times New Roman" w:cs="Times New Roman"/>
                      <w:b w:val="0"/>
                      <w:bCs w:val="0"/>
                      <w:color w:val="auto"/>
                      <w:sz w:val="21"/>
                      <w:szCs w:val="21"/>
                      <w:highlight w:val="none"/>
                      <w:lang w:val="en-US" w:eastAsia="zh-CN"/>
                    </w:rPr>
                    <w:t>0.001296</w:t>
                  </w:r>
                </w:p>
              </w:tc>
              <w:tc>
                <w:tcPr>
                  <w:tcW w:w="384" w:type="pct"/>
                  <w:tcMar>
                    <w:left w:w="57" w:type="dxa"/>
                    <w:right w:w="57" w:type="dxa"/>
                  </w:tcMar>
                  <w:vAlign w:val="center"/>
                </w:tcPr>
                <w:p w14:paraId="6B7ABE82">
                  <w:pPr>
                    <w:spacing w:line="240" w:lineRule="auto"/>
                    <w:ind w:firstLine="0" w:firstLineChars="0"/>
                    <w:jc w:val="center"/>
                    <w:rPr>
                      <w:rFonts w:hint="default" w:ascii="Times New Roman" w:hAnsi="Times New Roman" w:cs="Times New Roman"/>
                      <w:color w:val="auto"/>
                      <w:kern w:val="0"/>
                      <w:sz w:val="21"/>
                      <w:szCs w:val="21"/>
                      <w:highlight w:val="none"/>
                      <w:lang w:val="en-US"/>
                    </w:rPr>
                  </w:pPr>
                  <w:r>
                    <w:rPr>
                      <w:rFonts w:hint="default" w:ascii="Times New Roman" w:hAnsi="Times New Roman" w:cs="Times New Roman"/>
                      <w:b w:val="0"/>
                      <w:bCs w:val="0"/>
                      <w:color w:val="auto"/>
                      <w:sz w:val="21"/>
                      <w:szCs w:val="21"/>
                      <w:highlight w:val="none"/>
                      <w:lang w:val="en-US" w:eastAsia="zh-CN"/>
                    </w:rPr>
                    <w:t>0.00108</w:t>
                  </w:r>
                </w:p>
              </w:tc>
              <w:tc>
                <w:tcPr>
                  <w:tcW w:w="410" w:type="pct"/>
                  <w:tcMar>
                    <w:left w:w="57" w:type="dxa"/>
                    <w:right w:w="57" w:type="dxa"/>
                  </w:tcMar>
                  <w:vAlign w:val="center"/>
                </w:tcPr>
                <w:p w14:paraId="7B6F945E">
                  <w:pPr>
                    <w:spacing w:line="240" w:lineRule="auto"/>
                    <w:ind w:firstLine="0" w:firstLineChars="0"/>
                    <w:jc w:val="center"/>
                    <w:rPr>
                      <w:rFonts w:hint="default" w:ascii="Times New Roman" w:hAnsi="Times New Roman" w:cs="Times New Roman"/>
                      <w:color w:val="auto"/>
                      <w:kern w:val="0"/>
                      <w:sz w:val="21"/>
                      <w:szCs w:val="21"/>
                      <w:highlight w:val="none"/>
                      <w:lang w:val="en-US"/>
                    </w:rPr>
                  </w:pPr>
                  <w:r>
                    <w:rPr>
                      <w:rFonts w:hint="eastAsia" w:ascii="Times New Roman" w:hAnsi="Times New Roman" w:cs="Times New Roman"/>
                      <w:b w:val="0"/>
                      <w:bCs w:val="0"/>
                      <w:color w:val="auto"/>
                      <w:sz w:val="21"/>
                      <w:szCs w:val="21"/>
                      <w:highlight w:val="none"/>
                      <w:lang w:val="en-US" w:eastAsia="zh-CN"/>
                    </w:rPr>
                    <w:t>0.54</w:t>
                  </w:r>
                </w:p>
              </w:tc>
              <w:tc>
                <w:tcPr>
                  <w:tcW w:w="265" w:type="pct"/>
                  <w:tcMar>
                    <w:left w:w="57" w:type="dxa"/>
                    <w:right w:w="57" w:type="dxa"/>
                  </w:tcMar>
                  <w:vAlign w:val="center"/>
                </w:tcPr>
                <w:p w14:paraId="05146682">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有组织</w:t>
                  </w:r>
                </w:p>
              </w:tc>
              <w:tc>
                <w:tcPr>
                  <w:tcW w:w="307" w:type="pct"/>
                  <w:tcMar>
                    <w:left w:w="57" w:type="dxa"/>
                    <w:right w:w="57" w:type="dxa"/>
                  </w:tcMar>
                  <w:vAlign w:val="center"/>
                </w:tcPr>
                <w:p w14:paraId="087E60B6">
                  <w:pPr>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1200</w:t>
                  </w:r>
                </w:p>
              </w:tc>
            </w:tr>
          </w:tbl>
          <w:p w14:paraId="34C4852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b/>
                <w:color w:val="auto"/>
                <w:szCs w:val="21"/>
                <w:highlight w:val="none"/>
                <w:lang w:val="en-US" w:eastAsia="zh-CN"/>
              </w:rPr>
              <w:t>5</w:t>
            </w:r>
            <w:r>
              <w:rPr>
                <w:rFonts w:hint="default" w:ascii="Times New Roman" w:hAnsi="Times New Roman" w:cs="Times New Roman"/>
                <w:b/>
                <w:color w:val="auto"/>
                <w:szCs w:val="21"/>
                <w:highlight w:val="none"/>
              </w:rPr>
              <w:t>、</w:t>
            </w:r>
            <w:r>
              <w:rPr>
                <w:rFonts w:hint="default" w:ascii="Times New Roman" w:hAnsi="Times New Roman" w:cs="Times New Roman"/>
                <w:b/>
                <w:color w:val="auto"/>
                <w:szCs w:val="21"/>
                <w:highlight w:val="none"/>
                <w:lang w:val="en-US" w:eastAsia="zh-CN"/>
              </w:rPr>
              <w:t>废气</w:t>
            </w:r>
            <w:r>
              <w:rPr>
                <w:rFonts w:hint="eastAsia" w:ascii="Times New Roman" w:hAnsi="Times New Roman" w:cs="Times New Roman"/>
                <w:b/>
                <w:color w:val="auto"/>
                <w:szCs w:val="21"/>
                <w:highlight w:val="none"/>
                <w:lang w:val="en-US" w:eastAsia="zh-CN"/>
              </w:rPr>
              <w:t>排放</w:t>
            </w:r>
            <w:r>
              <w:rPr>
                <w:rFonts w:hint="eastAsia" w:cs="Times New Roman"/>
                <w:b/>
                <w:color w:val="auto"/>
                <w:szCs w:val="21"/>
                <w:highlight w:val="none"/>
                <w:lang w:val="en-US" w:eastAsia="zh-CN"/>
              </w:rPr>
              <w:t>口</w:t>
            </w:r>
            <w:r>
              <w:rPr>
                <w:rFonts w:hint="eastAsia" w:ascii="Times New Roman" w:hAnsi="Times New Roman" w:cs="Times New Roman"/>
                <w:b/>
                <w:color w:val="auto"/>
                <w:szCs w:val="21"/>
                <w:highlight w:val="none"/>
                <w:lang w:val="en-US" w:eastAsia="zh-CN"/>
              </w:rPr>
              <w:t>基本情况及</w:t>
            </w:r>
            <w:r>
              <w:rPr>
                <w:rFonts w:hint="default" w:ascii="Times New Roman" w:hAnsi="Times New Roman" w:eastAsia="宋体" w:cs="Times New Roman"/>
                <w:b/>
                <w:bCs w:val="0"/>
                <w:color w:val="auto"/>
                <w:highlight w:val="none"/>
                <w:lang w:val="en-US" w:eastAsia="zh-CN"/>
              </w:rPr>
              <w:t>达标情况</w:t>
            </w:r>
          </w:p>
          <w:p w14:paraId="6882B1DD">
            <w:pPr>
              <w:ind w:firstLine="480"/>
              <w:rPr>
                <w:rFonts w:hint="eastAsia" w:ascii="Times New Roman" w:hAnsi="Times New Roman" w:cs="Times New Roman"/>
                <w:bCs/>
                <w:color w:val="auto"/>
                <w:highlight w:val="none"/>
                <w:lang w:val="en-US" w:eastAsia="zh-CN"/>
              </w:rPr>
            </w:pPr>
            <w:r>
              <w:rPr>
                <w:rFonts w:hint="default" w:ascii="Times New Roman" w:hAnsi="Times New Roman" w:cs="Times New Roman"/>
                <w:bCs/>
                <w:color w:val="auto"/>
                <w:highlight w:val="none"/>
                <w:lang w:val="en-US" w:eastAsia="zh-CN"/>
              </w:rPr>
              <w:t>项目废气排放口基本情况及排放达标情况</w:t>
            </w:r>
            <w:r>
              <w:rPr>
                <w:rFonts w:hint="eastAsia" w:ascii="Times New Roman" w:hAnsi="Times New Roman" w:cs="Times New Roman"/>
                <w:bCs/>
                <w:color w:val="auto"/>
                <w:highlight w:val="none"/>
                <w:lang w:val="en-US" w:eastAsia="zh-CN"/>
              </w:rPr>
              <w:t>如下:</w:t>
            </w:r>
          </w:p>
          <w:p w14:paraId="34823649">
            <w:pPr>
              <w:spacing w:line="240" w:lineRule="auto"/>
              <w:ind w:firstLine="0" w:firstLineChars="0"/>
              <w:jc w:val="center"/>
              <w:rPr>
                <w:rFonts w:hint="eastAsia" w:ascii="Times New Roman" w:hAnsi="Times New Roman" w:eastAsia="宋体" w:cs="Times New Roman"/>
                <w:b/>
                <w:color w:val="auto"/>
                <w:sz w:val="21"/>
                <w:highlight w:val="none"/>
                <w:lang w:val="en-US" w:eastAsia="zh-CN"/>
              </w:rPr>
            </w:pPr>
            <w:r>
              <w:rPr>
                <w:rFonts w:hint="default" w:ascii="Times New Roman" w:hAnsi="Times New Roman" w:eastAsia="宋体" w:cs="Times New Roman"/>
                <w:b/>
                <w:color w:val="auto"/>
                <w:sz w:val="21"/>
                <w:highlight w:val="none"/>
              </w:rPr>
              <w:t>表4-</w:t>
            </w:r>
            <w:r>
              <w:rPr>
                <w:rFonts w:hint="eastAsia" w:ascii="Times New Roman" w:hAnsi="Times New Roman" w:eastAsia="宋体" w:cs="Times New Roman"/>
                <w:b/>
                <w:color w:val="auto"/>
                <w:sz w:val="21"/>
                <w:highlight w:val="none"/>
                <w:lang w:val="en-US" w:eastAsia="zh-CN"/>
              </w:rPr>
              <w:t>8</w:t>
            </w:r>
            <w:r>
              <w:rPr>
                <w:rFonts w:hint="default" w:ascii="Times New Roman" w:hAnsi="Times New Roman" w:eastAsia="宋体" w:cs="Times New Roman"/>
                <w:b/>
                <w:color w:val="auto"/>
                <w:sz w:val="21"/>
                <w:highlight w:val="none"/>
              </w:rPr>
              <w:t xml:space="preserve"> </w:t>
            </w:r>
            <w:r>
              <w:rPr>
                <w:rFonts w:hint="eastAsia" w:ascii="Times New Roman" w:hAnsi="Times New Roman" w:eastAsia="宋体" w:cs="Times New Roman"/>
                <w:b/>
                <w:color w:val="auto"/>
                <w:sz w:val="21"/>
                <w:highlight w:val="none"/>
                <w:lang w:val="en-US" w:eastAsia="zh-CN"/>
              </w:rPr>
              <w:t>项目有组织</w:t>
            </w:r>
            <w:r>
              <w:rPr>
                <w:rFonts w:hint="default" w:ascii="Times New Roman" w:hAnsi="Times New Roman" w:eastAsia="宋体" w:cs="Times New Roman"/>
                <w:b/>
                <w:color w:val="auto"/>
                <w:sz w:val="21"/>
                <w:highlight w:val="none"/>
              </w:rPr>
              <w:t>废气排放口基本情况</w:t>
            </w:r>
          </w:p>
          <w:tbl>
            <w:tblPr>
              <w:tblStyle w:val="30"/>
              <w:tblW w:w="7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889"/>
              <w:gridCol w:w="871"/>
              <w:gridCol w:w="981"/>
              <w:gridCol w:w="873"/>
              <w:gridCol w:w="1200"/>
              <w:gridCol w:w="1475"/>
              <w:gridCol w:w="788"/>
            </w:tblGrid>
            <w:tr w14:paraId="6790B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485" w:type="pct"/>
                  <w:vMerge w:val="restart"/>
                  <w:vAlign w:val="center"/>
                </w:tcPr>
                <w:p w14:paraId="7781F6D7">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eastAsia" w:ascii="Times New Roman" w:hAnsi="Times New Roman" w:cs="Times New Roman"/>
                      <w:b/>
                      <w:bCs/>
                      <w:color w:val="auto"/>
                      <w:kern w:val="0"/>
                      <w:sz w:val="21"/>
                      <w:szCs w:val="21"/>
                      <w:highlight w:val="none"/>
                      <w:lang w:val="en-US" w:eastAsia="zh-CN"/>
                    </w:rPr>
                    <w:t>工序</w:t>
                  </w:r>
                </w:p>
              </w:tc>
              <w:tc>
                <w:tcPr>
                  <w:tcW w:w="4514" w:type="pct"/>
                  <w:gridSpan w:val="7"/>
                  <w:vAlign w:val="center"/>
                </w:tcPr>
                <w:p w14:paraId="09FCB3CD">
                  <w:pPr>
                    <w:topLinePunct/>
                    <w:autoSpaceDE w:val="0"/>
                    <w:adjustRightInd w:val="0"/>
                    <w:spacing w:line="240" w:lineRule="auto"/>
                    <w:ind w:firstLine="0" w:firstLineChars="0"/>
                    <w:jc w:val="center"/>
                    <w:textAlignment w:val="baseline"/>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排气筒</w:t>
                  </w:r>
                </w:p>
              </w:tc>
            </w:tr>
            <w:tr w14:paraId="1945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485" w:type="pct"/>
                  <w:vMerge w:val="continue"/>
                  <w:vAlign w:val="center"/>
                </w:tcPr>
                <w:p w14:paraId="2F8BC812">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p>
              </w:tc>
              <w:tc>
                <w:tcPr>
                  <w:tcW w:w="567" w:type="pct"/>
                  <w:vAlign w:val="center"/>
                </w:tcPr>
                <w:p w14:paraId="6A25E48B">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eastAsia" w:ascii="Times New Roman" w:hAnsi="Times New Roman" w:cs="Times New Roman"/>
                      <w:b/>
                      <w:bCs/>
                      <w:color w:val="auto"/>
                      <w:kern w:val="0"/>
                      <w:sz w:val="21"/>
                      <w:szCs w:val="21"/>
                      <w:highlight w:val="none"/>
                      <w:lang w:val="en-US" w:eastAsia="zh-CN"/>
                    </w:rPr>
                    <w:t>名称</w:t>
                  </w:r>
                </w:p>
              </w:tc>
              <w:tc>
                <w:tcPr>
                  <w:tcW w:w="555" w:type="pct"/>
                  <w:vAlign w:val="center"/>
                </w:tcPr>
                <w:p w14:paraId="5A31C896">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高度（m）</w:t>
                  </w:r>
                </w:p>
              </w:tc>
              <w:tc>
                <w:tcPr>
                  <w:tcW w:w="625" w:type="pct"/>
                  <w:vAlign w:val="center"/>
                </w:tcPr>
                <w:p w14:paraId="66A3F279">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内径（m）</w:t>
                  </w:r>
                </w:p>
              </w:tc>
              <w:tc>
                <w:tcPr>
                  <w:tcW w:w="556" w:type="pct"/>
                  <w:vAlign w:val="center"/>
                </w:tcPr>
                <w:p w14:paraId="579AD006">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eastAsia" w:ascii="Times New Roman" w:hAnsi="Times New Roman" w:cs="Times New Roman"/>
                      <w:b/>
                      <w:bCs/>
                      <w:color w:val="auto"/>
                      <w:kern w:val="0"/>
                      <w:sz w:val="21"/>
                      <w:szCs w:val="21"/>
                      <w:highlight w:val="none"/>
                      <w:lang w:val="en-US" w:eastAsia="zh-CN"/>
                    </w:rPr>
                    <w:t>温度</w:t>
                  </w:r>
                  <w:r>
                    <w:rPr>
                      <w:b/>
                      <w:color w:val="auto"/>
                      <w:sz w:val="21"/>
                      <w:szCs w:val="21"/>
                    </w:rPr>
                    <w:t>℃</w:t>
                  </w:r>
                </w:p>
              </w:tc>
              <w:tc>
                <w:tcPr>
                  <w:tcW w:w="765" w:type="pct"/>
                  <w:vAlign w:val="center"/>
                </w:tcPr>
                <w:p w14:paraId="2D532C84">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速率</w:t>
                  </w:r>
                  <w:r>
                    <w:rPr>
                      <w:b/>
                      <w:color w:val="auto"/>
                      <w:sz w:val="21"/>
                      <w:szCs w:val="21"/>
                    </w:rPr>
                    <w:t>m/s</w:t>
                  </w:r>
                </w:p>
              </w:tc>
              <w:tc>
                <w:tcPr>
                  <w:tcW w:w="940" w:type="pct"/>
                  <w:vAlign w:val="center"/>
                </w:tcPr>
                <w:p w14:paraId="4C1EFB08">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地理坐标</w:t>
                  </w:r>
                </w:p>
              </w:tc>
              <w:tc>
                <w:tcPr>
                  <w:tcW w:w="502" w:type="pct"/>
                  <w:vAlign w:val="center"/>
                </w:tcPr>
                <w:p w14:paraId="541FA24B">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类型</w:t>
                  </w:r>
                </w:p>
              </w:tc>
            </w:tr>
            <w:tr w14:paraId="3361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485" w:type="pct"/>
                  <w:vAlign w:val="center"/>
                </w:tcPr>
                <w:p w14:paraId="799EBE29">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破碎、筛分、制砂</w:t>
                  </w:r>
                </w:p>
              </w:tc>
              <w:tc>
                <w:tcPr>
                  <w:tcW w:w="567" w:type="pct"/>
                  <w:vAlign w:val="center"/>
                </w:tcPr>
                <w:p w14:paraId="7645A67B">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DA001</w:t>
                  </w:r>
                </w:p>
              </w:tc>
              <w:tc>
                <w:tcPr>
                  <w:tcW w:w="555" w:type="pct"/>
                  <w:vAlign w:val="center"/>
                </w:tcPr>
                <w:p w14:paraId="714D18DF">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27</w:t>
                  </w:r>
                </w:p>
              </w:tc>
              <w:tc>
                <w:tcPr>
                  <w:tcW w:w="625" w:type="pct"/>
                  <w:vAlign w:val="center"/>
                </w:tcPr>
                <w:p w14:paraId="31FA22B4">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zh-CN" w:eastAsia="zh-CN"/>
                    </w:rPr>
                  </w:pPr>
                  <w:r>
                    <w:rPr>
                      <w:rFonts w:hint="default" w:ascii="Times New Roman" w:hAnsi="Times New Roman" w:cs="Times New Roman"/>
                      <w:color w:val="auto"/>
                      <w:kern w:val="0"/>
                      <w:sz w:val="21"/>
                      <w:szCs w:val="21"/>
                      <w:highlight w:val="none"/>
                      <w:lang w:val="zh-CN" w:eastAsia="zh-CN"/>
                    </w:rPr>
                    <w:t>3.5</w:t>
                  </w:r>
                </w:p>
              </w:tc>
              <w:tc>
                <w:tcPr>
                  <w:tcW w:w="556" w:type="pct"/>
                  <w:vAlign w:val="center"/>
                </w:tcPr>
                <w:p w14:paraId="53A06E9A">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zh-CN" w:eastAsia="zh-CN"/>
                    </w:rPr>
                  </w:pPr>
                  <w:r>
                    <w:rPr>
                      <w:rFonts w:hint="default" w:ascii="Times New Roman" w:hAnsi="Times New Roman" w:cs="Times New Roman"/>
                      <w:color w:val="auto"/>
                      <w:kern w:val="0"/>
                      <w:sz w:val="21"/>
                      <w:szCs w:val="21"/>
                      <w:highlight w:val="none"/>
                      <w:lang w:val="zh-CN" w:eastAsia="zh-CN"/>
                    </w:rPr>
                    <w:t>120</w:t>
                  </w:r>
                </w:p>
              </w:tc>
              <w:tc>
                <w:tcPr>
                  <w:tcW w:w="765" w:type="pct"/>
                  <w:vAlign w:val="center"/>
                </w:tcPr>
                <w:p w14:paraId="28C12FB3">
                  <w:pPr>
                    <w:topLinePunct/>
                    <w:autoSpaceDE w:val="0"/>
                    <w:adjustRightInd w:val="0"/>
                    <w:spacing w:line="240" w:lineRule="auto"/>
                    <w:ind w:firstLine="0" w:firstLineChars="0"/>
                    <w:jc w:val="center"/>
                    <w:textAlignment w:val="baseline"/>
                    <w:rPr>
                      <w:rFonts w:hint="default" w:ascii="Times New Roman" w:hAnsi="Times New Roman" w:cs="Times New Roman"/>
                      <w:b w:val="0"/>
                      <w:bCs w:val="0"/>
                      <w:color w:val="auto"/>
                      <w:kern w:val="0"/>
                      <w:sz w:val="21"/>
                      <w:szCs w:val="21"/>
                      <w:highlight w:val="none"/>
                      <w:lang w:val="en-US" w:eastAsia="zh-CN"/>
                    </w:rPr>
                  </w:pPr>
                  <w:r>
                    <w:rPr>
                      <w:rFonts w:hint="eastAsia" w:ascii="Times New Roman" w:hAnsi="Times New Roman" w:cs="Times New Roman"/>
                      <w:b w:val="0"/>
                      <w:bCs w:val="0"/>
                      <w:color w:val="auto"/>
                      <w:kern w:val="0"/>
                      <w:sz w:val="21"/>
                      <w:szCs w:val="21"/>
                      <w:highlight w:val="none"/>
                      <w:lang w:val="en-US" w:eastAsia="zh-CN"/>
                    </w:rPr>
                    <w:t>15</w:t>
                  </w:r>
                </w:p>
              </w:tc>
              <w:tc>
                <w:tcPr>
                  <w:tcW w:w="940" w:type="pct"/>
                  <w:vAlign w:val="center"/>
                </w:tcPr>
                <w:p w14:paraId="24B9D69A">
                  <w:pPr>
                    <w:topLinePunct/>
                    <w:autoSpaceDE w:val="0"/>
                    <w:adjustRightInd w:val="0"/>
                    <w:spacing w:line="240" w:lineRule="auto"/>
                    <w:ind w:firstLine="0" w:firstLineChars="0"/>
                    <w:jc w:val="center"/>
                    <w:textAlignment w:val="baseline"/>
                    <w:rPr>
                      <w:rFonts w:hint="default" w:ascii="Times New Roman" w:hAnsi="Times New Roman" w:cs="Times New Roman"/>
                      <w:b w:val="0"/>
                      <w:bCs w:val="0"/>
                      <w:color w:val="auto"/>
                      <w:kern w:val="0"/>
                      <w:sz w:val="21"/>
                      <w:szCs w:val="21"/>
                      <w:highlight w:val="none"/>
                      <w:lang w:val="zh-CN" w:eastAsia="zh-CN"/>
                    </w:rPr>
                  </w:pPr>
                  <w:r>
                    <w:rPr>
                      <w:rFonts w:hint="eastAsia" w:ascii="Times New Roman" w:hAnsi="Times New Roman" w:cs="Times New Roman"/>
                      <w:b w:val="0"/>
                      <w:bCs w:val="0"/>
                      <w:color w:val="auto"/>
                      <w:kern w:val="0"/>
                      <w:sz w:val="21"/>
                      <w:szCs w:val="21"/>
                      <w:highlight w:val="none"/>
                      <w:lang w:val="en-US" w:eastAsia="zh-CN"/>
                    </w:rPr>
                    <w:t>E</w:t>
                  </w:r>
                  <w:r>
                    <w:rPr>
                      <w:rFonts w:hint="default" w:ascii="Times New Roman" w:hAnsi="Times New Roman" w:cs="Times New Roman"/>
                      <w:b w:val="0"/>
                      <w:bCs w:val="0"/>
                      <w:color w:val="auto"/>
                      <w:kern w:val="0"/>
                      <w:sz w:val="21"/>
                      <w:szCs w:val="21"/>
                      <w:highlight w:val="none"/>
                      <w:lang w:val="zh-CN" w:eastAsia="zh-CN"/>
                    </w:rPr>
                    <w:t>102.7807560</w:t>
                  </w:r>
                </w:p>
                <w:p w14:paraId="48839788">
                  <w:pPr>
                    <w:topLinePunct/>
                    <w:autoSpaceDE w:val="0"/>
                    <w:adjustRightInd w:val="0"/>
                    <w:spacing w:line="240" w:lineRule="auto"/>
                    <w:ind w:firstLine="0" w:firstLineChars="0"/>
                    <w:jc w:val="center"/>
                    <w:textAlignment w:val="baseline"/>
                    <w:rPr>
                      <w:rFonts w:hint="default" w:ascii="Times New Roman" w:hAnsi="Times New Roman" w:cs="Times New Roman"/>
                      <w:b w:val="0"/>
                      <w:bCs w:val="0"/>
                      <w:color w:val="auto"/>
                      <w:kern w:val="0"/>
                      <w:sz w:val="21"/>
                      <w:szCs w:val="21"/>
                      <w:highlight w:val="none"/>
                      <w:lang w:val="zh-CN" w:eastAsia="zh-CN"/>
                    </w:rPr>
                  </w:pPr>
                  <w:r>
                    <w:rPr>
                      <w:rFonts w:hint="eastAsia" w:ascii="Times New Roman" w:hAnsi="Times New Roman" w:cs="Times New Roman"/>
                      <w:b w:val="0"/>
                      <w:bCs w:val="0"/>
                      <w:color w:val="auto"/>
                      <w:kern w:val="0"/>
                      <w:sz w:val="21"/>
                      <w:szCs w:val="21"/>
                      <w:highlight w:val="none"/>
                      <w:lang w:val="en-US" w:eastAsia="zh-CN"/>
                    </w:rPr>
                    <w:t>N</w:t>
                  </w:r>
                  <w:r>
                    <w:rPr>
                      <w:rFonts w:hint="default" w:ascii="Times New Roman" w:hAnsi="Times New Roman" w:cs="Times New Roman"/>
                      <w:b w:val="0"/>
                      <w:bCs w:val="0"/>
                      <w:color w:val="auto"/>
                      <w:kern w:val="0"/>
                      <w:sz w:val="21"/>
                      <w:szCs w:val="21"/>
                      <w:highlight w:val="none"/>
                      <w:lang w:val="zh-CN" w:eastAsia="zh-CN"/>
                    </w:rPr>
                    <w:t>25.49107934</w:t>
                  </w:r>
                </w:p>
              </w:tc>
              <w:tc>
                <w:tcPr>
                  <w:tcW w:w="502" w:type="pct"/>
                  <w:vAlign w:val="center"/>
                </w:tcPr>
                <w:p w14:paraId="50043076">
                  <w:pPr>
                    <w:topLinePunct/>
                    <w:autoSpaceDE w:val="0"/>
                    <w:adjustRightInd w:val="0"/>
                    <w:spacing w:line="240" w:lineRule="auto"/>
                    <w:ind w:firstLine="0" w:firstLineChars="0"/>
                    <w:jc w:val="center"/>
                    <w:textAlignment w:val="baseline"/>
                    <w:rPr>
                      <w:rFonts w:hint="default" w:ascii="Times New Roman" w:hAnsi="Times New Roman" w:cs="Times New Roman"/>
                      <w:b w:val="0"/>
                      <w:bCs w:val="0"/>
                      <w:color w:val="auto"/>
                      <w:kern w:val="0"/>
                      <w:sz w:val="21"/>
                      <w:szCs w:val="21"/>
                      <w:highlight w:val="none"/>
                      <w:lang w:val="en-US" w:eastAsia="zh-CN"/>
                    </w:rPr>
                  </w:pPr>
                  <w:r>
                    <w:rPr>
                      <w:rFonts w:hint="eastAsia" w:ascii="Times New Roman" w:hAnsi="Times New Roman" w:cs="Times New Roman"/>
                      <w:b w:val="0"/>
                      <w:bCs w:val="0"/>
                      <w:color w:val="auto"/>
                      <w:kern w:val="0"/>
                      <w:sz w:val="21"/>
                      <w:szCs w:val="21"/>
                      <w:highlight w:val="none"/>
                      <w:lang w:val="en-US" w:eastAsia="zh-CN"/>
                    </w:rPr>
                    <w:t>一般排口</w:t>
                  </w:r>
                </w:p>
              </w:tc>
            </w:tr>
          </w:tbl>
          <w:p w14:paraId="5469B51B">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jc w:val="center"/>
              <w:textAlignment w:val="auto"/>
              <w:rPr>
                <w:rFonts w:hint="default" w:ascii="Times New Roman" w:hAnsi="Times New Roman" w:cs="Times New Roman"/>
                <w:b/>
                <w:color w:val="auto"/>
                <w:sz w:val="21"/>
                <w:highlight w:val="none"/>
              </w:rPr>
            </w:pPr>
            <w:r>
              <w:rPr>
                <w:rFonts w:hint="default" w:ascii="Times New Roman" w:hAnsi="Times New Roman" w:cs="Times New Roman"/>
                <w:b/>
                <w:color w:val="auto"/>
                <w:sz w:val="21"/>
                <w:highlight w:val="none"/>
              </w:rPr>
              <w:t>表</w:t>
            </w:r>
            <w:r>
              <w:rPr>
                <w:rFonts w:hint="default" w:ascii="Times New Roman" w:hAnsi="Times New Roman" w:cs="Times New Roman"/>
                <w:b/>
                <w:color w:val="auto"/>
                <w:sz w:val="21"/>
                <w:highlight w:val="none"/>
                <w:lang w:val="en-US" w:eastAsia="zh-CN"/>
              </w:rPr>
              <w:t>4-</w:t>
            </w:r>
            <w:r>
              <w:rPr>
                <w:rFonts w:hint="eastAsia" w:ascii="Times New Roman" w:hAnsi="Times New Roman" w:cs="Times New Roman"/>
                <w:b/>
                <w:color w:val="auto"/>
                <w:sz w:val="21"/>
                <w:highlight w:val="none"/>
                <w:lang w:val="en-US" w:eastAsia="zh-CN"/>
              </w:rPr>
              <w:t>9</w:t>
            </w:r>
            <w:r>
              <w:rPr>
                <w:rFonts w:hint="default" w:ascii="Times New Roman" w:hAnsi="Times New Roman" w:cs="Times New Roman"/>
                <w:b/>
                <w:color w:val="auto"/>
                <w:sz w:val="21"/>
                <w:highlight w:val="none"/>
                <w:lang w:val="en-US" w:eastAsia="zh-CN"/>
              </w:rPr>
              <w:t xml:space="preserve">  </w:t>
            </w:r>
            <w:r>
              <w:rPr>
                <w:rFonts w:hint="default" w:ascii="Times New Roman" w:hAnsi="Times New Roman" w:cs="Times New Roman"/>
                <w:b/>
                <w:color w:val="auto"/>
                <w:sz w:val="21"/>
                <w:highlight w:val="none"/>
              </w:rPr>
              <w:t>废气有组织排放源及达标情况一览表</w:t>
            </w:r>
          </w:p>
          <w:tbl>
            <w:tblPr>
              <w:tblStyle w:val="30"/>
              <w:tblW w:w="7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750"/>
              <w:gridCol w:w="675"/>
              <w:gridCol w:w="795"/>
              <w:gridCol w:w="980"/>
              <w:gridCol w:w="796"/>
              <w:gridCol w:w="969"/>
              <w:gridCol w:w="1558"/>
              <w:gridCol w:w="652"/>
            </w:tblGrid>
            <w:tr w14:paraId="591F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pct"/>
                  <w:vMerge w:val="restart"/>
                  <w:vAlign w:val="center"/>
                </w:tcPr>
                <w:p w14:paraId="6A119FF2">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default" w:ascii="Times New Roman" w:hAnsi="Times New Roman" w:cs="Times New Roman"/>
                      <w:b/>
                      <w:bCs/>
                      <w:color w:val="auto"/>
                      <w:kern w:val="0"/>
                      <w:sz w:val="21"/>
                      <w:szCs w:val="21"/>
                      <w:highlight w:val="none"/>
                      <w:lang w:val="zh-CN" w:eastAsia="zh-CN"/>
                    </w:rPr>
                    <w:t>排气筒</w:t>
                  </w:r>
                </w:p>
              </w:tc>
              <w:tc>
                <w:tcPr>
                  <w:tcW w:w="475" w:type="pct"/>
                  <w:vMerge w:val="restart"/>
                  <w:vAlign w:val="center"/>
                </w:tcPr>
                <w:p w14:paraId="5E173354">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default" w:ascii="Times New Roman" w:hAnsi="Times New Roman" w:cs="Times New Roman"/>
                      <w:b/>
                      <w:bCs/>
                      <w:color w:val="auto"/>
                      <w:kern w:val="0"/>
                      <w:sz w:val="21"/>
                      <w:szCs w:val="21"/>
                      <w:highlight w:val="none"/>
                      <w:lang w:val="zh-CN" w:eastAsia="zh-CN"/>
                    </w:rPr>
                    <w:t>排气筒高度/m</w:t>
                  </w:r>
                </w:p>
              </w:tc>
              <w:tc>
                <w:tcPr>
                  <w:tcW w:w="427" w:type="pct"/>
                  <w:vMerge w:val="restart"/>
                  <w:vAlign w:val="center"/>
                </w:tcPr>
                <w:p w14:paraId="2EE93BDB">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default" w:ascii="Times New Roman" w:hAnsi="Times New Roman" w:cs="Times New Roman"/>
                      <w:b/>
                      <w:bCs/>
                      <w:color w:val="auto"/>
                      <w:kern w:val="0"/>
                      <w:sz w:val="21"/>
                      <w:szCs w:val="21"/>
                      <w:highlight w:val="none"/>
                      <w:lang w:val="zh-CN" w:eastAsia="zh-CN"/>
                    </w:rPr>
                    <w:t>排放污染物</w:t>
                  </w:r>
                </w:p>
              </w:tc>
              <w:tc>
                <w:tcPr>
                  <w:tcW w:w="1125" w:type="pct"/>
                  <w:gridSpan w:val="2"/>
                  <w:vAlign w:val="center"/>
                </w:tcPr>
                <w:p w14:paraId="6909E5BD">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default" w:ascii="Times New Roman" w:hAnsi="Times New Roman" w:cs="Times New Roman"/>
                      <w:b/>
                      <w:bCs/>
                      <w:color w:val="auto"/>
                      <w:kern w:val="0"/>
                      <w:sz w:val="21"/>
                      <w:szCs w:val="21"/>
                      <w:highlight w:val="none"/>
                      <w:lang w:val="zh-CN" w:eastAsia="zh-CN"/>
                    </w:rPr>
                    <w:t>排放情况</w:t>
                  </w:r>
                </w:p>
              </w:tc>
              <w:tc>
                <w:tcPr>
                  <w:tcW w:w="1118" w:type="pct"/>
                  <w:gridSpan w:val="2"/>
                  <w:vAlign w:val="center"/>
                </w:tcPr>
                <w:p w14:paraId="31AA9D37">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default" w:ascii="Times New Roman" w:hAnsi="Times New Roman" w:cs="Times New Roman"/>
                      <w:b/>
                      <w:bCs/>
                      <w:color w:val="auto"/>
                      <w:kern w:val="0"/>
                      <w:sz w:val="21"/>
                      <w:szCs w:val="21"/>
                      <w:highlight w:val="none"/>
                      <w:lang w:val="zh-CN" w:eastAsia="zh-CN"/>
                    </w:rPr>
                    <w:t>标准限值</w:t>
                  </w:r>
                </w:p>
              </w:tc>
              <w:tc>
                <w:tcPr>
                  <w:tcW w:w="987" w:type="pct"/>
                  <w:vMerge w:val="restart"/>
                  <w:vAlign w:val="center"/>
                </w:tcPr>
                <w:p w14:paraId="5E3F0971">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zh-CN" w:eastAsia="zh-CN"/>
                    </w:rPr>
                  </w:pPr>
                  <w:r>
                    <w:rPr>
                      <w:rFonts w:hint="default" w:ascii="Times New Roman" w:hAnsi="Times New Roman" w:eastAsia="宋体" w:cs="Times New Roman"/>
                      <w:b/>
                      <w:bCs/>
                      <w:color w:val="auto"/>
                      <w:kern w:val="0"/>
                      <w:sz w:val="21"/>
                      <w:szCs w:val="21"/>
                      <w:highlight w:val="none"/>
                      <w:lang w:val="zh-CN" w:eastAsia="zh-CN"/>
                    </w:rPr>
                    <w:t>执行标准</w:t>
                  </w:r>
                </w:p>
              </w:tc>
              <w:tc>
                <w:tcPr>
                  <w:tcW w:w="413" w:type="pct"/>
                  <w:vMerge w:val="restart"/>
                  <w:vAlign w:val="center"/>
                </w:tcPr>
                <w:p w14:paraId="454DC7D3">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zh-CN" w:eastAsia="zh-CN"/>
                    </w:rPr>
                  </w:pPr>
                  <w:r>
                    <w:rPr>
                      <w:rFonts w:hint="default" w:ascii="Times New Roman" w:hAnsi="Times New Roman" w:eastAsia="宋体" w:cs="Times New Roman"/>
                      <w:b/>
                      <w:bCs/>
                      <w:color w:val="auto"/>
                      <w:kern w:val="0"/>
                      <w:sz w:val="21"/>
                      <w:szCs w:val="21"/>
                      <w:highlight w:val="none"/>
                      <w:lang w:val="zh-CN" w:eastAsia="zh-CN"/>
                    </w:rPr>
                    <w:t>达标情况</w:t>
                  </w:r>
                </w:p>
              </w:tc>
            </w:tr>
            <w:tr w14:paraId="1DB8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451" w:type="pct"/>
                  <w:vMerge w:val="continue"/>
                  <w:vAlign w:val="center"/>
                </w:tcPr>
                <w:p w14:paraId="3678F66C">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p>
              </w:tc>
              <w:tc>
                <w:tcPr>
                  <w:tcW w:w="475" w:type="pct"/>
                  <w:vMerge w:val="continue"/>
                  <w:vAlign w:val="center"/>
                </w:tcPr>
                <w:p w14:paraId="1350EA48">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p>
              </w:tc>
              <w:tc>
                <w:tcPr>
                  <w:tcW w:w="427" w:type="pct"/>
                  <w:vMerge w:val="continue"/>
                  <w:vAlign w:val="center"/>
                </w:tcPr>
                <w:p w14:paraId="769AA4DA">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p>
              </w:tc>
              <w:tc>
                <w:tcPr>
                  <w:tcW w:w="503" w:type="pct"/>
                  <w:vAlign w:val="center"/>
                </w:tcPr>
                <w:p w14:paraId="5D01D470">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default" w:ascii="Times New Roman" w:hAnsi="Times New Roman" w:cs="Times New Roman"/>
                      <w:b/>
                      <w:bCs/>
                      <w:color w:val="auto"/>
                      <w:kern w:val="0"/>
                      <w:sz w:val="21"/>
                      <w:szCs w:val="21"/>
                      <w:highlight w:val="none"/>
                      <w:lang w:val="zh-CN" w:eastAsia="zh-CN"/>
                    </w:rPr>
                    <w:t>速率(kg/h)</w:t>
                  </w:r>
                </w:p>
              </w:tc>
              <w:tc>
                <w:tcPr>
                  <w:tcW w:w="621" w:type="pct"/>
                  <w:vAlign w:val="center"/>
                </w:tcPr>
                <w:p w14:paraId="70B154CA">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default" w:ascii="Times New Roman" w:hAnsi="Times New Roman" w:cs="Times New Roman"/>
                      <w:b/>
                      <w:bCs/>
                      <w:color w:val="auto"/>
                      <w:kern w:val="0"/>
                      <w:sz w:val="21"/>
                      <w:szCs w:val="21"/>
                      <w:highlight w:val="none"/>
                      <w:lang w:val="zh-CN" w:eastAsia="zh-CN"/>
                    </w:rPr>
                    <w:t>浓度(mg/m</w:t>
                  </w:r>
                  <w:r>
                    <w:rPr>
                      <w:rFonts w:hint="default" w:ascii="Times New Roman" w:hAnsi="Times New Roman" w:cs="Times New Roman"/>
                      <w:b/>
                      <w:bCs/>
                      <w:color w:val="auto"/>
                      <w:kern w:val="0"/>
                      <w:sz w:val="21"/>
                      <w:szCs w:val="21"/>
                      <w:highlight w:val="none"/>
                      <w:vertAlign w:val="superscript"/>
                      <w:lang w:val="zh-CN" w:eastAsia="zh-CN"/>
                    </w:rPr>
                    <w:t>3</w:t>
                  </w:r>
                  <w:r>
                    <w:rPr>
                      <w:rFonts w:hint="default" w:ascii="Times New Roman" w:hAnsi="Times New Roman" w:cs="Times New Roman"/>
                      <w:b/>
                      <w:bCs/>
                      <w:color w:val="auto"/>
                      <w:kern w:val="0"/>
                      <w:sz w:val="21"/>
                      <w:szCs w:val="21"/>
                      <w:highlight w:val="none"/>
                      <w:lang w:val="zh-CN" w:eastAsia="zh-CN"/>
                    </w:rPr>
                    <w:t>)</w:t>
                  </w:r>
                </w:p>
              </w:tc>
              <w:tc>
                <w:tcPr>
                  <w:tcW w:w="504" w:type="pct"/>
                  <w:vAlign w:val="center"/>
                </w:tcPr>
                <w:p w14:paraId="236DF008">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default" w:ascii="Times New Roman" w:hAnsi="Times New Roman" w:cs="Times New Roman"/>
                      <w:b/>
                      <w:bCs/>
                      <w:color w:val="auto"/>
                      <w:kern w:val="0"/>
                      <w:sz w:val="21"/>
                      <w:szCs w:val="21"/>
                      <w:highlight w:val="none"/>
                      <w:lang w:val="zh-CN" w:eastAsia="zh-CN"/>
                    </w:rPr>
                    <w:t>速率(kg/h)</w:t>
                  </w:r>
                </w:p>
              </w:tc>
              <w:tc>
                <w:tcPr>
                  <w:tcW w:w="614" w:type="pct"/>
                  <w:vAlign w:val="center"/>
                </w:tcPr>
                <w:p w14:paraId="57BD8EF9">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r>
                    <w:rPr>
                      <w:rFonts w:hint="default" w:ascii="Times New Roman" w:hAnsi="Times New Roman" w:cs="Times New Roman"/>
                      <w:b/>
                      <w:bCs/>
                      <w:color w:val="auto"/>
                      <w:kern w:val="0"/>
                      <w:sz w:val="21"/>
                      <w:szCs w:val="21"/>
                      <w:highlight w:val="none"/>
                      <w:lang w:val="zh-CN" w:eastAsia="zh-CN"/>
                    </w:rPr>
                    <w:t>浓度(mg/m</w:t>
                  </w:r>
                  <w:r>
                    <w:rPr>
                      <w:rFonts w:hint="default" w:ascii="Times New Roman" w:hAnsi="Times New Roman" w:cs="Times New Roman"/>
                      <w:b/>
                      <w:bCs/>
                      <w:color w:val="auto"/>
                      <w:kern w:val="0"/>
                      <w:sz w:val="21"/>
                      <w:szCs w:val="21"/>
                      <w:highlight w:val="none"/>
                      <w:vertAlign w:val="superscript"/>
                      <w:lang w:val="zh-CN" w:eastAsia="zh-CN"/>
                    </w:rPr>
                    <w:t>3</w:t>
                  </w:r>
                  <w:r>
                    <w:rPr>
                      <w:rFonts w:hint="default" w:ascii="Times New Roman" w:hAnsi="Times New Roman" w:cs="Times New Roman"/>
                      <w:b/>
                      <w:bCs/>
                      <w:color w:val="auto"/>
                      <w:kern w:val="0"/>
                      <w:sz w:val="21"/>
                      <w:szCs w:val="21"/>
                      <w:highlight w:val="none"/>
                      <w:lang w:val="zh-CN" w:eastAsia="zh-CN"/>
                    </w:rPr>
                    <w:t>)</w:t>
                  </w:r>
                </w:p>
              </w:tc>
              <w:tc>
                <w:tcPr>
                  <w:tcW w:w="987" w:type="pct"/>
                  <w:vMerge w:val="continue"/>
                  <w:vAlign w:val="center"/>
                </w:tcPr>
                <w:p w14:paraId="3ACC0FE6">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p>
              </w:tc>
              <w:tc>
                <w:tcPr>
                  <w:tcW w:w="413" w:type="pct"/>
                  <w:vMerge w:val="continue"/>
                  <w:vAlign w:val="center"/>
                </w:tcPr>
                <w:p w14:paraId="47D40F70">
                  <w:pPr>
                    <w:topLinePunct/>
                    <w:autoSpaceDE w:val="0"/>
                    <w:adjustRightInd w:val="0"/>
                    <w:spacing w:line="240" w:lineRule="auto"/>
                    <w:ind w:firstLine="0" w:firstLineChars="0"/>
                    <w:jc w:val="center"/>
                    <w:textAlignment w:val="baseline"/>
                    <w:rPr>
                      <w:rFonts w:hint="default" w:ascii="Times New Roman" w:hAnsi="Times New Roman" w:cs="Times New Roman"/>
                      <w:b/>
                      <w:bCs/>
                      <w:color w:val="auto"/>
                      <w:kern w:val="0"/>
                      <w:sz w:val="21"/>
                      <w:szCs w:val="21"/>
                      <w:highlight w:val="none"/>
                      <w:lang w:val="zh-CN" w:eastAsia="zh-CN"/>
                    </w:rPr>
                  </w:pPr>
                </w:p>
              </w:tc>
            </w:tr>
            <w:tr w14:paraId="352A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451" w:type="pct"/>
                  <w:vAlign w:val="center"/>
                </w:tcPr>
                <w:p w14:paraId="29418E9F">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zh-CN" w:eastAsia="zh-CN"/>
                    </w:rPr>
                  </w:pPr>
                  <w:r>
                    <w:rPr>
                      <w:rFonts w:hint="default" w:ascii="Times New Roman" w:hAnsi="Times New Roman" w:cs="Times New Roman"/>
                      <w:color w:val="auto"/>
                      <w:kern w:val="0"/>
                      <w:sz w:val="21"/>
                      <w:szCs w:val="21"/>
                      <w:highlight w:val="none"/>
                      <w:lang w:val="zh-CN" w:eastAsia="zh-CN"/>
                    </w:rPr>
                    <w:t>DA001</w:t>
                  </w:r>
                </w:p>
              </w:tc>
              <w:tc>
                <w:tcPr>
                  <w:tcW w:w="475" w:type="pct"/>
                  <w:vAlign w:val="center"/>
                </w:tcPr>
                <w:p w14:paraId="797B852A">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zh-CN" w:eastAsia="zh-CN"/>
                    </w:rPr>
                  </w:pPr>
                  <w:r>
                    <w:rPr>
                      <w:rFonts w:hint="default" w:ascii="Times New Roman" w:hAnsi="Times New Roman" w:cs="Times New Roman"/>
                      <w:color w:val="auto"/>
                      <w:kern w:val="0"/>
                      <w:sz w:val="21"/>
                      <w:szCs w:val="21"/>
                      <w:highlight w:val="none"/>
                      <w:lang w:val="zh-CN" w:eastAsia="zh-CN"/>
                    </w:rPr>
                    <w:t>15</w:t>
                  </w:r>
                </w:p>
              </w:tc>
              <w:tc>
                <w:tcPr>
                  <w:tcW w:w="427" w:type="pct"/>
                  <w:vAlign w:val="center"/>
                </w:tcPr>
                <w:p w14:paraId="2BFC478F">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zh-CN" w:eastAsia="zh-CN"/>
                    </w:rPr>
                  </w:pPr>
                  <w:r>
                    <w:rPr>
                      <w:rFonts w:hint="default" w:ascii="Times New Roman" w:hAnsi="Times New Roman" w:cs="Times New Roman"/>
                      <w:color w:val="auto"/>
                      <w:kern w:val="0"/>
                      <w:sz w:val="21"/>
                      <w:szCs w:val="21"/>
                      <w:highlight w:val="none"/>
                      <w:lang w:val="zh-CN" w:eastAsia="zh-CN"/>
                    </w:rPr>
                    <w:t>颗粒物</w:t>
                  </w:r>
                </w:p>
              </w:tc>
              <w:tc>
                <w:tcPr>
                  <w:tcW w:w="503" w:type="pct"/>
                  <w:vAlign w:val="center"/>
                </w:tcPr>
                <w:p w14:paraId="452D4FCF">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0.54</w:t>
                  </w:r>
                </w:p>
              </w:tc>
              <w:tc>
                <w:tcPr>
                  <w:tcW w:w="621" w:type="pct"/>
                  <w:vAlign w:val="center"/>
                </w:tcPr>
                <w:p w14:paraId="232681B3">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27</w:t>
                  </w:r>
                </w:p>
              </w:tc>
              <w:tc>
                <w:tcPr>
                  <w:tcW w:w="504" w:type="pct"/>
                  <w:vAlign w:val="center"/>
                </w:tcPr>
                <w:p w14:paraId="3C89720C">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zh-CN" w:eastAsia="zh-CN"/>
                    </w:rPr>
                  </w:pPr>
                  <w:r>
                    <w:rPr>
                      <w:rFonts w:hint="default" w:ascii="Times New Roman" w:hAnsi="Times New Roman" w:cs="Times New Roman"/>
                      <w:color w:val="auto"/>
                      <w:kern w:val="0"/>
                      <w:sz w:val="21"/>
                      <w:szCs w:val="21"/>
                      <w:highlight w:val="none"/>
                      <w:lang w:val="zh-CN" w:eastAsia="zh-CN"/>
                    </w:rPr>
                    <w:t>3.5</w:t>
                  </w:r>
                </w:p>
              </w:tc>
              <w:tc>
                <w:tcPr>
                  <w:tcW w:w="614" w:type="pct"/>
                  <w:vAlign w:val="center"/>
                </w:tcPr>
                <w:p w14:paraId="3BBF1EE0">
                  <w:pPr>
                    <w:topLinePunct/>
                    <w:autoSpaceDE w:val="0"/>
                    <w:adjustRightInd w:val="0"/>
                    <w:spacing w:line="240" w:lineRule="auto"/>
                    <w:ind w:firstLine="0" w:firstLineChars="0"/>
                    <w:jc w:val="center"/>
                    <w:textAlignment w:val="baseline"/>
                    <w:rPr>
                      <w:rFonts w:hint="default" w:ascii="Times New Roman" w:hAnsi="Times New Roman" w:cs="Times New Roman"/>
                      <w:color w:val="auto"/>
                      <w:kern w:val="0"/>
                      <w:sz w:val="21"/>
                      <w:szCs w:val="21"/>
                      <w:highlight w:val="none"/>
                      <w:lang w:val="zh-CN" w:eastAsia="zh-CN"/>
                    </w:rPr>
                  </w:pPr>
                  <w:r>
                    <w:rPr>
                      <w:rFonts w:hint="default" w:ascii="Times New Roman" w:hAnsi="Times New Roman" w:cs="Times New Roman"/>
                      <w:color w:val="auto"/>
                      <w:kern w:val="0"/>
                      <w:sz w:val="21"/>
                      <w:szCs w:val="21"/>
                      <w:highlight w:val="none"/>
                      <w:lang w:val="zh-CN" w:eastAsia="zh-CN"/>
                    </w:rPr>
                    <w:t>120</w:t>
                  </w:r>
                </w:p>
              </w:tc>
              <w:tc>
                <w:tcPr>
                  <w:tcW w:w="987" w:type="pct"/>
                  <w:vAlign w:val="center"/>
                </w:tcPr>
                <w:p w14:paraId="6B84B318">
                  <w:pPr>
                    <w:topLinePunct/>
                    <w:autoSpaceDE w:val="0"/>
                    <w:adjustRightInd w:val="0"/>
                    <w:spacing w:line="240" w:lineRule="auto"/>
                    <w:ind w:firstLine="0" w:firstLineChars="0"/>
                    <w:jc w:val="center"/>
                    <w:textAlignment w:val="baseline"/>
                    <w:rPr>
                      <w:rFonts w:hint="default" w:ascii="Times New Roman" w:hAnsi="Times New Roman" w:cs="Times New Roman"/>
                      <w:b w:val="0"/>
                      <w:bCs w:val="0"/>
                      <w:color w:val="auto"/>
                      <w:kern w:val="0"/>
                      <w:sz w:val="21"/>
                      <w:szCs w:val="21"/>
                      <w:highlight w:val="none"/>
                      <w:lang w:val="zh-CN" w:eastAsia="zh-CN"/>
                    </w:rPr>
                  </w:pPr>
                  <w:r>
                    <w:rPr>
                      <w:rFonts w:hint="default" w:ascii="Times New Roman" w:hAnsi="Times New Roman" w:cs="Times New Roman"/>
                      <w:b w:val="0"/>
                      <w:bCs w:val="0"/>
                      <w:color w:val="auto"/>
                      <w:kern w:val="0"/>
                      <w:sz w:val="21"/>
                      <w:szCs w:val="21"/>
                      <w:highlight w:val="none"/>
                      <w:lang w:val="zh-CN" w:eastAsia="zh-CN"/>
                    </w:rPr>
                    <w:t>《大气污染物综合排放标准》（GB16297-1996）表2中二级标准</w:t>
                  </w:r>
                </w:p>
              </w:tc>
              <w:tc>
                <w:tcPr>
                  <w:tcW w:w="413" w:type="pct"/>
                  <w:vAlign w:val="center"/>
                </w:tcPr>
                <w:p w14:paraId="3100EA84">
                  <w:pPr>
                    <w:topLinePunct/>
                    <w:autoSpaceDE w:val="0"/>
                    <w:adjustRightInd w:val="0"/>
                    <w:spacing w:line="240" w:lineRule="auto"/>
                    <w:ind w:firstLine="0" w:firstLineChars="0"/>
                    <w:jc w:val="center"/>
                    <w:textAlignment w:val="baseline"/>
                    <w:rPr>
                      <w:rFonts w:hint="default" w:ascii="Times New Roman" w:hAnsi="Times New Roman" w:cs="Times New Roman"/>
                      <w:b w:val="0"/>
                      <w:bCs w:val="0"/>
                      <w:color w:val="auto"/>
                      <w:kern w:val="0"/>
                      <w:sz w:val="21"/>
                      <w:szCs w:val="21"/>
                      <w:highlight w:val="none"/>
                      <w:lang w:val="zh-CN" w:eastAsia="zh-CN"/>
                    </w:rPr>
                  </w:pPr>
                  <w:r>
                    <w:rPr>
                      <w:rFonts w:hint="default" w:ascii="Times New Roman" w:hAnsi="Times New Roman" w:cs="Times New Roman"/>
                      <w:b w:val="0"/>
                      <w:bCs w:val="0"/>
                      <w:color w:val="auto"/>
                      <w:kern w:val="0"/>
                      <w:sz w:val="21"/>
                      <w:szCs w:val="21"/>
                      <w:highlight w:val="none"/>
                      <w:lang w:val="zh-CN" w:eastAsia="zh-CN"/>
                    </w:rPr>
                    <w:t>达标</w:t>
                  </w:r>
                </w:p>
              </w:tc>
            </w:tr>
          </w:tbl>
          <w:p w14:paraId="73B0B0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由上表可知，项目DA001排气筒排放的颗粒物速率、浓度均能够达到《大气污染物综合排放标准》（GB16297-1996）表2中大气污染物排放限值要求。</w:t>
            </w:r>
          </w:p>
          <w:p w14:paraId="02993AB4">
            <w:pPr>
              <w:spacing w:before="156" w:beforeLines="50"/>
              <w:ind w:firstLine="482"/>
              <w:rPr>
                <w:b/>
                <w:bCs/>
                <w:color w:val="auto"/>
              </w:rPr>
            </w:pPr>
            <w:r>
              <w:rPr>
                <w:rFonts w:hint="eastAsia" w:cs="Times New Roman"/>
                <w:b/>
                <w:bCs/>
                <w:color w:val="auto"/>
                <w:sz w:val="24"/>
                <w:szCs w:val="24"/>
                <w:highlight w:val="none"/>
                <w:lang w:val="en-US" w:eastAsia="zh-CN"/>
              </w:rPr>
              <w:t>6、</w:t>
            </w:r>
            <w:r>
              <w:rPr>
                <w:rFonts w:hint="eastAsia"/>
                <w:b/>
                <w:bCs/>
                <w:color w:val="auto"/>
              </w:rPr>
              <w:t>废气排放量统计</w:t>
            </w:r>
          </w:p>
          <w:p w14:paraId="4B6DC29D">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jc w:val="center"/>
              <w:textAlignment w:val="auto"/>
              <w:rPr>
                <w:rFonts w:hint="default" w:ascii="Times New Roman" w:hAnsi="Times New Roman" w:cs="Times New Roman"/>
                <w:b/>
                <w:color w:val="auto"/>
                <w:sz w:val="21"/>
                <w:highlight w:val="none"/>
              </w:rPr>
            </w:pPr>
            <w:r>
              <w:rPr>
                <w:rFonts w:hint="default" w:ascii="Times New Roman" w:hAnsi="Times New Roman" w:cs="Times New Roman"/>
                <w:b/>
                <w:color w:val="auto"/>
                <w:sz w:val="21"/>
                <w:highlight w:val="none"/>
              </w:rPr>
              <w:t>表</w:t>
            </w:r>
            <w:r>
              <w:rPr>
                <w:rFonts w:hint="eastAsia" w:ascii="Times New Roman" w:hAnsi="Times New Roman" w:cs="Times New Roman"/>
                <w:b/>
                <w:color w:val="auto"/>
                <w:sz w:val="21"/>
                <w:highlight w:val="none"/>
              </w:rPr>
              <w:t>4-</w:t>
            </w:r>
            <w:r>
              <w:rPr>
                <w:rFonts w:hint="eastAsia" w:cs="Times New Roman"/>
                <w:b/>
                <w:color w:val="auto"/>
                <w:sz w:val="21"/>
                <w:highlight w:val="none"/>
                <w:lang w:val="en-US" w:eastAsia="zh-CN"/>
              </w:rPr>
              <w:t>10</w:t>
            </w:r>
            <w:r>
              <w:rPr>
                <w:rFonts w:hint="default" w:ascii="Times New Roman" w:hAnsi="Times New Roman" w:cs="Times New Roman"/>
                <w:b/>
                <w:color w:val="auto"/>
                <w:sz w:val="21"/>
                <w:highlight w:val="none"/>
              </w:rPr>
              <w:t xml:space="preserve"> 废气污染物有组织排放量一览表</w:t>
            </w:r>
          </w:p>
          <w:tbl>
            <w:tblPr>
              <w:tblStyle w:val="31"/>
              <w:tblW w:w="50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1231"/>
              <w:gridCol w:w="1080"/>
              <w:gridCol w:w="1792"/>
              <w:gridCol w:w="1663"/>
              <w:gridCol w:w="1436"/>
            </w:tblGrid>
            <w:tr w14:paraId="60896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417" w:type="pct"/>
                  <w:vAlign w:val="center"/>
                </w:tcPr>
                <w:p w14:paraId="4CCFD5DB">
                  <w:pPr>
                    <w:adjustRightInd w:val="0"/>
                    <w:spacing w:line="360" w:lineRule="exact"/>
                    <w:ind w:firstLine="0" w:firstLineChars="0"/>
                    <w:jc w:val="center"/>
                    <w:rPr>
                      <w:b/>
                      <w:bCs/>
                      <w:snapToGrid w:val="0"/>
                      <w:color w:val="auto"/>
                      <w:sz w:val="21"/>
                      <w:szCs w:val="21"/>
                      <w:lang w:bidi="ar"/>
                    </w:rPr>
                  </w:pPr>
                  <w:r>
                    <w:rPr>
                      <w:b/>
                      <w:bCs/>
                      <w:snapToGrid w:val="0"/>
                      <w:color w:val="auto"/>
                      <w:sz w:val="21"/>
                      <w:szCs w:val="21"/>
                      <w:lang w:bidi="ar"/>
                    </w:rPr>
                    <w:t>序号</w:t>
                  </w:r>
                </w:p>
              </w:tc>
              <w:tc>
                <w:tcPr>
                  <w:tcW w:w="783" w:type="pct"/>
                  <w:vAlign w:val="center"/>
                </w:tcPr>
                <w:p w14:paraId="5C4C14B7">
                  <w:pPr>
                    <w:adjustRightInd w:val="0"/>
                    <w:spacing w:line="360" w:lineRule="exact"/>
                    <w:ind w:firstLine="0" w:firstLineChars="0"/>
                    <w:jc w:val="center"/>
                    <w:rPr>
                      <w:b/>
                      <w:bCs/>
                      <w:snapToGrid w:val="0"/>
                      <w:color w:val="auto"/>
                      <w:sz w:val="21"/>
                      <w:szCs w:val="21"/>
                      <w:lang w:bidi="ar"/>
                    </w:rPr>
                  </w:pPr>
                  <w:r>
                    <w:rPr>
                      <w:b/>
                      <w:bCs/>
                      <w:snapToGrid w:val="0"/>
                      <w:color w:val="auto"/>
                      <w:sz w:val="21"/>
                      <w:szCs w:val="21"/>
                      <w:lang w:bidi="ar"/>
                    </w:rPr>
                    <w:t>排放口编号</w:t>
                  </w:r>
                </w:p>
              </w:tc>
              <w:tc>
                <w:tcPr>
                  <w:tcW w:w="687" w:type="pct"/>
                  <w:vAlign w:val="center"/>
                </w:tcPr>
                <w:p w14:paraId="6DC3885E">
                  <w:pPr>
                    <w:adjustRightInd w:val="0"/>
                    <w:spacing w:line="360" w:lineRule="exact"/>
                    <w:ind w:firstLine="0" w:firstLineChars="0"/>
                    <w:jc w:val="center"/>
                    <w:rPr>
                      <w:b/>
                      <w:bCs/>
                      <w:snapToGrid w:val="0"/>
                      <w:color w:val="auto"/>
                      <w:sz w:val="21"/>
                      <w:szCs w:val="21"/>
                      <w:lang w:bidi="ar"/>
                    </w:rPr>
                  </w:pPr>
                  <w:r>
                    <w:rPr>
                      <w:b/>
                      <w:bCs/>
                      <w:snapToGrid w:val="0"/>
                      <w:color w:val="auto"/>
                      <w:sz w:val="21"/>
                      <w:szCs w:val="21"/>
                      <w:lang w:bidi="ar"/>
                    </w:rPr>
                    <w:t>污染物</w:t>
                  </w:r>
                </w:p>
              </w:tc>
              <w:tc>
                <w:tcPr>
                  <w:tcW w:w="1140" w:type="pct"/>
                  <w:vAlign w:val="center"/>
                </w:tcPr>
                <w:p w14:paraId="015380D4">
                  <w:pPr>
                    <w:adjustRightInd w:val="0"/>
                    <w:spacing w:line="360" w:lineRule="exact"/>
                    <w:ind w:firstLine="0" w:firstLineChars="0"/>
                    <w:jc w:val="center"/>
                    <w:rPr>
                      <w:b/>
                      <w:bCs/>
                      <w:snapToGrid w:val="0"/>
                      <w:color w:val="auto"/>
                      <w:sz w:val="21"/>
                      <w:szCs w:val="21"/>
                      <w:lang w:bidi="ar"/>
                    </w:rPr>
                  </w:pPr>
                  <w:r>
                    <w:rPr>
                      <w:b/>
                      <w:bCs/>
                      <w:snapToGrid w:val="0"/>
                      <w:color w:val="auto"/>
                      <w:sz w:val="21"/>
                      <w:szCs w:val="21"/>
                      <w:lang w:bidi="ar"/>
                    </w:rPr>
                    <w:t>排放浓度</w:t>
                  </w:r>
                  <w:r>
                    <w:rPr>
                      <w:b/>
                      <w:bCs/>
                      <w:color w:val="auto"/>
                      <w:kern w:val="0"/>
                      <w:sz w:val="21"/>
                      <w:szCs w:val="21"/>
                    </w:rPr>
                    <w:t>（mg/m</w:t>
                  </w:r>
                  <w:r>
                    <w:rPr>
                      <w:b/>
                      <w:bCs/>
                      <w:color w:val="auto"/>
                      <w:kern w:val="0"/>
                      <w:sz w:val="21"/>
                      <w:szCs w:val="21"/>
                      <w:vertAlign w:val="superscript"/>
                    </w:rPr>
                    <w:t>3</w:t>
                  </w:r>
                  <w:r>
                    <w:rPr>
                      <w:b/>
                      <w:bCs/>
                      <w:color w:val="auto"/>
                      <w:kern w:val="0"/>
                      <w:sz w:val="21"/>
                      <w:szCs w:val="21"/>
                    </w:rPr>
                    <w:t>）</w:t>
                  </w:r>
                </w:p>
              </w:tc>
              <w:tc>
                <w:tcPr>
                  <w:tcW w:w="1058" w:type="pct"/>
                  <w:vAlign w:val="center"/>
                </w:tcPr>
                <w:p w14:paraId="7B81F019">
                  <w:pPr>
                    <w:adjustRightInd w:val="0"/>
                    <w:spacing w:line="360" w:lineRule="exact"/>
                    <w:ind w:firstLine="0" w:firstLineChars="0"/>
                    <w:jc w:val="center"/>
                    <w:rPr>
                      <w:b/>
                      <w:bCs/>
                      <w:snapToGrid w:val="0"/>
                      <w:color w:val="auto"/>
                      <w:sz w:val="21"/>
                      <w:szCs w:val="21"/>
                      <w:lang w:bidi="ar"/>
                    </w:rPr>
                  </w:pPr>
                  <w:r>
                    <w:rPr>
                      <w:b/>
                      <w:bCs/>
                      <w:snapToGrid w:val="0"/>
                      <w:color w:val="auto"/>
                      <w:sz w:val="21"/>
                      <w:szCs w:val="21"/>
                      <w:lang w:bidi="ar"/>
                    </w:rPr>
                    <w:t>排放速率</w:t>
                  </w:r>
                  <w:r>
                    <w:rPr>
                      <w:b/>
                      <w:bCs/>
                      <w:color w:val="auto"/>
                      <w:kern w:val="0"/>
                      <w:sz w:val="21"/>
                      <w:szCs w:val="21"/>
                    </w:rPr>
                    <w:t>（kg/h）</w:t>
                  </w:r>
                </w:p>
              </w:tc>
              <w:tc>
                <w:tcPr>
                  <w:tcW w:w="913" w:type="pct"/>
                  <w:vAlign w:val="center"/>
                </w:tcPr>
                <w:p w14:paraId="42E4D9EE">
                  <w:pPr>
                    <w:adjustRightInd w:val="0"/>
                    <w:spacing w:line="360" w:lineRule="exact"/>
                    <w:ind w:firstLine="0" w:firstLineChars="0"/>
                    <w:jc w:val="center"/>
                    <w:rPr>
                      <w:b/>
                      <w:bCs/>
                      <w:snapToGrid w:val="0"/>
                      <w:color w:val="auto"/>
                      <w:sz w:val="21"/>
                      <w:szCs w:val="21"/>
                      <w:lang w:bidi="ar"/>
                    </w:rPr>
                  </w:pPr>
                  <w:r>
                    <w:rPr>
                      <w:b/>
                      <w:bCs/>
                      <w:snapToGrid w:val="0"/>
                      <w:color w:val="auto"/>
                      <w:sz w:val="21"/>
                      <w:szCs w:val="21"/>
                      <w:lang w:bidi="ar"/>
                    </w:rPr>
                    <w:t>排放量（t/a）</w:t>
                  </w:r>
                </w:p>
              </w:tc>
            </w:tr>
            <w:tr w14:paraId="3953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417" w:type="pct"/>
                  <w:vAlign w:val="center"/>
                </w:tcPr>
                <w:p w14:paraId="120B1B70">
                  <w:pPr>
                    <w:adjustRightInd w:val="0"/>
                    <w:spacing w:line="360" w:lineRule="exact"/>
                    <w:ind w:firstLine="0" w:firstLineChars="0"/>
                    <w:jc w:val="center"/>
                    <w:rPr>
                      <w:snapToGrid w:val="0"/>
                      <w:color w:val="auto"/>
                      <w:sz w:val="21"/>
                      <w:szCs w:val="21"/>
                      <w:lang w:bidi="ar"/>
                    </w:rPr>
                  </w:pPr>
                  <w:r>
                    <w:rPr>
                      <w:rFonts w:hint="eastAsia"/>
                      <w:snapToGrid w:val="0"/>
                      <w:color w:val="auto"/>
                      <w:sz w:val="21"/>
                      <w:szCs w:val="21"/>
                      <w:lang w:bidi="ar"/>
                    </w:rPr>
                    <w:t>1</w:t>
                  </w:r>
                </w:p>
              </w:tc>
              <w:tc>
                <w:tcPr>
                  <w:tcW w:w="783" w:type="pct"/>
                  <w:vAlign w:val="center"/>
                </w:tcPr>
                <w:p w14:paraId="4F285966">
                  <w:pPr>
                    <w:adjustRightInd w:val="0"/>
                    <w:spacing w:line="360" w:lineRule="exact"/>
                    <w:ind w:firstLine="0" w:firstLineChars="0"/>
                    <w:jc w:val="center"/>
                    <w:rPr>
                      <w:snapToGrid w:val="0"/>
                      <w:color w:val="auto"/>
                      <w:sz w:val="21"/>
                      <w:szCs w:val="21"/>
                      <w:lang w:bidi="ar"/>
                    </w:rPr>
                  </w:pPr>
                  <w:r>
                    <w:rPr>
                      <w:snapToGrid w:val="0"/>
                      <w:color w:val="auto"/>
                      <w:sz w:val="21"/>
                      <w:szCs w:val="21"/>
                      <w:lang w:bidi="ar"/>
                    </w:rPr>
                    <w:t>DA00</w:t>
                  </w:r>
                  <w:r>
                    <w:rPr>
                      <w:rFonts w:hint="eastAsia"/>
                      <w:snapToGrid w:val="0"/>
                      <w:color w:val="auto"/>
                      <w:sz w:val="21"/>
                      <w:szCs w:val="21"/>
                      <w:lang w:bidi="ar"/>
                    </w:rPr>
                    <w:t>1</w:t>
                  </w:r>
                </w:p>
              </w:tc>
              <w:tc>
                <w:tcPr>
                  <w:tcW w:w="687" w:type="pct"/>
                  <w:vAlign w:val="center"/>
                </w:tcPr>
                <w:p w14:paraId="59FA835B">
                  <w:pPr>
                    <w:adjustRightInd w:val="0"/>
                    <w:spacing w:line="360" w:lineRule="exact"/>
                    <w:ind w:firstLine="0" w:firstLineChars="0"/>
                    <w:jc w:val="center"/>
                    <w:rPr>
                      <w:snapToGrid w:val="0"/>
                      <w:color w:val="auto"/>
                      <w:sz w:val="21"/>
                      <w:szCs w:val="21"/>
                      <w:lang w:bidi="ar"/>
                    </w:rPr>
                  </w:pPr>
                  <w:r>
                    <w:rPr>
                      <w:color w:val="auto"/>
                      <w:sz w:val="21"/>
                      <w:szCs w:val="21"/>
                    </w:rPr>
                    <w:t>颗粒物</w:t>
                  </w:r>
                </w:p>
              </w:tc>
              <w:tc>
                <w:tcPr>
                  <w:tcW w:w="1140" w:type="pct"/>
                  <w:vAlign w:val="center"/>
                </w:tcPr>
                <w:p w14:paraId="7A8E2A13">
                  <w:pPr>
                    <w:spacing w:line="360" w:lineRule="exact"/>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27</w:t>
                  </w:r>
                </w:p>
              </w:tc>
              <w:tc>
                <w:tcPr>
                  <w:tcW w:w="1058" w:type="pct"/>
                  <w:vAlign w:val="center"/>
                </w:tcPr>
                <w:p w14:paraId="3AF109F2">
                  <w:pPr>
                    <w:spacing w:line="360" w:lineRule="exact"/>
                    <w:ind w:firstLine="0" w:firstLineChars="0"/>
                    <w:jc w:val="center"/>
                    <w:rPr>
                      <w:rFonts w:hint="default" w:eastAsia="宋体"/>
                      <w:bCs/>
                      <w:color w:val="auto"/>
                      <w:sz w:val="21"/>
                      <w:szCs w:val="21"/>
                      <w:lang w:val="en-US" w:eastAsia="zh-CN"/>
                    </w:rPr>
                  </w:pPr>
                  <w:r>
                    <w:rPr>
                      <w:rFonts w:hint="eastAsia"/>
                      <w:bCs/>
                      <w:color w:val="auto"/>
                      <w:sz w:val="21"/>
                      <w:szCs w:val="21"/>
                      <w:lang w:val="en-US" w:eastAsia="zh-CN"/>
                    </w:rPr>
                    <w:t>0.54</w:t>
                  </w:r>
                </w:p>
              </w:tc>
              <w:tc>
                <w:tcPr>
                  <w:tcW w:w="913" w:type="pct"/>
                  <w:vAlign w:val="center"/>
                </w:tcPr>
                <w:p w14:paraId="4C176A3F">
                  <w:pPr>
                    <w:spacing w:line="360" w:lineRule="exact"/>
                    <w:ind w:firstLine="0" w:firstLineChars="0"/>
                    <w:jc w:val="center"/>
                    <w:rPr>
                      <w:rFonts w:hint="default" w:eastAsia="宋体"/>
                      <w:snapToGrid w:val="0"/>
                      <w:color w:val="auto"/>
                      <w:sz w:val="21"/>
                      <w:szCs w:val="21"/>
                      <w:lang w:val="en-US" w:eastAsia="zh-CN" w:bidi="ar"/>
                    </w:rPr>
                  </w:pPr>
                  <w:r>
                    <w:rPr>
                      <w:rFonts w:hint="eastAsia"/>
                      <w:color w:val="auto"/>
                      <w:sz w:val="21"/>
                      <w:szCs w:val="21"/>
                      <w:lang w:val="en-US" w:eastAsia="zh-CN"/>
                    </w:rPr>
                    <w:t>1.305</w:t>
                  </w:r>
                </w:p>
              </w:tc>
            </w:tr>
          </w:tbl>
          <w:p w14:paraId="02054505">
            <w:pPr>
              <w:keepNext w:val="0"/>
              <w:keepLines w:val="0"/>
              <w:pageBreakBefore w:val="0"/>
              <w:widowControl w:val="0"/>
              <w:kinsoku/>
              <w:wordWrap/>
              <w:overflowPunct/>
              <w:topLinePunct w:val="0"/>
              <w:autoSpaceDE/>
              <w:autoSpaceDN/>
              <w:bidi w:val="0"/>
              <w:adjustRightInd/>
              <w:snapToGrid/>
              <w:spacing w:before="313" w:beforeLines="100" w:line="240" w:lineRule="auto"/>
              <w:ind w:firstLine="0" w:firstLineChars="0"/>
              <w:jc w:val="center"/>
              <w:textAlignment w:val="auto"/>
              <w:rPr>
                <w:rFonts w:hint="default" w:ascii="Times New Roman" w:hAnsi="Times New Roman" w:cs="Times New Roman"/>
                <w:b/>
                <w:color w:val="auto"/>
                <w:sz w:val="21"/>
                <w:highlight w:val="none"/>
              </w:rPr>
            </w:pPr>
            <w:r>
              <w:rPr>
                <w:rFonts w:hint="default" w:ascii="Times New Roman" w:hAnsi="Times New Roman" w:cs="Times New Roman"/>
                <w:b/>
                <w:color w:val="auto"/>
                <w:sz w:val="21"/>
                <w:highlight w:val="none"/>
              </w:rPr>
              <w:t>表</w:t>
            </w:r>
            <w:r>
              <w:rPr>
                <w:rFonts w:hint="eastAsia" w:ascii="Times New Roman" w:hAnsi="Times New Roman" w:cs="Times New Roman"/>
                <w:b/>
                <w:color w:val="auto"/>
                <w:sz w:val="21"/>
                <w:highlight w:val="none"/>
              </w:rPr>
              <w:t>4-</w:t>
            </w:r>
            <w:r>
              <w:rPr>
                <w:rFonts w:hint="eastAsia" w:cs="Times New Roman"/>
                <w:b/>
                <w:color w:val="auto"/>
                <w:sz w:val="21"/>
                <w:highlight w:val="none"/>
                <w:lang w:val="en-US" w:eastAsia="zh-CN"/>
              </w:rPr>
              <w:t>11</w:t>
            </w:r>
            <w:r>
              <w:rPr>
                <w:rFonts w:hint="default" w:ascii="Times New Roman" w:hAnsi="Times New Roman" w:cs="Times New Roman"/>
                <w:b/>
                <w:color w:val="auto"/>
                <w:sz w:val="21"/>
                <w:highlight w:val="none"/>
              </w:rPr>
              <w:t xml:space="preserve"> 废气污染物</w:t>
            </w:r>
            <w:r>
              <w:rPr>
                <w:rFonts w:hint="eastAsia" w:ascii="Times New Roman" w:hAnsi="Times New Roman" w:cs="Times New Roman"/>
                <w:b/>
                <w:color w:val="auto"/>
                <w:sz w:val="21"/>
                <w:highlight w:val="none"/>
              </w:rPr>
              <w:t>无</w:t>
            </w:r>
            <w:r>
              <w:rPr>
                <w:rFonts w:hint="default" w:ascii="Times New Roman" w:hAnsi="Times New Roman" w:cs="Times New Roman"/>
                <w:b/>
                <w:color w:val="auto"/>
                <w:sz w:val="21"/>
                <w:highlight w:val="none"/>
              </w:rPr>
              <w:t>组织排放量一览表</w:t>
            </w:r>
          </w:p>
          <w:tbl>
            <w:tblPr>
              <w:tblStyle w:val="31"/>
              <w:tblpPr w:leftFromText="180" w:rightFromText="180" w:vertAnchor="text" w:horzAnchor="page" w:tblpXSpec="center" w:tblpY="386"/>
              <w:tblOverlap w:val="never"/>
              <w:tblW w:w="50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3"/>
              <w:gridCol w:w="1472"/>
              <w:gridCol w:w="861"/>
              <w:gridCol w:w="1935"/>
              <w:gridCol w:w="1716"/>
              <w:gridCol w:w="1350"/>
            </w:tblGrid>
            <w:tr w14:paraId="24B45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56" w:type="pct"/>
                  <w:vAlign w:val="center"/>
                </w:tcPr>
                <w:p w14:paraId="0B4C74E9">
                  <w:pPr>
                    <w:adjustRightInd w:val="0"/>
                    <w:spacing w:line="360" w:lineRule="exact"/>
                    <w:ind w:firstLine="0" w:firstLineChars="0"/>
                    <w:jc w:val="center"/>
                    <w:rPr>
                      <w:rFonts w:hint="default"/>
                      <w:b/>
                      <w:bCs/>
                      <w:snapToGrid w:val="0"/>
                      <w:color w:val="auto"/>
                      <w:sz w:val="21"/>
                      <w:szCs w:val="21"/>
                      <w:lang w:val="zh-CN" w:eastAsia="zh-CN" w:bidi="ar"/>
                    </w:rPr>
                  </w:pPr>
                  <w:r>
                    <w:rPr>
                      <w:rFonts w:hint="default"/>
                      <w:b/>
                      <w:bCs/>
                      <w:snapToGrid w:val="0"/>
                      <w:color w:val="auto"/>
                      <w:sz w:val="21"/>
                      <w:szCs w:val="21"/>
                      <w:lang w:val="zh-CN" w:eastAsia="zh-CN" w:bidi="ar"/>
                    </w:rPr>
                    <w:t>序号</w:t>
                  </w:r>
                </w:p>
              </w:tc>
              <w:tc>
                <w:tcPr>
                  <w:tcW w:w="931" w:type="pct"/>
                  <w:vAlign w:val="center"/>
                </w:tcPr>
                <w:p w14:paraId="06B4A2F3">
                  <w:pPr>
                    <w:adjustRightInd w:val="0"/>
                    <w:spacing w:line="360" w:lineRule="exact"/>
                    <w:ind w:firstLine="0" w:firstLineChars="0"/>
                    <w:jc w:val="center"/>
                    <w:rPr>
                      <w:rFonts w:hint="default"/>
                      <w:b/>
                      <w:bCs/>
                      <w:snapToGrid w:val="0"/>
                      <w:color w:val="auto"/>
                      <w:sz w:val="21"/>
                      <w:szCs w:val="21"/>
                      <w:lang w:val="zh-CN" w:eastAsia="zh-CN" w:bidi="ar"/>
                    </w:rPr>
                  </w:pPr>
                  <w:r>
                    <w:rPr>
                      <w:rFonts w:hint="default"/>
                      <w:b/>
                      <w:bCs/>
                      <w:snapToGrid w:val="0"/>
                      <w:color w:val="auto"/>
                      <w:sz w:val="21"/>
                      <w:szCs w:val="21"/>
                      <w:lang w:val="zh-CN" w:eastAsia="zh-CN" w:bidi="ar"/>
                    </w:rPr>
                    <w:t>产污环节</w:t>
                  </w:r>
                </w:p>
              </w:tc>
              <w:tc>
                <w:tcPr>
                  <w:tcW w:w="545" w:type="pct"/>
                  <w:vAlign w:val="center"/>
                </w:tcPr>
                <w:p w14:paraId="2BF2BECE">
                  <w:pPr>
                    <w:adjustRightInd w:val="0"/>
                    <w:spacing w:line="360" w:lineRule="exact"/>
                    <w:ind w:firstLine="0" w:firstLineChars="0"/>
                    <w:jc w:val="center"/>
                    <w:rPr>
                      <w:rFonts w:hint="default"/>
                      <w:b/>
                      <w:bCs/>
                      <w:snapToGrid w:val="0"/>
                      <w:color w:val="auto"/>
                      <w:sz w:val="21"/>
                      <w:szCs w:val="21"/>
                      <w:lang w:val="zh-CN" w:eastAsia="zh-CN" w:bidi="ar"/>
                    </w:rPr>
                  </w:pPr>
                  <w:r>
                    <w:rPr>
                      <w:rFonts w:hint="default"/>
                      <w:b/>
                      <w:bCs/>
                      <w:snapToGrid w:val="0"/>
                      <w:color w:val="auto"/>
                      <w:sz w:val="21"/>
                      <w:szCs w:val="21"/>
                      <w:lang w:val="zh-CN" w:eastAsia="zh-CN" w:bidi="ar"/>
                    </w:rPr>
                    <w:t>污染物</w:t>
                  </w:r>
                </w:p>
              </w:tc>
              <w:tc>
                <w:tcPr>
                  <w:tcW w:w="1225" w:type="pct"/>
                  <w:vAlign w:val="center"/>
                </w:tcPr>
                <w:p w14:paraId="684D0212">
                  <w:pPr>
                    <w:adjustRightInd w:val="0"/>
                    <w:spacing w:line="360" w:lineRule="exact"/>
                    <w:ind w:firstLine="0" w:firstLineChars="0"/>
                    <w:jc w:val="center"/>
                    <w:rPr>
                      <w:rFonts w:hint="default"/>
                      <w:b/>
                      <w:bCs/>
                      <w:snapToGrid w:val="0"/>
                      <w:color w:val="auto"/>
                      <w:sz w:val="21"/>
                      <w:szCs w:val="21"/>
                      <w:lang w:val="zh-CN" w:eastAsia="zh-CN" w:bidi="ar"/>
                    </w:rPr>
                  </w:pPr>
                  <w:r>
                    <w:rPr>
                      <w:rFonts w:hint="default"/>
                      <w:b/>
                      <w:bCs/>
                      <w:snapToGrid w:val="0"/>
                      <w:color w:val="auto"/>
                      <w:sz w:val="21"/>
                      <w:szCs w:val="21"/>
                      <w:lang w:val="zh-CN" w:eastAsia="zh-CN" w:bidi="ar"/>
                    </w:rPr>
                    <w:t>排放浓度（mg/m</w:t>
                  </w:r>
                  <w:r>
                    <w:rPr>
                      <w:rFonts w:hint="default"/>
                      <w:b/>
                      <w:bCs/>
                      <w:snapToGrid w:val="0"/>
                      <w:color w:val="auto"/>
                      <w:sz w:val="21"/>
                      <w:szCs w:val="21"/>
                      <w:vertAlign w:val="superscript"/>
                      <w:lang w:val="zh-CN" w:eastAsia="zh-CN" w:bidi="ar"/>
                    </w:rPr>
                    <w:t>3</w:t>
                  </w:r>
                  <w:r>
                    <w:rPr>
                      <w:rFonts w:hint="default"/>
                      <w:b/>
                      <w:bCs/>
                      <w:snapToGrid w:val="0"/>
                      <w:color w:val="auto"/>
                      <w:sz w:val="21"/>
                      <w:szCs w:val="21"/>
                      <w:lang w:val="zh-CN" w:eastAsia="zh-CN" w:bidi="ar"/>
                    </w:rPr>
                    <w:t>）</w:t>
                  </w:r>
                </w:p>
              </w:tc>
              <w:tc>
                <w:tcPr>
                  <w:tcW w:w="1086" w:type="pct"/>
                  <w:vAlign w:val="center"/>
                </w:tcPr>
                <w:p w14:paraId="7BB2D9BC">
                  <w:pPr>
                    <w:adjustRightInd w:val="0"/>
                    <w:spacing w:line="360" w:lineRule="exact"/>
                    <w:ind w:firstLine="0" w:firstLineChars="0"/>
                    <w:jc w:val="center"/>
                    <w:rPr>
                      <w:rFonts w:hint="default"/>
                      <w:b/>
                      <w:bCs/>
                      <w:snapToGrid w:val="0"/>
                      <w:color w:val="auto"/>
                      <w:sz w:val="21"/>
                      <w:szCs w:val="21"/>
                      <w:lang w:val="zh-CN" w:eastAsia="zh-CN" w:bidi="ar"/>
                    </w:rPr>
                  </w:pPr>
                  <w:r>
                    <w:rPr>
                      <w:rFonts w:hint="default"/>
                      <w:b/>
                      <w:bCs/>
                      <w:snapToGrid w:val="0"/>
                      <w:color w:val="auto"/>
                      <w:sz w:val="21"/>
                      <w:szCs w:val="21"/>
                      <w:lang w:val="zh-CN" w:eastAsia="zh-CN" w:bidi="ar"/>
                    </w:rPr>
                    <w:t>排放速率（kg/h）</w:t>
                  </w:r>
                </w:p>
              </w:tc>
              <w:tc>
                <w:tcPr>
                  <w:tcW w:w="854" w:type="pct"/>
                  <w:vAlign w:val="center"/>
                </w:tcPr>
                <w:p w14:paraId="1321BC18">
                  <w:pPr>
                    <w:adjustRightInd w:val="0"/>
                    <w:spacing w:line="360" w:lineRule="exact"/>
                    <w:ind w:firstLine="0" w:firstLineChars="0"/>
                    <w:jc w:val="center"/>
                    <w:rPr>
                      <w:rFonts w:hint="default"/>
                      <w:b/>
                      <w:bCs/>
                      <w:snapToGrid w:val="0"/>
                      <w:color w:val="auto"/>
                      <w:sz w:val="21"/>
                      <w:szCs w:val="21"/>
                      <w:lang w:val="zh-CN" w:eastAsia="zh-CN" w:bidi="ar"/>
                    </w:rPr>
                  </w:pPr>
                  <w:r>
                    <w:rPr>
                      <w:rFonts w:hint="default"/>
                      <w:b/>
                      <w:bCs/>
                      <w:snapToGrid w:val="0"/>
                      <w:color w:val="auto"/>
                      <w:sz w:val="21"/>
                      <w:szCs w:val="21"/>
                      <w:lang w:val="zh-CN" w:eastAsia="zh-CN" w:bidi="ar"/>
                    </w:rPr>
                    <w:t>排放量（t/a）</w:t>
                  </w:r>
                </w:p>
              </w:tc>
            </w:tr>
            <w:tr w14:paraId="50863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56" w:type="pct"/>
                  <w:vAlign w:val="center"/>
                </w:tcPr>
                <w:p w14:paraId="25EFC77D">
                  <w:pPr>
                    <w:adjustRightInd w:val="0"/>
                    <w:spacing w:line="360" w:lineRule="exact"/>
                    <w:ind w:firstLine="0" w:firstLineChars="0"/>
                    <w:jc w:val="center"/>
                    <w:rPr>
                      <w:rFonts w:hint="default"/>
                      <w:snapToGrid w:val="0"/>
                      <w:color w:val="auto"/>
                      <w:sz w:val="21"/>
                      <w:szCs w:val="21"/>
                      <w:lang w:val="zh-CN" w:eastAsia="zh-CN" w:bidi="ar"/>
                    </w:rPr>
                  </w:pPr>
                  <w:r>
                    <w:rPr>
                      <w:rFonts w:hint="default"/>
                      <w:snapToGrid w:val="0"/>
                      <w:color w:val="auto"/>
                      <w:sz w:val="21"/>
                      <w:szCs w:val="21"/>
                      <w:lang w:val="zh-CN" w:eastAsia="zh-CN" w:bidi="ar"/>
                    </w:rPr>
                    <w:t>1</w:t>
                  </w:r>
                </w:p>
              </w:tc>
              <w:tc>
                <w:tcPr>
                  <w:tcW w:w="931" w:type="pct"/>
                  <w:vAlign w:val="center"/>
                </w:tcPr>
                <w:p w14:paraId="480ABCBD">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露天开采扬尘</w:t>
                  </w:r>
                </w:p>
              </w:tc>
              <w:tc>
                <w:tcPr>
                  <w:tcW w:w="545" w:type="pct"/>
                  <w:vAlign w:val="center"/>
                </w:tcPr>
                <w:p w14:paraId="5CE44D2D">
                  <w:pPr>
                    <w:adjustRightInd w:val="0"/>
                    <w:spacing w:line="360" w:lineRule="exact"/>
                    <w:ind w:firstLine="0" w:firstLineChars="0"/>
                    <w:jc w:val="center"/>
                    <w:rPr>
                      <w:rFonts w:hint="default"/>
                      <w:snapToGrid w:val="0"/>
                      <w:color w:val="auto"/>
                      <w:sz w:val="21"/>
                      <w:szCs w:val="21"/>
                      <w:lang w:val="zh-CN" w:eastAsia="zh-CN" w:bidi="ar"/>
                    </w:rPr>
                  </w:pPr>
                  <w:r>
                    <w:rPr>
                      <w:rFonts w:hint="default"/>
                      <w:snapToGrid w:val="0"/>
                      <w:color w:val="auto"/>
                      <w:sz w:val="21"/>
                      <w:szCs w:val="21"/>
                      <w:lang w:val="zh-CN" w:eastAsia="zh-CN" w:bidi="ar"/>
                    </w:rPr>
                    <w:t>颗粒物</w:t>
                  </w:r>
                </w:p>
              </w:tc>
              <w:tc>
                <w:tcPr>
                  <w:tcW w:w="1225" w:type="pct"/>
                  <w:vAlign w:val="center"/>
                </w:tcPr>
                <w:p w14:paraId="1E13B9B8">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w:t>
                  </w:r>
                </w:p>
              </w:tc>
              <w:tc>
                <w:tcPr>
                  <w:tcW w:w="1086" w:type="pct"/>
                  <w:vAlign w:val="center"/>
                </w:tcPr>
                <w:p w14:paraId="6B2AEA2A">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0.618</w:t>
                  </w:r>
                </w:p>
              </w:tc>
              <w:tc>
                <w:tcPr>
                  <w:tcW w:w="854" w:type="pct"/>
                  <w:vAlign w:val="center"/>
                </w:tcPr>
                <w:p w14:paraId="6B3DEC96">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1.482</w:t>
                  </w:r>
                </w:p>
              </w:tc>
            </w:tr>
            <w:tr w14:paraId="643C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56" w:type="pct"/>
                  <w:vMerge w:val="restart"/>
                  <w:vAlign w:val="center"/>
                </w:tcPr>
                <w:p w14:paraId="0CA3BFFC">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en-US" w:eastAsia="zh-CN" w:bidi="ar"/>
                    </w:rPr>
                    <w:t>2</w:t>
                  </w:r>
                </w:p>
              </w:tc>
              <w:tc>
                <w:tcPr>
                  <w:tcW w:w="931" w:type="pct"/>
                  <w:vMerge w:val="restart"/>
                  <w:vAlign w:val="center"/>
                </w:tcPr>
                <w:p w14:paraId="43724FCC">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爆破废气</w:t>
                  </w:r>
                </w:p>
              </w:tc>
              <w:tc>
                <w:tcPr>
                  <w:tcW w:w="545" w:type="pct"/>
                  <w:vAlign w:val="center"/>
                </w:tcPr>
                <w:p w14:paraId="680296A3">
                  <w:pPr>
                    <w:adjustRightInd w:val="0"/>
                    <w:spacing w:line="360" w:lineRule="exact"/>
                    <w:ind w:firstLine="0" w:firstLineChars="0"/>
                    <w:jc w:val="center"/>
                    <w:rPr>
                      <w:rFonts w:hint="default"/>
                      <w:snapToGrid w:val="0"/>
                      <w:color w:val="auto"/>
                      <w:sz w:val="21"/>
                      <w:szCs w:val="21"/>
                      <w:lang w:val="zh-CN" w:eastAsia="zh-CN" w:bidi="ar"/>
                    </w:rPr>
                  </w:pPr>
                  <w:r>
                    <w:rPr>
                      <w:rFonts w:hint="default"/>
                      <w:snapToGrid w:val="0"/>
                      <w:color w:val="auto"/>
                      <w:sz w:val="21"/>
                      <w:szCs w:val="21"/>
                      <w:lang w:val="zh-CN" w:eastAsia="zh-CN" w:bidi="ar"/>
                    </w:rPr>
                    <w:t>颗粒</w:t>
                  </w:r>
                  <w:r>
                    <w:rPr>
                      <w:rFonts w:hint="eastAsia"/>
                      <w:snapToGrid w:val="0"/>
                      <w:color w:val="auto"/>
                      <w:sz w:val="21"/>
                      <w:szCs w:val="21"/>
                      <w:lang w:val="zh-CN" w:eastAsia="zh-CN" w:bidi="ar"/>
                    </w:rPr>
                    <w:t>物</w:t>
                  </w:r>
                </w:p>
              </w:tc>
              <w:tc>
                <w:tcPr>
                  <w:tcW w:w="1225" w:type="pct"/>
                  <w:vAlign w:val="center"/>
                </w:tcPr>
                <w:p w14:paraId="6C2DBF94">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w:t>
                  </w:r>
                </w:p>
              </w:tc>
              <w:tc>
                <w:tcPr>
                  <w:tcW w:w="1086" w:type="pct"/>
                  <w:vAlign w:val="center"/>
                </w:tcPr>
                <w:p w14:paraId="121D1D31">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31.083</w:t>
                  </w:r>
                </w:p>
              </w:tc>
              <w:tc>
                <w:tcPr>
                  <w:tcW w:w="854" w:type="pct"/>
                  <w:vAlign w:val="center"/>
                </w:tcPr>
                <w:p w14:paraId="0B89D6EC">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1.243</w:t>
                  </w:r>
                </w:p>
              </w:tc>
            </w:tr>
            <w:tr w14:paraId="2A10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56" w:type="pct"/>
                  <w:vMerge w:val="continue"/>
                  <w:vAlign w:val="center"/>
                </w:tcPr>
                <w:p w14:paraId="30A68429">
                  <w:pPr>
                    <w:adjustRightInd w:val="0"/>
                    <w:spacing w:line="360" w:lineRule="exact"/>
                    <w:ind w:firstLine="0" w:firstLineChars="0"/>
                    <w:jc w:val="center"/>
                    <w:rPr>
                      <w:rFonts w:hint="default"/>
                      <w:snapToGrid w:val="0"/>
                      <w:color w:val="auto"/>
                      <w:sz w:val="21"/>
                      <w:szCs w:val="21"/>
                      <w:lang w:val="zh-CN" w:eastAsia="zh-CN" w:bidi="ar"/>
                    </w:rPr>
                  </w:pPr>
                </w:p>
              </w:tc>
              <w:tc>
                <w:tcPr>
                  <w:tcW w:w="931" w:type="pct"/>
                  <w:vMerge w:val="continue"/>
                  <w:vAlign w:val="center"/>
                </w:tcPr>
                <w:p w14:paraId="14008E56">
                  <w:pPr>
                    <w:adjustRightInd w:val="0"/>
                    <w:spacing w:line="360" w:lineRule="exact"/>
                    <w:ind w:firstLine="0" w:firstLineChars="0"/>
                    <w:jc w:val="center"/>
                    <w:rPr>
                      <w:rFonts w:hint="default"/>
                      <w:snapToGrid w:val="0"/>
                      <w:color w:val="auto"/>
                      <w:sz w:val="21"/>
                      <w:szCs w:val="21"/>
                      <w:lang w:val="zh-CN" w:eastAsia="zh-CN" w:bidi="ar"/>
                    </w:rPr>
                  </w:pPr>
                </w:p>
              </w:tc>
              <w:tc>
                <w:tcPr>
                  <w:tcW w:w="545" w:type="pct"/>
                  <w:vAlign w:val="center"/>
                </w:tcPr>
                <w:p w14:paraId="56B3C7A2">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CO</w:t>
                  </w:r>
                </w:p>
              </w:tc>
              <w:tc>
                <w:tcPr>
                  <w:tcW w:w="1225" w:type="pct"/>
                  <w:vAlign w:val="center"/>
                </w:tcPr>
                <w:p w14:paraId="48876B23">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en-US" w:eastAsia="zh-CN" w:bidi="ar"/>
                    </w:rPr>
                    <w:t>/</w:t>
                  </w:r>
                </w:p>
              </w:tc>
              <w:tc>
                <w:tcPr>
                  <w:tcW w:w="1086" w:type="pct"/>
                  <w:vAlign w:val="center"/>
                </w:tcPr>
                <w:p w14:paraId="2A5473B8">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11.7</w:t>
                  </w:r>
                </w:p>
              </w:tc>
              <w:tc>
                <w:tcPr>
                  <w:tcW w:w="854" w:type="pct"/>
                  <w:vAlign w:val="center"/>
                </w:tcPr>
                <w:p w14:paraId="13A3DD7D">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0.468</w:t>
                  </w:r>
                </w:p>
              </w:tc>
            </w:tr>
            <w:tr w14:paraId="53B6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56" w:type="pct"/>
                  <w:vMerge w:val="continue"/>
                  <w:vAlign w:val="center"/>
                </w:tcPr>
                <w:p w14:paraId="58D3B7AD">
                  <w:pPr>
                    <w:adjustRightInd w:val="0"/>
                    <w:spacing w:line="360" w:lineRule="exact"/>
                    <w:ind w:firstLine="0" w:firstLineChars="0"/>
                    <w:jc w:val="center"/>
                    <w:rPr>
                      <w:rFonts w:hint="default"/>
                      <w:snapToGrid w:val="0"/>
                      <w:color w:val="auto"/>
                      <w:sz w:val="21"/>
                      <w:szCs w:val="21"/>
                      <w:lang w:val="zh-CN" w:eastAsia="zh-CN" w:bidi="ar"/>
                    </w:rPr>
                  </w:pPr>
                </w:p>
              </w:tc>
              <w:tc>
                <w:tcPr>
                  <w:tcW w:w="931" w:type="pct"/>
                  <w:vMerge w:val="continue"/>
                  <w:vAlign w:val="center"/>
                </w:tcPr>
                <w:p w14:paraId="17D465DB">
                  <w:pPr>
                    <w:adjustRightInd w:val="0"/>
                    <w:spacing w:line="360" w:lineRule="exact"/>
                    <w:ind w:firstLine="0" w:firstLineChars="0"/>
                    <w:jc w:val="center"/>
                    <w:rPr>
                      <w:rFonts w:hint="default"/>
                      <w:snapToGrid w:val="0"/>
                      <w:color w:val="auto"/>
                      <w:sz w:val="21"/>
                      <w:szCs w:val="21"/>
                      <w:lang w:val="zh-CN" w:eastAsia="zh-CN" w:bidi="ar"/>
                    </w:rPr>
                  </w:pPr>
                </w:p>
              </w:tc>
              <w:tc>
                <w:tcPr>
                  <w:tcW w:w="545" w:type="pct"/>
                  <w:vAlign w:val="center"/>
                </w:tcPr>
                <w:p w14:paraId="22B1FC70">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NOx</w:t>
                  </w:r>
                </w:p>
              </w:tc>
              <w:tc>
                <w:tcPr>
                  <w:tcW w:w="1225" w:type="pct"/>
                  <w:vAlign w:val="center"/>
                </w:tcPr>
                <w:p w14:paraId="2319C19E">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en-US" w:eastAsia="zh-CN" w:bidi="ar"/>
                    </w:rPr>
                    <w:t>/</w:t>
                  </w:r>
                </w:p>
              </w:tc>
              <w:tc>
                <w:tcPr>
                  <w:tcW w:w="1086" w:type="pct"/>
                  <w:vAlign w:val="center"/>
                </w:tcPr>
                <w:p w14:paraId="68B05704">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32.2</w:t>
                  </w:r>
                </w:p>
              </w:tc>
              <w:tc>
                <w:tcPr>
                  <w:tcW w:w="854" w:type="pct"/>
                  <w:vAlign w:val="center"/>
                </w:tcPr>
                <w:p w14:paraId="61A09A0D">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1.288</w:t>
                  </w:r>
                </w:p>
              </w:tc>
            </w:tr>
            <w:tr w14:paraId="189A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356" w:type="pct"/>
                  <w:vAlign w:val="center"/>
                </w:tcPr>
                <w:p w14:paraId="45D275E9">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3</w:t>
                  </w:r>
                </w:p>
              </w:tc>
              <w:tc>
                <w:tcPr>
                  <w:tcW w:w="931" w:type="pct"/>
                  <w:vAlign w:val="center"/>
                </w:tcPr>
                <w:p w14:paraId="0821E9A6">
                  <w:pPr>
                    <w:adjustRightInd w:val="0"/>
                    <w:spacing w:line="360" w:lineRule="exact"/>
                    <w:ind w:firstLine="0" w:firstLineChars="0"/>
                    <w:jc w:val="center"/>
                    <w:rPr>
                      <w:rFonts w:hint="eastAsia"/>
                      <w:snapToGrid w:val="0"/>
                      <w:color w:val="auto"/>
                      <w:sz w:val="21"/>
                      <w:szCs w:val="21"/>
                      <w:lang w:val="zh-CN" w:eastAsia="zh-CN" w:bidi="ar"/>
                    </w:rPr>
                  </w:pPr>
                  <w:r>
                    <w:rPr>
                      <w:rFonts w:hint="eastAsia"/>
                      <w:snapToGrid w:val="0"/>
                      <w:color w:val="auto"/>
                      <w:sz w:val="21"/>
                      <w:szCs w:val="21"/>
                      <w:lang w:val="zh-CN" w:eastAsia="zh-CN" w:bidi="ar"/>
                    </w:rPr>
                    <w:t>铲装扬尘</w:t>
                  </w:r>
                </w:p>
              </w:tc>
              <w:tc>
                <w:tcPr>
                  <w:tcW w:w="545" w:type="pct"/>
                  <w:vAlign w:val="center"/>
                </w:tcPr>
                <w:p w14:paraId="5354286D">
                  <w:pPr>
                    <w:adjustRightInd w:val="0"/>
                    <w:spacing w:line="360" w:lineRule="exact"/>
                    <w:ind w:firstLine="0" w:firstLineChars="0"/>
                    <w:jc w:val="center"/>
                    <w:rPr>
                      <w:rFonts w:hint="default"/>
                      <w:snapToGrid w:val="0"/>
                      <w:color w:val="auto"/>
                      <w:sz w:val="21"/>
                      <w:szCs w:val="21"/>
                      <w:lang w:val="zh-CN" w:eastAsia="zh-CN" w:bidi="ar"/>
                    </w:rPr>
                  </w:pPr>
                  <w:r>
                    <w:rPr>
                      <w:rFonts w:hint="default"/>
                      <w:snapToGrid w:val="0"/>
                      <w:color w:val="auto"/>
                      <w:sz w:val="21"/>
                      <w:szCs w:val="21"/>
                      <w:lang w:val="zh-CN" w:eastAsia="zh-CN" w:bidi="ar"/>
                    </w:rPr>
                    <w:t>颗粒</w:t>
                  </w:r>
                  <w:r>
                    <w:rPr>
                      <w:rFonts w:hint="eastAsia"/>
                      <w:snapToGrid w:val="0"/>
                      <w:color w:val="auto"/>
                      <w:sz w:val="21"/>
                      <w:szCs w:val="21"/>
                      <w:lang w:val="zh-CN" w:eastAsia="zh-CN" w:bidi="ar"/>
                    </w:rPr>
                    <w:t>物</w:t>
                  </w:r>
                </w:p>
              </w:tc>
              <w:tc>
                <w:tcPr>
                  <w:tcW w:w="1225" w:type="pct"/>
                  <w:vAlign w:val="center"/>
                </w:tcPr>
                <w:p w14:paraId="24D990FB">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w:t>
                  </w:r>
                </w:p>
              </w:tc>
              <w:tc>
                <w:tcPr>
                  <w:tcW w:w="1086" w:type="pct"/>
                  <w:vAlign w:val="center"/>
                </w:tcPr>
                <w:p w14:paraId="25926A60">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0.135</w:t>
                  </w:r>
                </w:p>
              </w:tc>
              <w:tc>
                <w:tcPr>
                  <w:tcW w:w="854" w:type="pct"/>
                  <w:vAlign w:val="center"/>
                </w:tcPr>
                <w:p w14:paraId="6221579D">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0.325</w:t>
                  </w:r>
                </w:p>
              </w:tc>
            </w:tr>
            <w:tr w14:paraId="6582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356" w:type="pct"/>
                  <w:vAlign w:val="center"/>
                </w:tcPr>
                <w:p w14:paraId="7012D06E">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4</w:t>
                  </w:r>
                </w:p>
              </w:tc>
              <w:tc>
                <w:tcPr>
                  <w:tcW w:w="931" w:type="pct"/>
                  <w:vAlign w:val="center"/>
                </w:tcPr>
                <w:p w14:paraId="20A1CD5B">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道路运输扬尘</w:t>
                  </w:r>
                </w:p>
              </w:tc>
              <w:tc>
                <w:tcPr>
                  <w:tcW w:w="545" w:type="pct"/>
                  <w:vAlign w:val="center"/>
                </w:tcPr>
                <w:p w14:paraId="46599E00">
                  <w:pPr>
                    <w:adjustRightInd w:val="0"/>
                    <w:spacing w:line="360" w:lineRule="exact"/>
                    <w:ind w:firstLine="0" w:firstLineChars="0"/>
                    <w:jc w:val="center"/>
                    <w:rPr>
                      <w:rFonts w:hint="default"/>
                      <w:snapToGrid w:val="0"/>
                      <w:color w:val="auto"/>
                      <w:sz w:val="21"/>
                      <w:szCs w:val="21"/>
                      <w:lang w:val="zh-CN" w:eastAsia="zh-CN" w:bidi="ar"/>
                    </w:rPr>
                  </w:pPr>
                  <w:r>
                    <w:rPr>
                      <w:rFonts w:hint="default"/>
                      <w:snapToGrid w:val="0"/>
                      <w:color w:val="auto"/>
                      <w:sz w:val="21"/>
                      <w:szCs w:val="21"/>
                      <w:lang w:val="zh-CN" w:eastAsia="zh-CN" w:bidi="ar"/>
                    </w:rPr>
                    <w:t>颗粒</w:t>
                  </w:r>
                  <w:r>
                    <w:rPr>
                      <w:rFonts w:hint="eastAsia"/>
                      <w:snapToGrid w:val="0"/>
                      <w:color w:val="auto"/>
                      <w:sz w:val="21"/>
                      <w:szCs w:val="21"/>
                      <w:lang w:val="zh-CN" w:eastAsia="zh-CN" w:bidi="ar"/>
                    </w:rPr>
                    <w:t>物</w:t>
                  </w:r>
                </w:p>
              </w:tc>
              <w:tc>
                <w:tcPr>
                  <w:tcW w:w="1225" w:type="pct"/>
                  <w:vAlign w:val="center"/>
                </w:tcPr>
                <w:p w14:paraId="1BE1DEE3">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w:t>
                  </w:r>
                </w:p>
              </w:tc>
              <w:tc>
                <w:tcPr>
                  <w:tcW w:w="1086" w:type="pct"/>
                  <w:vAlign w:val="center"/>
                </w:tcPr>
                <w:p w14:paraId="59578E33">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0.315</w:t>
                  </w:r>
                </w:p>
              </w:tc>
              <w:tc>
                <w:tcPr>
                  <w:tcW w:w="854" w:type="pct"/>
                  <w:vAlign w:val="center"/>
                </w:tcPr>
                <w:p w14:paraId="5DD8C24E">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0.755</w:t>
                  </w:r>
                </w:p>
              </w:tc>
            </w:tr>
            <w:tr w14:paraId="24FD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9" w:hRule="atLeast"/>
                <w:jc w:val="center"/>
              </w:trPr>
              <w:tc>
                <w:tcPr>
                  <w:tcW w:w="356" w:type="pct"/>
                  <w:vAlign w:val="center"/>
                </w:tcPr>
                <w:p w14:paraId="3DF4D24D">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5</w:t>
                  </w:r>
                </w:p>
              </w:tc>
              <w:tc>
                <w:tcPr>
                  <w:tcW w:w="931" w:type="pct"/>
                  <w:vAlign w:val="center"/>
                </w:tcPr>
                <w:p w14:paraId="6220703F">
                  <w:pPr>
                    <w:adjustRightInd w:val="0"/>
                    <w:spacing w:line="360" w:lineRule="exact"/>
                    <w:ind w:firstLine="0" w:firstLineChars="0"/>
                    <w:jc w:val="center"/>
                    <w:rPr>
                      <w:rFonts w:hint="eastAsia"/>
                      <w:snapToGrid w:val="0"/>
                      <w:color w:val="auto"/>
                      <w:sz w:val="21"/>
                      <w:szCs w:val="21"/>
                      <w:lang w:val="zh-CN" w:eastAsia="zh-CN" w:bidi="ar"/>
                    </w:rPr>
                  </w:pPr>
                  <w:r>
                    <w:rPr>
                      <w:rFonts w:hint="eastAsia"/>
                      <w:snapToGrid w:val="0"/>
                      <w:color w:val="auto"/>
                      <w:sz w:val="21"/>
                      <w:szCs w:val="21"/>
                      <w:lang w:val="zh-CN" w:eastAsia="zh-CN" w:bidi="ar"/>
                    </w:rPr>
                    <w:t>未收集破碎筛分粉尘</w:t>
                  </w:r>
                </w:p>
              </w:tc>
              <w:tc>
                <w:tcPr>
                  <w:tcW w:w="545" w:type="pct"/>
                  <w:vAlign w:val="center"/>
                </w:tcPr>
                <w:p w14:paraId="5A74528E">
                  <w:pPr>
                    <w:adjustRightInd w:val="0"/>
                    <w:spacing w:line="360" w:lineRule="exact"/>
                    <w:ind w:firstLine="0" w:firstLineChars="0"/>
                    <w:jc w:val="center"/>
                    <w:rPr>
                      <w:rFonts w:hint="default"/>
                      <w:snapToGrid w:val="0"/>
                      <w:color w:val="auto"/>
                      <w:sz w:val="21"/>
                      <w:szCs w:val="21"/>
                      <w:lang w:val="zh-CN" w:eastAsia="zh-CN" w:bidi="ar"/>
                    </w:rPr>
                  </w:pPr>
                  <w:r>
                    <w:rPr>
                      <w:rFonts w:hint="default"/>
                      <w:snapToGrid w:val="0"/>
                      <w:color w:val="auto"/>
                      <w:sz w:val="21"/>
                      <w:szCs w:val="21"/>
                      <w:lang w:val="zh-CN" w:eastAsia="zh-CN" w:bidi="ar"/>
                    </w:rPr>
                    <w:t>颗粒</w:t>
                  </w:r>
                  <w:r>
                    <w:rPr>
                      <w:rFonts w:hint="eastAsia"/>
                      <w:snapToGrid w:val="0"/>
                      <w:color w:val="auto"/>
                      <w:sz w:val="21"/>
                      <w:szCs w:val="21"/>
                      <w:lang w:val="zh-CN" w:eastAsia="zh-CN" w:bidi="ar"/>
                    </w:rPr>
                    <w:t>物</w:t>
                  </w:r>
                </w:p>
              </w:tc>
              <w:tc>
                <w:tcPr>
                  <w:tcW w:w="1225" w:type="pct"/>
                  <w:vAlign w:val="center"/>
                </w:tcPr>
                <w:p w14:paraId="26B530F2">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w:t>
                  </w:r>
                </w:p>
              </w:tc>
              <w:tc>
                <w:tcPr>
                  <w:tcW w:w="1086" w:type="pct"/>
                  <w:vAlign w:val="center"/>
                </w:tcPr>
                <w:p w14:paraId="6BEF2C4C">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0.016</w:t>
                  </w:r>
                </w:p>
              </w:tc>
              <w:tc>
                <w:tcPr>
                  <w:tcW w:w="854" w:type="pct"/>
                  <w:vAlign w:val="center"/>
                </w:tcPr>
                <w:p w14:paraId="2978C853">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0.038</w:t>
                  </w:r>
                </w:p>
              </w:tc>
            </w:tr>
            <w:tr w14:paraId="5075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356" w:type="pct"/>
                  <w:vAlign w:val="center"/>
                </w:tcPr>
                <w:p w14:paraId="096EB764">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en-US" w:eastAsia="zh-CN" w:bidi="ar"/>
                    </w:rPr>
                    <w:t>6</w:t>
                  </w:r>
                </w:p>
              </w:tc>
              <w:tc>
                <w:tcPr>
                  <w:tcW w:w="931" w:type="pct"/>
                  <w:vAlign w:val="center"/>
                </w:tcPr>
                <w:p w14:paraId="759F7995">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皮带运输扬尘</w:t>
                  </w:r>
                </w:p>
              </w:tc>
              <w:tc>
                <w:tcPr>
                  <w:tcW w:w="545" w:type="pct"/>
                  <w:vAlign w:val="center"/>
                </w:tcPr>
                <w:p w14:paraId="061A63B5">
                  <w:pPr>
                    <w:adjustRightInd w:val="0"/>
                    <w:spacing w:line="360" w:lineRule="exact"/>
                    <w:ind w:firstLine="0" w:firstLineChars="0"/>
                    <w:jc w:val="center"/>
                    <w:rPr>
                      <w:rFonts w:hint="default"/>
                      <w:snapToGrid w:val="0"/>
                      <w:color w:val="auto"/>
                      <w:sz w:val="21"/>
                      <w:szCs w:val="21"/>
                      <w:lang w:val="zh-CN" w:eastAsia="zh-CN" w:bidi="ar"/>
                    </w:rPr>
                  </w:pPr>
                  <w:r>
                    <w:rPr>
                      <w:rFonts w:hint="default"/>
                      <w:snapToGrid w:val="0"/>
                      <w:color w:val="auto"/>
                      <w:sz w:val="21"/>
                      <w:szCs w:val="21"/>
                      <w:lang w:val="zh-CN" w:eastAsia="zh-CN" w:bidi="ar"/>
                    </w:rPr>
                    <w:t>颗粒</w:t>
                  </w:r>
                  <w:r>
                    <w:rPr>
                      <w:rFonts w:hint="eastAsia"/>
                      <w:snapToGrid w:val="0"/>
                      <w:color w:val="auto"/>
                      <w:sz w:val="21"/>
                      <w:szCs w:val="21"/>
                      <w:lang w:val="zh-CN" w:eastAsia="zh-CN" w:bidi="ar"/>
                    </w:rPr>
                    <w:t>物</w:t>
                  </w:r>
                </w:p>
              </w:tc>
              <w:tc>
                <w:tcPr>
                  <w:tcW w:w="1225" w:type="pct"/>
                  <w:vAlign w:val="center"/>
                </w:tcPr>
                <w:p w14:paraId="014044A3">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w:t>
                  </w:r>
                </w:p>
              </w:tc>
              <w:tc>
                <w:tcPr>
                  <w:tcW w:w="1086" w:type="pct"/>
                  <w:vAlign w:val="center"/>
                </w:tcPr>
                <w:p w14:paraId="23A324D5">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0.0008</w:t>
                  </w:r>
                </w:p>
              </w:tc>
              <w:tc>
                <w:tcPr>
                  <w:tcW w:w="854" w:type="pct"/>
                  <w:vAlign w:val="center"/>
                </w:tcPr>
                <w:p w14:paraId="444BD11A">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0.0019</w:t>
                  </w:r>
                </w:p>
              </w:tc>
            </w:tr>
            <w:tr w14:paraId="5E122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356" w:type="pct"/>
                  <w:vAlign w:val="center"/>
                </w:tcPr>
                <w:p w14:paraId="4E1D298C">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7</w:t>
                  </w:r>
                </w:p>
              </w:tc>
              <w:tc>
                <w:tcPr>
                  <w:tcW w:w="931" w:type="pct"/>
                  <w:vAlign w:val="center"/>
                </w:tcPr>
                <w:p w14:paraId="52D09B68">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砂料堆场扬尘</w:t>
                  </w:r>
                </w:p>
              </w:tc>
              <w:tc>
                <w:tcPr>
                  <w:tcW w:w="545" w:type="pct"/>
                  <w:vAlign w:val="center"/>
                </w:tcPr>
                <w:p w14:paraId="4CAE02D4">
                  <w:pPr>
                    <w:adjustRightInd w:val="0"/>
                    <w:spacing w:line="360" w:lineRule="exact"/>
                    <w:ind w:firstLine="0" w:firstLineChars="0"/>
                    <w:jc w:val="center"/>
                    <w:rPr>
                      <w:rFonts w:hint="default"/>
                      <w:snapToGrid w:val="0"/>
                      <w:color w:val="auto"/>
                      <w:sz w:val="21"/>
                      <w:szCs w:val="21"/>
                      <w:lang w:val="zh-CN" w:eastAsia="zh-CN" w:bidi="ar"/>
                    </w:rPr>
                  </w:pPr>
                </w:p>
              </w:tc>
              <w:tc>
                <w:tcPr>
                  <w:tcW w:w="1225" w:type="pct"/>
                  <w:vAlign w:val="center"/>
                </w:tcPr>
                <w:p w14:paraId="21C5AC40">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w:t>
                  </w:r>
                </w:p>
              </w:tc>
              <w:tc>
                <w:tcPr>
                  <w:tcW w:w="1086" w:type="pct"/>
                  <w:vAlign w:val="center"/>
                </w:tcPr>
                <w:p w14:paraId="51F3FEC8">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4.04</w:t>
                  </w:r>
                </w:p>
              </w:tc>
              <w:tc>
                <w:tcPr>
                  <w:tcW w:w="854" w:type="pct"/>
                  <w:vAlign w:val="center"/>
                </w:tcPr>
                <w:p w14:paraId="295FC0DA">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9.69</w:t>
                  </w:r>
                </w:p>
              </w:tc>
            </w:tr>
            <w:tr w14:paraId="45D1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356" w:type="pct"/>
                  <w:vAlign w:val="center"/>
                </w:tcPr>
                <w:p w14:paraId="7E57C421">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8</w:t>
                  </w:r>
                </w:p>
              </w:tc>
              <w:tc>
                <w:tcPr>
                  <w:tcW w:w="931" w:type="pct"/>
                  <w:vAlign w:val="center"/>
                </w:tcPr>
                <w:p w14:paraId="22433E65">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燃油废气</w:t>
                  </w:r>
                </w:p>
              </w:tc>
              <w:tc>
                <w:tcPr>
                  <w:tcW w:w="545" w:type="pct"/>
                  <w:vAlign w:val="center"/>
                </w:tcPr>
                <w:p w14:paraId="0D441288">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CO、NOx等</w:t>
                  </w:r>
                </w:p>
              </w:tc>
              <w:tc>
                <w:tcPr>
                  <w:tcW w:w="1225" w:type="pct"/>
                  <w:vAlign w:val="center"/>
                </w:tcPr>
                <w:p w14:paraId="6DC18CEF">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w:t>
                  </w:r>
                </w:p>
              </w:tc>
              <w:tc>
                <w:tcPr>
                  <w:tcW w:w="1086" w:type="pct"/>
                  <w:vAlign w:val="center"/>
                </w:tcPr>
                <w:p w14:paraId="73AD6481">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w:t>
                  </w:r>
                </w:p>
              </w:tc>
              <w:tc>
                <w:tcPr>
                  <w:tcW w:w="854" w:type="pct"/>
                  <w:vAlign w:val="center"/>
                </w:tcPr>
                <w:p w14:paraId="72C6B87F">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w:t>
                  </w:r>
                </w:p>
              </w:tc>
            </w:tr>
            <w:tr w14:paraId="17049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288" w:type="pct"/>
                  <w:gridSpan w:val="2"/>
                  <w:vMerge w:val="restart"/>
                  <w:vAlign w:val="center"/>
                </w:tcPr>
                <w:p w14:paraId="4C08FDB4">
                  <w:pPr>
                    <w:adjustRightInd w:val="0"/>
                    <w:spacing w:line="360" w:lineRule="exact"/>
                    <w:ind w:firstLine="0" w:firstLineChars="0"/>
                    <w:jc w:val="center"/>
                    <w:rPr>
                      <w:rFonts w:hint="default"/>
                      <w:snapToGrid w:val="0"/>
                      <w:color w:val="auto"/>
                      <w:sz w:val="21"/>
                      <w:szCs w:val="21"/>
                      <w:lang w:val="zh-CN" w:eastAsia="zh-CN" w:bidi="ar"/>
                    </w:rPr>
                  </w:pPr>
                  <w:r>
                    <w:rPr>
                      <w:rFonts w:hint="default"/>
                      <w:snapToGrid w:val="0"/>
                      <w:color w:val="auto"/>
                      <w:sz w:val="21"/>
                      <w:szCs w:val="21"/>
                      <w:lang w:val="zh-CN" w:eastAsia="zh-CN" w:bidi="ar"/>
                    </w:rPr>
                    <w:t>无组织排放合计</w:t>
                  </w:r>
                </w:p>
              </w:tc>
              <w:tc>
                <w:tcPr>
                  <w:tcW w:w="2856" w:type="pct"/>
                  <w:gridSpan w:val="3"/>
                  <w:vAlign w:val="center"/>
                </w:tcPr>
                <w:p w14:paraId="03E779BD">
                  <w:pPr>
                    <w:adjustRightInd w:val="0"/>
                    <w:spacing w:line="360" w:lineRule="exact"/>
                    <w:ind w:firstLine="0" w:firstLineChars="0"/>
                    <w:jc w:val="center"/>
                    <w:rPr>
                      <w:rFonts w:hint="default"/>
                      <w:snapToGrid w:val="0"/>
                      <w:color w:val="auto"/>
                      <w:sz w:val="21"/>
                      <w:szCs w:val="21"/>
                      <w:lang w:val="zh-CN" w:eastAsia="zh-CN" w:bidi="ar"/>
                    </w:rPr>
                  </w:pPr>
                  <w:r>
                    <w:rPr>
                      <w:rFonts w:hint="default"/>
                      <w:snapToGrid w:val="0"/>
                      <w:color w:val="auto"/>
                      <w:sz w:val="21"/>
                      <w:szCs w:val="21"/>
                      <w:lang w:val="zh-CN" w:eastAsia="zh-CN" w:bidi="ar"/>
                    </w:rPr>
                    <w:t>颗粒物</w:t>
                  </w:r>
                </w:p>
              </w:tc>
              <w:tc>
                <w:tcPr>
                  <w:tcW w:w="854" w:type="pct"/>
                  <w:vAlign w:val="center"/>
                </w:tcPr>
                <w:p w14:paraId="63B125A1">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13.5349</w:t>
                  </w:r>
                </w:p>
              </w:tc>
            </w:tr>
            <w:tr w14:paraId="2D9E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288" w:type="pct"/>
                  <w:gridSpan w:val="2"/>
                  <w:vMerge w:val="continue"/>
                  <w:vAlign w:val="center"/>
                </w:tcPr>
                <w:p w14:paraId="2CE75E52">
                  <w:pPr>
                    <w:adjustRightInd w:val="0"/>
                    <w:spacing w:line="360" w:lineRule="exact"/>
                    <w:ind w:firstLine="0" w:firstLineChars="0"/>
                    <w:jc w:val="center"/>
                    <w:rPr>
                      <w:rFonts w:hint="default"/>
                      <w:snapToGrid w:val="0"/>
                      <w:color w:val="auto"/>
                      <w:sz w:val="21"/>
                      <w:szCs w:val="21"/>
                      <w:lang w:val="zh-CN" w:eastAsia="zh-CN" w:bidi="ar"/>
                    </w:rPr>
                  </w:pPr>
                </w:p>
              </w:tc>
              <w:tc>
                <w:tcPr>
                  <w:tcW w:w="2856" w:type="pct"/>
                  <w:gridSpan w:val="3"/>
                  <w:vAlign w:val="center"/>
                </w:tcPr>
                <w:p w14:paraId="2DE587DC">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CO</w:t>
                  </w:r>
                </w:p>
              </w:tc>
              <w:tc>
                <w:tcPr>
                  <w:tcW w:w="854" w:type="pct"/>
                  <w:vAlign w:val="center"/>
                </w:tcPr>
                <w:p w14:paraId="335BA488">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0.468</w:t>
                  </w:r>
                </w:p>
              </w:tc>
            </w:tr>
            <w:tr w14:paraId="22A3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288" w:type="pct"/>
                  <w:gridSpan w:val="2"/>
                  <w:vMerge w:val="continue"/>
                  <w:vAlign w:val="center"/>
                </w:tcPr>
                <w:p w14:paraId="5EBCE3FA">
                  <w:pPr>
                    <w:adjustRightInd w:val="0"/>
                    <w:spacing w:line="360" w:lineRule="exact"/>
                    <w:ind w:firstLine="0" w:firstLineChars="0"/>
                    <w:jc w:val="center"/>
                    <w:rPr>
                      <w:rFonts w:hint="default"/>
                      <w:snapToGrid w:val="0"/>
                      <w:color w:val="auto"/>
                      <w:sz w:val="21"/>
                      <w:szCs w:val="21"/>
                      <w:lang w:val="zh-CN" w:eastAsia="zh-CN" w:bidi="ar"/>
                    </w:rPr>
                  </w:pPr>
                </w:p>
              </w:tc>
              <w:tc>
                <w:tcPr>
                  <w:tcW w:w="2856" w:type="pct"/>
                  <w:gridSpan w:val="3"/>
                  <w:vAlign w:val="center"/>
                </w:tcPr>
                <w:p w14:paraId="1DF33B41">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NOx</w:t>
                  </w:r>
                </w:p>
              </w:tc>
              <w:tc>
                <w:tcPr>
                  <w:tcW w:w="854" w:type="pct"/>
                  <w:vAlign w:val="center"/>
                </w:tcPr>
                <w:p w14:paraId="04A2801B">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1.288</w:t>
                  </w:r>
                </w:p>
              </w:tc>
            </w:tr>
          </w:tbl>
          <w:p w14:paraId="1E61AD2D">
            <w:pPr>
              <w:keepNext w:val="0"/>
              <w:keepLines w:val="0"/>
              <w:pageBreakBefore w:val="0"/>
              <w:widowControl w:val="0"/>
              <w:kinsoku/>
              <w:wordWrap/>
              <w:overflowPunct/>
              <w:topLinePunct w:val="0"/>
              <w:autoSpaceDE/>
              <w:autoSpaceDN/>
              <w:bidi w:val="0"/>
              <w:adjustRightInd w:val="0"/>
              <w:snapToGrid w:val="0"/>
              <w:spacing w:before="313" w:beforeLines="100" w:line="240" w:lineRule="auto"/>
              <w:ind w:firstLine="422"/>
              <w:jc w:val="center"/>
              <w:textAlignment w:val="auto"/>
              <w:rPr>
                <w:b/>
                <w:bCs/>
                <w:snapToGrid w:val="0"/>
                <w:color w:val="auto"/>
                <w:sz w:val="21"/>
                <w:szCs w:val="21"/>
                <w:lang w:bidi="ar"/>
              </w:rPr>
            </w:pPr>
            <w:r>
              <w:rPr>
                <w:b/>
                <w:bCs/>
                <w:snapToGrid w:val="0"/>
                <w:color w:val="auto"/>
                <w:sz w:val="21"/>
                <w:szCs w:val="21"/>
                <w:lang w:bidi="ar"/>
              </w:rPr>
              <w:t>表</w:t>
            </w:r>
            <w:r>
              <w:rPr>
                <w:rFonts w:hint="eastAsia"/>
                <w:b/>
                <w:bCs/>
                <w:snapToGrid w:val="0"/>
                <w:color w:val="auto"/>
                <w:sz w:val="21"/>
                <w:szCs w:val="21"/>
                <w:lang w:bidi="ar"/>
              </w:rPr>
              <w:t>4-</w:t>
            </w:r>
            <w:r>
              <w:rPr>
                <w:rFonts w:hint="eastAsia"/>
                <w:b/>
                <w:bCs/>
                <w:snapToGrid w:val="0"/>
                <w:color w:val="auto"/>
                <w:sz w:val="21"/>
                <w:szCs w:val="21"/>
                <w:lang w:val="en-US" w:eastAsia="zh-CN" w:bidi="ar"/>
              </w:rPr>
              <w:t>12</w:t>
            </w:r>
            <w:r>
              <w:rPr>
                <w:rFonts w:hint="eastAsia"/>
                <w:b/>
                <w:bCs/>
                <w:snapToGrid w:val="0"/>
                <w:color w:val="auto"/>
                <w:sz w:val="21"/>
                <w:szCs w:val="21"/>
                <w:lang w:bidi="ar"/>
              </w:rPr>
              <w:t xml:space="preserve"> </w:t>
            </w:r>
            <w:r>
              <w:rPr>
                <w:b/>
                <w:bCs/>
                <w:snapToGrid w:val="0"/>
                <w:color w:val="auto"/>
                <w:sz w:val="21"/>
                <w:szCs w:val="21"/>
                <w:lang w:bidi="ar"/>
              </w:rPr>
              <w:t xml:space="preserve"> 废气污染物</w:t>
            </w:r>
            <w:r>
              <w:rPr>
                <w:rFonts w:hint="eastAsia"/>
                <w:b/>
                <w:bCs/>
                <w:snapToGrid w:val="0"/>
                <w:color w:val="auto"/>
                <w:sz w:val="21"/>
                <w:szCs w:val="21"/>
                <w:lang w:bidi="ar"/>
              </w:rPr>
              <w:t>年</w:t>
            </w:r>
            <w:r>
              <w:rPr>
                <w:b/>
                <w:bCs/>
                <w:snapToGrid w:val="0"/>
                <w:color w:val="auto"/>
                <w:sz w:val="21"/>
                <w:szCs w:val="21"/>
                <w:lang w:bidi="ar"/>
              </w:rPr>
              <w:t>排放量一览表</w:t>
            </w:r>
          </w:p>
          <w:tbl>
            <w:tblPr>
              <w:tblStyle w:val="31"/>
              <w:tblW w:w="7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0"/>
              <w:gridCol w:w="3710"/>
            </w:tblGrid>
            <w:tr w14:paraId="0A0E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710" w:type="dxa"/>
                  <w:vAlign w:val="center"/>
                </w:tcPr>
                <w:p w14:paraId="243D58D6">
                  <w:pPr>
                    <w:topLinePunct/>
                    <w:autoSpaceDE w:val="0"/>
                    <w:adjustRightInd w:val="0"/>
                    <w:spacing w:line="240" w:lineRule="auto"/>
                    <w:ind w:firstLine="0" w:firstLineChars="0"/>
                    <w:jc w:val="center"/>
                    <w:textAlignment w:val="baseline"/>
                    <w:rPr>
                      <w:rFonts w:hint="eastAsia" w:ascii="Times New Roman" w:hAnsi="Times New Roman" w:cs="Times New Roman"/>
                      <w:b/>
                      <w:bCs/>
                      <w:color w:val="auto"/>
                      <w:kern w:val="0"/>
                      <w:sz w:val="21"/>
                      <w:szCs w:val="21"/>
                      <w:highlight w:val="none"/>
                      <w:lang w:val="zh-CN" w:eastAsia="zh-CN"/>
                    </w:rPr>
                  </w:pPr>
                  <w:r>
                    <w:rPr>
                      <w:rFonts w:hint="eastAsia" w:ascii="Times New Roman" w:hAnsi="Times New Roman" w:cs="Times New Roman"/>
                      <w:b/>
                      <w:bCs/>
                      <w:color w:val="auto"/>
                      <w:kern w:val="0"/>
                      <w:sz w:val="21"/>
                      <w:szCs w:val="21"/>
                      <w:highlight w:val="none"/>
                      <w:lang w:val="zh-CN" w:eastAsia="zh-CN"/>
                    </w:rPr>
                    <w:t>污染物</w:t>
                  </w:r>
                </w:p>
              </w:tc>
              <w:tc>
                <w:tcPr>
                  <w:tcW w:w="3710" w:type="dxa"/>
                  <w:vAlign w:val="center"/>
                </w:tcPr>
                <w:p w14:paraId="6085DA23">
                  <w:pPr>
                    <w:topLinePunct/>
                    <w:autoSpaceDE w:val="0"/>
                    <w:adjustRightInd w:val="0"/>
                    <w:spacing w:line="240" w:lineRule="auto"/>
                    <w:ind w:firstLine="0" w:firstLineChars="0"/>
                    <w:jc w:val="center"/>
                    <w:textAlignment w:val="baseline"/>
                    <w:rPr>
                      <w:rFonts w:hint="eastAsia" w:ascii="Times New Roman" w:hAnsi="Times New Roman" w:cs="Times New Roman"/>
                      <w:b/>
                      <w:bCs/>
                      <w:color w:val="auto"/>
                      <w:kern w:val="0"/>
                      <w:sz w:val="21"/>
                      <w:szCs w:val="21"/>
                      <w:highlight w:val="none"/>
                      <w:lang w:val="zh-CN" w:eastAsia="zh-CN"/>
                    </w:rPr>
                  </w:pPr>
                  <w:r>
                    <w:rPr>
                      <w:rFonts w:hint="eastAsia" w:ascii="Times New Roman" w:hAnsi="Times New Roman" w:cs="Times New Roman"/>
                      <w:b/>
                      <w:bCs/>
                      <w:color w:val="auto"/>
                      <w:kern w:val="0"/>
                      <w:sz w:val="21"/>
                      <w:szCs w:val="21"/>
                      <w:highlight w:val="none"/>
                      <w:lang w:val="zh-CN" w:eastAsia="zh-CN"/>
                    </w:rPr>
                    <w:t>排放量（t/a）</w:t>
                  </w:r>
                </w:p>
              </w:tc>
            </w:tr>
            <w:tr w14:paraId="3E2A0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710" w:type="dxa"/>
                  <w:vAlign w:val="center"/>
                </w:tcPr>
                <w:p w14:paraId="667C1FA3">
                  <w:pPr>
                    <w:keepNext w:val="0"/>
                    <w:keepLines w:val="0"/>
                    <w:pageBreakBefore w:val="0"/>
                    <w:widowControl w:val="0"/>
                    <w:kinsoku/>
                    <w:wordWrap/>
                    <w:overflowPunct/>
                    <w:topLinePunct w:val="0"/>
                    <w:autoSpaceDE/>
                    <w:autoSpaceDN/>
                    <w:bidi w:val="0"/>
                    <w:adjustRightInd w:val="0"/>
                    <w:snapToGrid/>
                    <w:spacing w:line="360" w:lineRule="exact"/>
                    <w:ind w:firstLine="0" w:firstLineChars="0"/>
                    <w:jc w:val="center"/>
                    <w:textAlignment w:val="auto"/>
                    <w:rPr>
                      <w:rFonts w:hint="default"/>
                      <w:snapToGrid w:val="0"/>
                      <w:color w:val="auto"/>
                      <w:sz w:val="21"/>
                      <w:szCs w:val="21"/>
                      <w:lang w:val="zh-CN" w:eastAsia="zh-CN" w:bidi="ar"/>
                    </w:rPr>
                  </w:pPr>
                  <w:r>
                    <w:rPr>
                      <w:rFonts w:hint="eastAsia"/>
                      <w:snapToGrid w:val="0"/>
                      <w:color w:val="auto"/>
                      <w:sz w:val="21"/>
                      <w:szCs w:val="21"/>
                      <w:lang w:val="zh-CN" w:eastAsia="zh-CN" w:bidi="ar"/>
                    </w:rPr>
                    <w:t>颗粒物</w:t>
                  </w:r>
                </w:p>
              </w:tc>
              <w:tc>
                <w:tcPr>
                  <w:tcW w:w="3710" w:type="dxa"/>
                  <w:vAlign w:val="center"/>
                </w:tcPr>
                <w:p w14:paraId="42D69BF6">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14.8399</w:t>
                  </w:r>
                </w:p>
              </w:tc>
            </w:tr>
            <w:tr w14:paraId="7D99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710" w:type="dxa"/>
                  <w:vAlign w:val="center"/>
                </w:tcPr>
                <w:p w14:paraId="40CE4784">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CO</w:t>
                  </w:r>
                </w:p>
              </w:tc>
              <w:tc>
                <w:tcPr>
                  <w:tcW w:w="3710" w:type="dxa"/>
                  <w:vAlign w:val="center"/>
                </w:tcPr>
                <w:p w14:paraId="65F776C2">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0.468</w:t>
                  </w:r>
                </w:p>
              </w:tc>
            </w:tr>
            <w:tr w14:paraId="20CD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710" w:type="dxa"/>
                  <w:vAlign w:val="center"/>
                </w:tcPr>
                <w:p w14:paraId="7F2AA6B5">
                  <w:pPr>
                    <w:adjustRightInd w:val="0"/>
                    <w:spacing w:line="360" w:lineRule="exact"/>
                    <w:ind w:firstLine="0" w:firstLineChars="0"/>
                    <w:jc w:val="center"/>
                    <w:rPr>
                      <w:rFonts w:hint="default"/>
                      <w:snapToGrid w:val="0"/>
                      <w:color w:val="auto"/>
                      <w:sz w:val="21"/>
                      <w:szCs w:val="21"/>
                      <w:lang w:val="zh-CN" w:eastAsia="zh-CN" w:bidi="ar"/>
                    </w:rPr>
                  </w:pPr>
                  <w:r>
                    <w:rPr>
                      <w:rFonts w:hint="eastAsia"/>
                      <w:snapToGrid w:val="0"/>
                      <w:color w:val="auto"/>
                      <w:sz w:val="21"/>
                      <w:szCs w:val="21"/>
                      <w:lang w:val="zh-CN" w:eastAsia="zh-CN" w:bidi="ar"/>
                    </w:rPr>
                    <w:t>NOx</w:t>
                  </w:r>
                </w:p>
              </w:tc>
              <w:tc>
                <w:tcPr>
                  <w:tcW w:w="3710" w:type="dxa"/>
                  <w:vAlign w:val="center"/>
                </w:tcPr>
                <w:p w14:paraId="2AE9A49A">
                  <w:pPr>
                    <w:adjustRightInd w:val="0"/>
                    <w:spacing w:line="360" w:lineRule="exact"/>
                    <w:ind w:firstLine="0" w:firstLineChars="0"/>
                    <w:jc w:val="center"/>
                    <w:rPr>
                      <w:rFonts w:hint="default"/>
                      <w:snapToGrid w:val="0"/>
                      <w:color w:val="auto"/>
                      <w:sz w:val="21"/>
                      <w:szCs w:val="21"/>
                      <w:lang w:val="en-US" w:eastAsia="zh-CN" w:bidi="ar"/>
                    </w:rPr>
                  </w:pPr>
                  <w:r>
                    <w:rPr>
                      <w:rFonts w:hint="eastAsia"/>
                      <w:snapToGrid w:val="0"/>
                      <w:color w:val="auto"/>
                      <w:sz w:val="21"/>
                      <w:szCs w:val="21"/>
                      <w:lang w:val="en-US" w:eastAsia="zh-CN" w:bidi="ar"/>
                    </w:rPr>
                    <w:t>1.288</w:t>
                  </w:r>
                </w:p>
              </w:tc>
            </w:tr>
          </w:tbl>
          <w:p w14:paraId="74FE7E8D">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7</w:t>
            </w:r>
            <w:r>
              <w:rPr>
                <w:rFonts w:hint="default" w:ascii="Times New Roman" w:hAnsi="Times New Roman" w:eastAsia="宋体" w:cs="Times New Roman"/>
                <w:b/>
                <w:bCs/>
                <w:color w:val="auto"/>
                <w:sz w:val="24"/>
                <w:szCs w:val="24"/>
                <w:highlight w:val="none"/>
                <w:lang w:val="en-US" w:eastAsia="zh-CN"/>
              </w:rPr>
              <w:t>、非正常排放情况</w:t>
            </w:r>
          </w:p>
          <w:p w14:paraId="73988F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非正常排放主要是生产运行过程中，由于环保设施故障等原因，导致污染物的非正常排放或事故性排放，项目有组织废气非正常排放主要与除尘设施有关，本次评价假设布袋除尘器破损，除尘效率降至50%和0进行估算。</w:t>
            </w:r>
          </w:p>
          <w:p w14:paraId="52DD9C9E">
            <w:pPr>
              <w:spacing w:line="240" w:lineRule="auto"/>
              <w:ind w:firstLine="0" w:firstLineChars="0"/>
              <w:jc w:val="center"/>
              <w:rPr>
                <w:rFonts w:hint="default" w:ascii="Times New Roman" w:hAnsi="Times New Roman" w:cs="Times New Roman"/>
                <w:b/>
                <w:color w:val="auto"/>
                <w:sz w:val="21"/>
                <w:highlight w:val="none"/>
              </w:rPr>
            </w:pPr>
            <w:r>
              <w:rPr>
                <w:rFonts w:hint="default" w:ascii="Times New Roman" w:hAnsi="Times New Roman" w:cs="Times New Roman"/>
                <w:b/>
                <w:color w:val="auto"/>
                <w:sz w:val="21"/>
                <w:highlight w:val="none"/>
              </w:rPr>
              <w:t>表4-</w:t>
            </w:r>
            <w:r>
              <w:rPr>
                <w:rFonts w:hint="eastAsia" w:cs="Times New Roman"/>
                <w:b/>
                <w:color w:val="auto"/>
                <w:sz w:val="21"/>
                <w:highlight w:val="none"/>
                <w:lang w:val="en-US" w:eastAsia="zh-CN"/>
              </w:rPr>
              <w:t>13</w:t>
            </w:r>
            <w:r>
              <w:rPr>
                <w:rFonts w:hint="default" w:ascii="Times New Roman" w:hAnsi="Times New Roman" w:cs="Times New Roman"/>
                <w:b/>
                <w:color w:val="auto"/>
                <w:sz w:val="21"/>
                <w:highlight w:val="none"/>
              </w:rPr>
              <w:t xml:space="preserve"> 项目非正常排放情况一览表</w:t>
            </w:r>
          </w:p>
          <w:tbl>
            <w:tblPr>
              <w:tblStyle w:val="30"/>
              <w:tblW w:w="7836" w:type="dxa"/>
              <w:jc w:val="center"/>
              <w:tblBorders>
                <w:top w:val="single" w:color="auto" w:sz="2" w:space="0"/>
                <w:left w:val="none" w:color="auto" w:sz="0" w:space="0"/>
                <w:bottom w:val="single" w:color="auto" w:sz="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922"/>
              <w:gridCol w:w="722"/>
              <w:gridCol w:w="451"/>
              <w:gridCol w:w="680"/>
              <w:gridCol w:w="948"/>
              <w:gridCol w:w="954"/>
              <w:gridCol w:w="687"/>
              <w:gridCol w:w="767"/>
              <w:gridCol w:w="483"/>
              <w:gridCol w:w="693"/>
              <w:gridCol w:w="529"/>
            </w:tblGrid>
            <w:tr w14:paraId="05618356">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319" w:hRule="atLeast"/>
                <w:jc w:val="center"/>
              </w:trPr>
              <w:tc>
                <w:tcPr>
                  <w:tcW w:w="588" w:type="pct"/>
                  <w:vMerge w:val="restart"/>
                  <w:tcBorders>
                    <w:top w:val="single" w:color="auto" w:sz="4" w:space="0"/>
                    <w:left w:val="single" w:color="auto" w:sz="0" w:space="0"/>
                    <w:tl2br w:val="nil"/>
                    <w:tr2bl w:val="nil"/>
                  </w:tcBorders>
                  <w:noWrap w:val="0"/>
                  <w:vAlign w:val="center"/>
                </w:tcPr>
                <w:p w14:paraId="3E2F9444">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污染源</w:t>
                  </w:r>
                </w:p>
              </w:tc>
              <w:tc>
                <w:tcPr>
                  <w:tcW w:w="460" w:type="pct"/>
                  <w:vMerge w:val="restart"/>
                  <w:tcBorders>
                    <w:top w:val="single" w:color="auto" w:sz="4" w:space="0"/>
                    <w:tl2br w:val="nil"/>
                    <w:tr2bl w:val="nil"/>
                  </w:tcBorders>
                  <w:noWrap w:val="0"/>
                  <w:vAlign w:val="center"/>
                </w:tcPr>
                <w:p w14:paraId="68F5844E">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非正常排放原因</w:t>
                  </w:r>
                </w:p>
              </w:tc>
              <w:tc>
                <w:tcPr>
                  <w:tcW w:w="287" w:type="pct"/>
                  <w:vMerge w:val="restart"/>
                  <w:tcBorders>
                    <w:top w:val="single" w:color="auto" w:sz="4" w:space="0"/>
                    <w:tl2br w:val="nil"/>
                    <w:tr2bl w:val="nil"/>
                  </w:tcBorders>
                  <w:noWrap w:val="0"/>
                  <w:vAlign w:val="center"/>
                </w:tcPr>
                <w:p w14:paraId="2A335252">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污染</w:t>
                  </w:r>
                </w:p>
                <w:p w14:paraId="65F646FB">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因子</w:t>
                  </w:r>
                </w:p>
              </w:tc>
              <w:tc>
                <w:tcPr>
                  <w:tcW w:w="1647" w:type="pct"/>
                  <w:gridSpan w:val="3"/>
                  <w:tcBorders>
                    <w:top w:val="single" w:color="auto" w:sz="4" w:space="0"/>
                    <w:tl2br w:val="nil"/>
                    <w:tr2bl w:val="nil"/>
                  </w:tcBorders>
                  <w:noWrap w:val="0"/>
                  <w:vAlign w:val="top"/>
                </w:tcPr>
                <w:p w14:paraId="0DE1D6F1">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非正常排放情况</w:t>
                  </w:r>
                </w:p>
              </w:tc>
              <w:tc>
                <w:tcPr>
                  <w:tcW w:w="927" w:type="pct"/>
                  <w:gridSpan w:val="2"/>
                  <w:tcBorders>
                    <w:top w:val="single" w:color="auto" w:sz="4" w:space="0"/>
                    <w:tl2br w:val="nil"/>
                    <w:tr2bl w:val="nil"/>
                  </w:tcBorders>
                  <w:noWrap w:val="0"/>
                  <w:vAlign w:val="center"/>
                </w:tcPr>
                <w:p w14:paraId="51168C5B">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标准值</w:t>
                  </w:r>
                </w:p>
              </w:tc>
              <w:tc>
                <w:tcPr>
                  <w:tcW w:w="308" w:type="pct"/>
                  <w:vMerge w:val="restart"/>
                  <w:tcBorders>
                    <w:top w:val="single" w:color="auto" w:sz="4" w:space="0"/>
                    <w:tl2br w:val="nil"/>
                    <w:tr2bl w:val="nil"/>
                  </w:tcBorders>
                  <w:noWrap w:val="0"/>
                  <w:vAlign w:val="center"/>
                </w:tcPr>
                <w:p w14:paraId="7917502A">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达标情况</w:t>
                  </w:r>
                </w:p>
              </w:tc>
              <w:tc>
                <w:tcPr>
                  <w:tcW w:w="442" w:type="pct"/>
                  <w:vMerge w:val="restart"/>
                  <w:tcBorders>
                    <w:top w:val="single" w:color="auto" w:sz="4" w:space="0"/>
                    <w:tl2br w:val="nil"/>
                    <w:tr2bl w:val="nil"/>
                  </w:tcBorders>
                  <w:noWrap w:val="0"/>
                  <w:vAlign w:val="center"/>
                </w:tcPr>
                <w:p w14:paraId="3AC64A97">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单次持续时间/h</w:t>
                  </w:r>
                </w:p>
              </w:tc>
              <w:tc>
                <w:tcPr>
                  <w:tcW w:w="337" w:type="pct"/>
                  <w:vMerge w:val="restart"/>
                  <w:tcBorders>
                    <w:top w:val="single" w:color="auto" w:sz="4" w:space="0"/>
                    <w:right w:val="single" w:color="auto" w:sz="4" w:space="0"/>
                    <w:tl2br w:val="nil"/>
                    <w:tr2bl w:val="nil"/>
                  </w:tcBorders>
                  <w:noWrap w:val="0"/>
                  <w:vAlign w:val="center"/>
                </w:tcPr>
                <w:p w14:paraId="05F2AD23">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年发生频次</w:t>
                  </w:r>
                </w:p>
              </w:tc>
            </w:tr>
            <w:tr w14:paraId="0DBB13AF">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1273" w:hRule="atLeast"/>
                <w:jc w:val="center"/>
              </w:trPr>
              <w:tc>
                <w:tcPr>
                  <w:tcW w:w="588" w:type="pct"/>
                  <w:vMerge w:val="continue"/>
                  <w:tcBorders>
                    <w:left w:val="single" w:color="auto" w:sz="4" w:space="0"/>
                    <w:tl2br w:val="nil"/>
                    <w:tr2bl w:val="nil"/>
                  </w:tcBorders>
                  <w:noWrap w:val="0"/>
                  <w:vAlign w:val="center"/>
                </w:tcPr>
                <w:p w14:paraId="36B78BC4">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p>
              </w:tc>
              <w:tc>
                <w:tcPr>
                  <w:tcW w:w="460" w:type="pct"/>
                  <w:vMerge w:val="continue"/>
                  <w:tcBorders>
                    <w:tl2br w:val="nil"/>
                    <w:tr2bl w:val="nil"/>
                  </w:tcBorders>
                  <w:noWrap w:val="0"/>
                  <w:vAlign w:val="center"/>
                </w:tcPr>
                <w:p w14:paraId="0933F660">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p>
              </w:tc>
              <w:tc>
                <w:tcPr>
                  <w:tcW w:w="287" w:type="pct"/>
                  <w:vMerge w:val="continue"/>
                  <w:tcBorders>
                    <w:tl2br w:val="nil"/>
                    <w:tr2bl w:val="nil"/>
                  </w:tcBorders>
                  <w:noWrap w:val="0"/>
                  <w:vAlign w:val="center"/>
                </w:tcPr>
                <w:p w14:paraId="1E1458BB">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p>
              </w:tc>
              <w:tc>
                <w:tcPr>
                  <w:tcW w:w="433" w:type="pct"/>
                  <w:tcBorders>
                    <w:tl2br w:val="nil"/>
                    <w:tr2bl w:val="nil"/>
                  </w:tcBorders>
                  <w:noWrap w:val="0"/>
                  <w:vAlign w:val="center"/>
                </w:tcPr>
                <w:p w14:paraId="18343593">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排放量（t/a）</w:t>
                  </w:r>
                </w:p>
              </w:tc>
              <w:tc>
                <w:tcPr>
                  <w:tcW w:w="604" w:type="pct"/>
                  <w:tcBorders>
                    <w:tl2br w:val="nil"/>
                    <w:tr2bl w:val="nil"/>
                  </w:tcBorders>
                  <w:noWrap w:val="0"/>
                  <w:vAlign w:val="center"/>
                </w:tcPr>
                <w:p w14:paraId="3B9BC07D">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排放速率（kg/h）</w:t>
                  </w:r>
                </w:p>
              </w:tc>
              <w:tc>
                <w:tcPr>
                  <w:tcW w:w="608" w:type="pct"/>
                  <w:tcBorders>
                    <w:tl2br w:val="nil"/>
                    <w:tr2bl w:val="nil"/>
                  </w:tcBorders>
                  <w:noWrap w:val="0"/>
                  <w:vAlign w:val="center"/>
                </w:tcPr>
                <w:p w14:paraId="151DA64C">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排放浓度（mg/m</w:t>
                  </w:r>
                  <w:r>
                    <w:rPr>
                      <w:rFonts w:hint="default" w:ascii="Times New Roman" w:hAnsi="Times New Roman" w:eastAsia="宋体" w:cs="Times New Roman"/>
                      <w:b/>
                      <w:bCs/>
                      <w:color w:val="auto"/>
                      <w:kern w:val="0"/>
                      <w:sz w:val="21"/>
                      <w:szCs w:val="21"/>
                      <w:highlight w:val="none"/>
                      <w:vertAlign w:val="superscript"/>
                      <w:lang w:val="en-US" w:eastAsia="zh-CN"/>
                    </w:rPr>
                    <w:t>3</w:t>
                  </w:r>
                  <w:r>
                    <w:rPr>
                      <w:rFonts w:hint="default" w:ascii="Times New Roman" w:hAnsi="Times New Roman" w:eastAsia="宋体" w:cs="Times New Roman"/>
                      <w:b/>
                      <w:bCs/>
                      <w:color w:val="auto"/>
                      <w:kern w:val="0"/>
                      <w:sz w:val="21"/>
                      <w:szCs w:val="21"/>
                      <w:highlight w:val="none"/>
                      <w:lang w:val="en-US" w:eastAsia="zh-CN"/>
                    </w:rPr>
                    <w:t>）</w:t>
                  </w:r>
                </w:p>
              </w:tc>
              <w:tc>
                <w:tcPr>
                  <w:tcW w:w="438" w:type="pct"/>
                  <w:tcBorders>
                    <w:tl2br w:val="nil"/>
                    <w:tr2bl w:val="nil"/>
                  </w:tcBorders>
                  <w:noWrap w:val="0"/>
                  <w:vAlign w:val="center"/>
                </w:tcPr>
                <w:p w14:paraId="7070890B">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排放速率（kg/h）</w:t>
                  </w:r>
                </w:p>
              </w:tc>
              <w:tc>
                <w:tcPr>
                  <w:tcW w:w="489" w:type="pct"/>
                  <w:tcBorders>
                    <w:tl2br w:val="nil"/>
                    <w:tr2bl w:val="nil"/>
                  </w:tcBorders>
                  <w:noWrap w:val="0"/>
                  <w:vAlign w:val="center"/>
                </w:tcPr>
                <w:p w14:paraId="49F148B6">
                  <w:pPr>
                    <w:topLinePunct/>
                    <w:autoSpaceDE w:val="0"/>
                    <w:adjustRightIn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排放浓度（mg/m3）</w:t>
                  </w:r>
                </w:p>
              </w:tc>
              <w:tc>
                <w:tcPr>
                  <w:tcW w:w="308" w:type="pct"/>
                  <w:vMerge w:val="continue"/>
                  <w:tcBorders>
                    <w:tl2br w:val="nil"/>
                    <w:tr2bl w:val="nil"/>
                  </w:tcBorders>
                  <w:noWrap w:val="0"/>
                  <w:vAlign w:val="center"/>
                </w:tcPr>
                <w:p w14:paraId="21037C37">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p>
              </w:tc>
              <w:tc>
                <w:tcPr>
                  <w:tcW w:w="442" w:type="pct"/>
                  <w:vMerge w:val="continue"/>
                  <w:tcBorders>
                    <w:tl2br w:val="nil"/>
                    <w:tr2bl w:val="nil"/>
                  </w:tcBorders>
                  <w:noWrap w:val="0"/>
                  <w:vAlign w:val="center"/>
                </w:tcPr>
                <w:p w14:paraId="1EC4E196">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p>
              </w:tc>
              <w:tc>
                <w:tcPr>
                  <w:tcW w:w="337" w:type="pct"/>
                  <w:vMerge w:val="continue"/>
                  <w:tcBorders>
                    <w:right w:val="single" w:color="auto" w:sz="4" w:space="0"/>
                    <w:tl2br w:val="nil"/>
                    <w:tr2bl w:val="nil"/>
                  </w:tcBorders>
                  <w:noWrap w:val="0"/>
                  <w:vAlign w:val="center"/>
                </w:tcPr>
                <w:p w14:paraId="0EFB2A15">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p>
              </w:tc>
            </w:tr>
            <w:tr w14:paraId="563321F0">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1858" w:hRule="atLeast"/>
                <w:jc w:val="center"/>
              </w:trPr>
              <w:tc>
                <w:tcPr>
                  <w:tcW w:w="588" w:type="pct"/>
                  <w:tcBorders>
                    <w:left w:val="single" w:color="auto" w:sz="4" w:space="0"/>
                    <w:tl2br w:val="nil"/>
                    <w:tr2bl w:val="nil"/>
                  </w:tcBorders>
                  <w:noWrap w:val="0"/>
                  <w:vAlign w:val="center"/>
                </w:tcPr>
                <w:p w14:paraId="4F8FBAB2">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DA001排气筒（除尘效率降为50%）</w:t>
                  </w:r>
                </w:p>
              </w:tc>
              <w:tc>
                <w:tcPr>
                  <w:tcW w:w="460" w:type="pct"/>
                  <w:vMerge w:val="restart"/>
                  <w:tcBorders>
                    <w:tl2br w:val="nil"/>
                    <w:tr2bl w:val="nil"/>
                  </w:tcBorders>
                  <w:noWrap w:val="0"/>
                  <w:vAlign w:val="center"/>
                </w:tcPr>
                <w:p w14:paraId="3AD6EC89">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废气处理设备未及时进行维护、更换或出现故障</w:t>
                  </w:r>
                </w:p>
              </w:tc>
              <w:tc>
                <w:tcPr>
                  <w:tcW w:w="287" w:type="pct"/>
                  <w:vMerge w:val="restart"/>
                  <w:tcBorders>
                    <w:tl2br w:val="nil"/>
                    <w:tr2bl w:val="nil"/>
                  </w:tcBorders>
                  <w:noWrap w:val="0"/>
                  <w:vAlign w:val="center"/>
                </w:tcPr>
                <w:p w14:paraId="113ECC42">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颗粒物</w:t>
                  </w:r>
                </w:p>
              </w:tc>
              <w:tc>
                <w:tcPr>
                  <w:tcW w:w="433" w:type="pct"/>
                  <w:tcBorders>
                    <w:tl2br w:val="nil"/>
                    <w:tr2bl w:val="nil"/>
                  </w:tcBorders>
                  <w:noWrap w:val="0"/>
                  <w:vAlign w:val="center"/>
                </w:tcPr>
                <w:p w14:paraId="147C1883">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65.25</w:t>
                  </w:r>
                </w:p>
              </w:tc>
              <w:tc>
                <w:tcPr>
                  <w:tcW w:w="604" w:type="pct"/>
                  <w:tcBorders>
                    <w:tl2br w:val="nil"/>
                    <w:tr2bl w:val="nil"/>
                  </w:tcBorders>
                  <w:noWrap w:val="0"/>
                  <w:vAlign w:val="center"/>
                </w:tcPr>
                <w:p w14:paraId="6799873C">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27.19</w:t>
                  </w:r>
                </w:p>
              </w:tc>
              <w:tc>
                <w:tcPr>
                  <w:tcW w:w="608" w:type="pct"/>
                  <w:tcBorders>
                    <w:tl2br w:val="nil"/>
                    <w:tr2bl w:val="nil"/>
                  </w:tcBorders>
                  <w:noWrap w:val="0"/>
                  <w:vAlign w:val="center"/>
                </w:tcPr>
                <w:p w14:paraId="3F273CA6">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1359</w:t>
                  </w:r>
                </w:p>
              </w:tc>
              <w:tc>
                <w:tcPr>
                  <w:tcW w:w="438" w:type="pct"/>
                  <w:tcBorders>
                    <w:tl2br w:val="nil"/>
                    <w:tr2bl w:val="nil"/>
                  </w:tcBorders>
                  <w:noWrap w:val="0"/>
                  <w:vAlign w:val="center"/>
                </w:tcPr>
                <w:p w14:paraId="251B3320">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3.5</w:t>
                  </w:r>
                </w:p>
              </w:tc>
              <w:tc>
                <w:tcPr>
                  <w:tcW w:w="489" w:type="pct"/>
                  <w:tcBorders>
                    <w:tl2br w:val="nil"/>
                    <w:tr2bl w:val="nil"/>
                  </w:tcBorders>
                  <w:noWrap w:val="0"/>
                  <w:vAlign w:val="center"/>
                </w:tcPr>
                <w:p w14:paraId="30E542E7">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120</w:t>
                  </w:r>
                </w:p>
              </w:tc>
              <w:tc>
                <w:tcPr>
                  <w:tcW w:w="308" w:type="pct"/>
                  <w:tcBorders>
                    <w:tl2br w:val="nil"/>
                    <w:tr2bl w:val="nil"/>
                  </w:tcBorders>
                  <w:noWrap w:val="0"/>
                  <w:vAlign w:val="center"/>
                </w:tcPr>
                <w:p w14:paraId="29B4F212">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超标</w:t>
                  </w:r>
                </w:p>
              </w:tc>
              <w:tc>
                <w:tcPr>
                  <w:tcW w:w="442" w:type="pct"/>
                  <w:tcBorders>
                    <w:tl2br w:val="nil"/>
                    <w:tr2bl w:val="nil"/>
                  </w:tcBorders>
                  <w:noWrap w:val="0"/>
                  <w:vAlign w:val="center"/>
                </w:tcPr>
                <w:p w14:paraId="73DC9194">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337" w:type="pct"/>
                  <w:tcBorders>
                    <w:right w:val="single" w:color="auto" w:sz="4" w:space="0"/>
                    <w:tl2br w:val="nil"/>
                    <w:tr2bl w:val="nil"/>
                  </w:tcBorders>
                  <w:noWrap w:val="0"/>
                  <w:vAlign w:val="center"/>
                </w:tcPr>
                <w:p w14:paraId="6ACAE921">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r>
            <w:tr w14:paraId="77550B6B">
              <w:tblPrEx>
                <w:tblBorders>
                  <w:top w:val="single" w:color="auto" w:sz="2" w:space="0"/>
                  <w:left w:val="none" w:color="auto" w:sz="0" w:space="0"/>
                  <w:bottom w:val="single" w:color="auto" w:sz="2" w:space="0"/>
                  <w:right w:val="none" w:color="auto" w:sz="0" w:space="0"/>
                  <w:insideH w:val="single" w:color="auto" w:sz="2" w:space="0"/>
                  <w:insideV w:val="single" w:color="auto" w:sz="2" w:space="0"/>
                </w:tblBorders>
                <w:tblCellMar>
                  <w:top w:w="0" w:type="dxa"/>
                  <w:left w:w="108" w:type="dxa"/>
                  <w:bottom w:w="0" w:type="dxa"/>
                  <w:right w:w="108" w:type="dxa"/>
                </w:tblCellMar>
              </w:tblPrEx>
              <w:trPr>
                <w:cantSplit/>
                <w:trHeight w:val="1582" w:hRule="atLeast"/>
                <w:jc w:val="center"/>
              </w:trPr>
              <w:tc>
                <w:tcPr>
                  <w:tcW w:w="588" w:type="pct"/>
                  <w:tcBorders>
                    <w:left w:val="single" w:color="auto" w:sz="4" w:space="0"/>
                    <w:bottom w:val="single" w:color="auto" w:sz="4" w:space="0"/>
                    <w:tl2br w:val="nil"/>
                    <w:tr2bl w:val="nil"/>
                  </w:tcBorders>
                  <w:noWrap w:val="0"/>
                  <w:vAlign w:val="center"/>
                </w:tcPr>
                <w:p w14:paraId="5190FB26">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DA001排气筒（除尘效率降为0）</w:t>
                  </w:r>
                </w:p>
              </w:tc>
              <w:tc>
                <w:tcPr>
                  <w:tcW w:w="460" w:type="pct"/>
                  <w:vMerge w:val="continue"/>
                  <w:tcBorders>
                    <w:bottom w:val="single" w:color="auto" w:sz="4" w:space="0"/>
                    <w:tl2br w:val="nil"/>
                    <w:tr2bl w:val="nil"/>
                  </w:tcBorders>
                  <w:noWrap w:val="0"/>
                  <w:vAlign w:val="center"/>
                </w:tcPr>
                <w:p w14:paraId="722A7793">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p>
              </w:tc>
              <w:tc>
                <w:tcPr>
                  <w:tcW w:w="287" w:type="pct"/>
                  <w:vMerge w:val="continue"/>
                  <w:tcBorders>
                    <w:bottom w:val="single" w:color="auto" w:sz="4" w:space="0"/>
                    <w:tl2br w:val="nil"/>
                    <w:tr2bl w:val="nil"/>
                  </w:tcBorders>
                  <w:noWrap w:val="0"/>
                  <w:vAlign w:val="center"/>
                </w:tcPr>
                <w:p w14:paraId="65DEE9D6">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p>
              </w:tc>
              <w:tc>
                <w:tcPr>
                  <w:tcW w:w="433" w:type="pct"/>
                  <w:tcBorders>
                    <w:bottom w:val="single" w:color="auto" w:sz="4" w:space="0"/>
                    <w:tl2br w:val="nil"/>
                    <w:tr2bl w:val="nil"/>
                  </w:tcBorders>
                  <w:noWrap w:val="0"/>
                  <w:vAlign w:val="center"/>
                </w:tcPr>
                <w:p w14:paraId="04577C9C">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130.5</w:t>
                  </w:r>
                </w:p>
              </w:tc>
              <w:tc>
                <w:tcPr>
                  <w:tcW w:w="604" w:type="pct"/>
                  <w:tcBorders>
                    <w:bottom w:val="single" w:color="auto" w:sz="4" w:space="0"/>
                    <w:tl2br w:val="nil"/>
                    <w:tr2bl w:val="nil"/>
                  </w:tcBorders>
                  <w:noWrap w:val="0"/>
                  <w:vAlign w:val="center"/>
                </w:tcPr>
                <w:p w14:paraId="01DD824F">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54.375</w:t>
                  </w:r>
                </w:p>
              </w:tc>
              <w:tc>
                <w:tcPr>
                  <w:tcW w:w="608" w:type="pct"/>
                  <w:tcBorders>
                    <w:bottom w:val="single" w:color="auto" w:sz="4" w:space="0"/>
                    <w:tl2br w:val="nil"/>
                    <w:tr2bl w:val="nil"/>
                  </w:tcBorders>
                  <w:noWrap w:val="0"/>
                  <w:vAlign w:val="center"/>
                </w:tcPr>
                <w:p w14:paraId="33EF88D4">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2718</w:t>
                  </w:r>
                </w:p>
              </w:tc>
              <w:tc>
                <w:tcPr>
                  <w:tcW w:w="438" w:type="pct"/>
                  <w:tcBorders>
                    <w:bottom w:val="single" w:color="auto" w:sz="4" w:space="0"/>
                    <w:tl2br w:val="nil"/>
                    <w:tr2bl w:val="nil"/>
                  </w:tcBorders>
                  <w:noWrap w:val="0"/>
                  <w:vAlign w:val="center"/>
                </w:tcPr>
                <w:p w14:paraId="328A82EB">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3.5</w:t>
                  </w:r>
                </w:p>
              </w:tc>
              <w:tc>
                <w:tcPr>
                  <w:tcW w:w="489" w:type="pct"/>
                  <w:tcBorders>
                    <w:bottom w:val="single" w:color="auto" w:sz="4" w:space="0"/>
                    <w:tl2br w:val="nil"/>
                    <w:tr2bl w:val="nil"/>
                  </w:tcBorders>
                  <w:noWrap w:val="0"/>
                  <w:vAlign w:val="center"/>
                </w:tcPr>
                <w:p w14:paraId="263C7689">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120</w:t>
                  </w:r>
                </w:p>
              </w:tc>
              <w:tc>
                <w:tcPr>
                  <w:tcW w:w="308" w:type="pct"/>
                  <w:tcBorders>
                    <w:bottom w:val="single" w:color="auto" w:sz="4" w:space="0"/>
                    <w:tl2br w:val="nil"/>
                    <w:tr2bl w:val="nil"/>
                  </w:tcBorders>
                  <w:noWrap w:val="0"/>
                  <w:vAlign w:val="center"/>
                </w:tcPr>
                <w:p w14:paraId="79DB1821">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超标</w:t>
                  </w:r>
                </w:p>
              </w:tc>
              <w:tc>
                <w:tcPr>
                  <w:tcW w:w="442" w:type="pct"/>
                  <w:tcBorders>
                    <w:bottom w:val="single" w:color="auto" w:sz="4" w:space="0"/>
                    <w:tl2br w:val="nil"/>
                    <w:tr2bl w:val="nil"/>
                  </w:tcBorders>
                  <w:noWrap w:val="0"/>
                  <w:vAlign w:val="center"/>
                </w:tcPr>
                <w:p w14:paraId="50F053B4">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337" w:type="pct"/>
                  <w:tcBorders>
                    <w:bottom w:val="single" w:color="auto" w:sz="4" w:space="0"/>
                    <w:right w:val="single" w:color="auto" w:sz="4" w:space="0"/>
                    <w:tl2br w:val="nil"/>
                    <w:tr2bl w:val="nil"/>
                  </w:tcBorders>
                  <w:noWrap w:val="0"/>
                  <w:vAlign w:val="center"/>
                </w:tcPr>
                <w:p w14:paraId="41D0F309">
                  <w:pPr>
                    <w:topLinePunct/>
                    <w:autoSpaceDE w:val="0"/>
                    <w:adjustRightInd w:val="0"/>
                    <w:spacing w:line="240" w:lineRule="auto"/>
                    <w:ind w:firstLine="0" w:firstLineChars="0"/>
                    <w:jc w:val="center"/>
                    <w:textAlignment w:val="baseline"/>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r>
          </w:tbl>
          <w:p w14:paraId="0D1FF806">
            <w:pPr>
              <w:adjustRightInd w:val="0"/>
              <w:spacing w:before="156" w:beforeLines="50"/>
              <w:ind w:firstLine="482"/>
              <w:rPr>
                <w:rFonts w:hint="default" w:ascii="Times New Roman" w:hAnsi="Times New Roman" w:cs="Times New Roman"/>
                <w:b/>
                <w:color w:val="auto"/>
                <w:szCs w:val="21"/>
                <w:highlight w:val="none"/>
              </w:rPr>
            </w:pPr>
            <w:r>
              <w:rPr>
                <w:rFonts w:hint="default" w:ascii="Times New Roman" w:hAnsi="Times New Roman" w:cs="Times New Roman"/>
                <w:color w:val="auto"/>
                <w:sz w:val="24"/>
                <w:szCs w:val="24"/>
                <w:highlight w:val="none"/>
                <w:lang w:val="en-US" w:eastAsia="zh-CN"/>
              </w:rPr>
              <w:t>根据上表可知，当布袋除尘器除尘效率降至50%和0时，项目DA001排气筒排放的颗粒物（TSP）不能达标排放，因此为了避免出现非正常排放情况，环评提出企业应加强管理，定期对除尘设施进行检查，确保其正常运行，杜绝非正常排放的情况发生。当出现非正常排放时，建设单位要及时停止生产，对设备进行关停检修，尽量控制对周围环境的影响。</w:t>
            </w:r>
          </w:p>
          <w:p w14:paraId="1F705011">
            <w:pPr>
              <w:adjustRightInd w:val="0"/>
              <w:ind w:firstLine="482"/>
              <w:rPr>
                <w:rFonts w:hint="default" w:ascii="Times New Roman" w:hAnsi="Times New Roman" w:cs="Times New Roman"/>
                <w:b/>
                <w:color w:val="auto"/>
                <w:szCs w:val="24"/>
                <w:highlight w:val="none"/>
              </w:rPr>
            </w:pPr>
            <w:r>
              <w:rPr>
                <w:rFonts w:hint="eastAsia" w:cs="Times New Roman"/>
                <w:b/>
                <w:color w:val="auto"/>
                <w:szCs w:val="24"/>
                <w:highlight w:val="none"/>
                <w:lang w:val="en-US" w:eastAsia="zh-CN"/>
              </w:rPr>
              <w:t>8</w:t>
            </w:r>
            <w:r>
              <w:rPr>
                <w:rFonts w:hint="default" w:ascii="Times New Roman" w:hAnsi="Times New Roman" w:cs="Times New Roman"/>
                <w:b/>
                <w:color w:val="auto"/>
                <w:szCs w:val="24"/>
                <w:highlight w:val="none"/>
              </w:rPr>
              <w:t>、废气防治措施</w:t>
            </w:r>
            <w:r>
              <w:rPr>
                <w:rFonts w:hint="default" w:ascii="Times New Roman" w:hAnsi="Times New Roman" w:cs="Times New Roman"/>
                <w:b/>
                <w:color w:val="auto"/>
                <w:szCs w:val="24"/>
                <w:highlight w:val="none"/>
                <w:lang w:val="en-US" w:eastAsia="zh-CN"/>
              </w:rPr>
              <w:t>及</w:t>
            </w:r>
            <w:r>
              <w:rPr>
                <w:rFonts w:hint="default" w:ascii="Times New Roman" w:hAnsi="Times New Roman" w:cs="Times New Roman"/>
                <w:b/>
                <w:color w:val="auto"/>
                <w:szCs w:val="24"/>
                <w:highlight w:val="none"/>
              </w:rPr>
              <w:t>可行性分析</w:t>
            </w:r>
          </w:p>
          <w:p w14:paraId="5CD5670B">
            <w:pPr>
              <w:ind w:left="60" w:right="6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本项目运营期大气污染物主要为颗粒物。针对项目产生的颗粒物情况，本环评提出了相关治理措施，其措施有效性分析如下：</w:t>
            </w:r>
          </w:p>
          <w:p w14:paraId="5B535523">
            <w:pPr>
              <w:ind w:left="60" w:right="6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经查阅《排污技术许可证申请与核发技术规范</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陶瓷砖瓦工业》(HJ954-2018)，该“技术规范”中提出了建筑用石工业、其他制品类工业排污单位废气污染防治可行技术，项目采取的措施与“技术规范”中提出的可行技术对比情况见下表4-</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4</w:t>
            </w:r>
            <w:r>
              <w:rPr>
                <w:rFonts w:hint="default" w:ascii="Times New Roman" w:hAnsi="Times New Roman" w:cs="Times New Roman"/>
                <w:color w:val="auto"/>
                <w:highlight w:val="none"/>
              </w:rPr>
              <w:t>。</w:t>
            </w:r>
          </w:p>
          <w:p w14:paraId="725F111C">
            <w:pPr>
              <w:pStyle w:val="72"/>
              <w:ind w:left="60" w:right="60"/>
              <w:rPr>
                <w:rFonts w:hint="default" w:ascii="Times New Roman" w:hAnsi="Times New Roman" w:cs="Times New Roman"/>
                <w:color w:val="auto"/>
                <w:highlight w:val="none"/>
              </w:rPr>
            </w:pPr>
            <w:r>
              <w:rPr>
                <w:rFonts w:hint="default" w:ascii="Times New Roman" w:hAnsi="Times New Roman" w:cs="Times New Roman"/>
                <w:color w:val="auto"/>
                <w:highlight w:val="none"/>
              </w:rPr>
              <w:t>表4</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4</w:t>
            </w:r>
            <w:r>
              <w:rPr>
                <w:rFonts w:hint="default" w:ascii="Times New Roman" w:hAnsi="Times New Roman" w:cs="Times New Roman"/>
                <w:color w:val="auto"/>
                <w:highlight w:val="none"/>
              </w:rPr>
              <w:t xml:space="preserve"> 项目废气防治措施与技术规范中可行性技术对比表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473"/>
              <w:gridCol w:w="1208"/>
              <w:gridCol w:w="2790"/>
              <w:gridCol w:w="2367"/>
            </w:tblGrid>
            <w:tr w14:paraId="62CF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492" w:type="dxa"/>
                  <w:shd w:val="clear" w:color="auto" w:fill="auto"/>
                  <w:noWrap w:val="0"/>
                  <w:vAlign w:val="center"/>
                </w:tcPr>
                <w:p w14:paraId="578D9AA6">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排放口</w:t>
                  </w:r>
                </w:p>
              </w:tc>
              <w:tc>
                <w:tcPr>
                  <w:tcW w:w="473" w:type="dxa"/>
                  <w:shd w:val="clear" w:color="auto" w:fill="auto"/>
                  <w:noWrap w:val="0"/>
                  <w:vAlign w:val="center"/>
                </w:tcPr>
                <w:p w14:paraId="0D83D115">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污染物</w:t>
                  </w:r>
                </w:p>
              </w:tc>
              <w:tc>
                <w:tcPr>
                  <w:tcW w:w="1208" w:type="dxa"/>
                  <w:shd w:val="clear" w:color="auto" w:fill="auto"/>
                  <w:noWrap w:val="0"/>
                  <w:vAlign w:val="center"/>
                </w:tcPr>
                <w:p w14:paraId="05C62278">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技术规范推荐的可行性技术</w:t>
                  </w:r>
                </w:p>
              </w:tc>
              <w:tc>
                <w:tcPr>
                  <w:tcW w:w="2790" w:type="dxa"/>
                  <w:shd w:val="clear" w:color="auto" w:fill="auto"/>
                  <w:noWrap w:val="0"/>
                  <w:vAlign w:val="center"/>
                </w:tcPr>
                <w:p w14:paraId="2776CB14">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项目采取的措施情况</w:t>
                  </w:r>
                </w:p>
              </w:tc>
              <w:tc>
                <w:tcPr>
                  <w:tcW w:w="2367" w:type="dxa"/>
                  <w:shd w:val="clear" w:color="auto" w:fill="auto"/>
                  <w:noWrap w:val="0"/>
                  <w:vAlign w:val="center"/>
                </w:tcPr>
                <w:p w14:paraId="094668B3">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对比结果</w:t>
                  </w:r>
                </w:p>
              </w:tc>
            </w:tr>
            <w:tr w14:paraId="7BE5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492" w:type="dxa"/>
                  <w:shd w:val="clear" w:color="auto" w:fill="auto"/>
                  <w:noWrap w:val="0"/>
                  <w:vAlign w:val="center"/>
                </w:tcPr>
                <w:p w14:paraId="1FCDE1E9">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DA001</w:t>
                  </w:r>
                </w:p>
              </w:tc>
              <w:tc>
                <w:tcPr>
                  <w:tcW w:w="473" w:type="dxa"/>
                  <w:shd w:val="clear" w:color="auto" w:fill="auto"/>
                  <w:noWrap w:val="0"/>
                  <w:vAlign w:val="center"/>
                </w:tcPr>
                <w:p w14:paraId="5A6D9343">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颗粒物</w:t>
                  </w:r>
                </w:p>
              </w:tc>
              <w:tc>
                <w:tcPr>
                  <w:tcW w:w="1208" w:type="dxa"/>
                  <w:shd w:val="clear" w:color="auto" w:fill="auto"/>
                  <w:noWrap w:val="0"/>
                  <w:vAlign w:val="center"/>
                </w:tcPr>
                <w:p w14:paraId="0D3FABD6">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湿法工艺或采用袋式除尘等技术</w:t>
                  </w:r>
                </w:p>
              </w:tc>
              <w:tc>
                <w:tcPr>
                  <w:tcW w:w="2790" w:type="dxa"/>
                  <w:shd w:val="clear" w:color="auto" w:fill="auto"/>
                  <w:noWrap w:val="0"/>
                  <w:vAlign w:val="center"/>
                </w:tcPr>
                <w:p w14:paraId="6F0556EE">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一破</w:t>
                  </w:r>
                  <w:r>
                    <w:rPr>
                      <w:rFonts w:hint="default" w:ascii="Times New Roman" w:hAnsi="Times New Roman" w:cs="Times New Roman"/>
                      <w:b w:val="0"/>
                      <w:bCs w:val="0"/>
                      <w:color w:val="auto"/>
                      <w:highlight w:val="none"/>
                      <w:lang w:eastAsia="zh-CN"/>
                    </w:rPr>
                    <w:t>、</w:t>
                  </w:r>
                  <w:r>
                    <w:rPr>
                      <w:rFonts w:hint="default" w:ascii="Times New Roman" w:hAnsi="Times New Roman" w:cs="Times New Roman"/>
                      <w:b w:val="0"/>
                      <w:bCs w:val="0"/>
                      <w:color w:val="auto"/>
                      <w:highlight w:val="none"/>
                    </w:rPr>
                    <w:t>二破出料口、制砂机出料口以及振动筛上方设置集气罩，粉尘经集气罩收集后引入1套布袋除尘器处理，粉尘经处理后通过15m高排气筒排放</w:t>
                  </w:r>
                </w:p>
              </w:tc>
              <w:tc>
                <w:tcPr>
                  <w:tcW w:w="2367" w:type="dxa"/>
                  <w:shd w:val="clear" w:color="auto" w:fill="auto"/>
                  <w:noWrap w:val="0"/>
                  <w:vAlign w:val="center"/>
                </w:tcPr>
                <w:p w14:paraId="3D9C5DA8">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项目粉尘除尘的袋式除尘器属于HJ954-2018《排污技术许可证申请与核发技术规范 陶瓷砖瓦工业》中推荐的可行技术</w:t>
                  </w:r>
                </w:p>
              </w:tc>
            </w:tr>
          </w:tbl>
          <w:p w14:paraId="29738B08">
            <w:pPr>
              <w:ind w:left="60" w:right="6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根据《排污技术许可证申请与核发技术规范</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陶瓷砖瓦工业》(HJ954-2018)中提出了建筑用石加工工业排污单位无组织排放控制要求，项目采场、运输道路、工业场地无组织粉尘防治措施与“技术规范”中要求对比情况见下表4</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5</w:t>
            </w:r>
            <w:r>
              <w:rPr>
                <w:rFonts w:hint="default" w:ascii="Times New Roman" w:hAnsi="Times New Roman" w:cs="Times New Roman"/>
                <w:color w:val="auto"/>
                <w:highlight w:val="none"/>
              </w:rPr>
              <w:t>。</w:t>
            </w:r>
          </w:p>
          <w:p w14:paraId="7E8A5179">
            <w:pPr>
              <w:pStyle w:val="72"/>
              <w:ind w:left="60" w:right="60"/>
              <w:rPr>
                <w:rFonts w:hint="default" w:ascii="Times New Roman" w:hAnsi="Times New Roman" w:cs="Times New Roman"/>
                <w:color w:val="auto"/>
                <w:highlight w:val="none"/>
              </w:rPr>
            </w:pPr>
            <w:r>
              <w:rPr>
                <w:rFonts w:hint="default" w:ascii="Times New Roman" w:hAnsi="Times New Roman" w:cs="Times New Roman"/>
                <w:color w:val="auto"/>
                <w:highlight w:val="none"/>
              </w:rPr>
              <w:t>表4</w:t>
            </w:r>
            <w:r>
              <w:rPr>
                <w:rFonts w:hint="default" w:ascii="Times New Roman" w:hAnsi="Times New Roman" w:cs="Times New Roman"/>
                <w:color w:val="auto"/>
                <w:highlight w:val="none"/>
                <w:lang w:val="en-US" w:eastAsia="zh-CN"/>
              </w:rPr>
              <w:t>-1</w:t>
            </w:r>
            <w:r>
              <w:rPr>
                <w:rFonts w:hint="eastAsia" w:cs="Times New Roman"/>
                <w:color w:val="auto"/>
                <w:highlight w:val="none"/>
                <w:lang w:val="en-US" w:eastAsia="zh-CN"/>
              </w:rPr>
              <w:t xml:space="preserve">5 </w:t>
            </w:r>
            <w:r>
              <w:rPr>
                <w:rFonts w:hint="default" w:ascii="Times New Roman" w:hAnsi="Times New Roman" w:cs="Times New Roman"/>
                <w:color w:val="auto"/>
                <w:highlight w:val="none"/>
              </w:rPr>
              <w:t>项目废气防治措施与技术规范中可行性技术对比表</w:t>
            </w:r>
          </w:p>
          <w:tbl>
            <w:tblPr>
              <w:tblStyle w:val="3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6"/>
              <w:gridCol w:w="4334"/>
              <w:gridCol w:w="1403"/>
            </w:tblGrid>
            <w:tr w14:paraId="5B8C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333" w:type="pct"/>
                  <w:shd w:val="clear" w:color="auto" w:fill="auto"/>
                  <w:noWrap w:val="0"/>
                  <w:vAlign w:val="center"/>
                </w:tcPr>
                <w:p w14:paraId="387999C5">
                  <w:pPr>
                    <w:pStyle w:val="7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技术规范提出的控制要求</w:t>
                  </w:r>
                </w:p>
              </w:tc>
              <w:tc>
                <w:tcPr>
                  <w:tcW w:w="2769" w:type="pct"/>
                  <w:shd w:val="clear" w:color="auto" w:fill="auto"/>
                  <w:noWrap w:val="0"/>
                  <w:vAlign w:val="center"/>
                </w:tcPr>
                <w:p w14:paraId="68BCEC48">
                  <w:pPr>
                    <w:pStyle w:val="7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项目情况</w:t>
                  </w:r>
                </w:p>
              </w:tc>
              <w:tc>
                <w:tcPr>
                  <w:tcW w:w="896" w:type="pct"/>
                  <w:shd w:val="clear" w:color="auto" w:fill="auto"/>
                  <w:noWrap w:val="0"/>
                  <w:vAlign w:val="center"/>
                </w:tcPr>
                <w:p w14:paraId="421C7ED8">
                  <w:pPr>
                    <w:pStyle w:val="74"/>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对比结果</w:t>
                  </w:r>
                </w:p>
              </w:tc>
            </w:tr>
            <w:tr w14:paraId="3327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333" w:type="pct"/>
                  <w:shd w:val="clear" w:color="auto" w:fill="auto"/>
                  <w:noWrap w:val="0"/>
                  <w:vAlign w:val="center"/>
                </w:tcPr>
                <w:p w14:paraId="074D077F">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露天作业过程中采用湿法工艺或其他抑尘措施</w:t>
                  </w:r>
                </w:p>
              </w:tc>
              <w:tc>
                <w:tcPr>
                  <w:tcW w:w="2769" w:type="pct"/>
                  <w:shd w:val="clear" w:color="auto" w:fill="auto"/>
                  <w:noWrap w:val="0"/>
                  <w:vAlign w:val="center"/>
                </w:tcPr>
                <w:p w14:paraId="0FCA4E83">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lang w:eastAsia="zh-CN"/>
                    </w:rPr>
                    <w:t>露天开采区</w:t>
                  </w:r>
                  <w:r>
                    <w:rPr>
                      <w:rFonts w:hint="default" w:ascii="Times New Roman" w:hAnsi="Times New Roman" w:cs="Times New Roman"/>
                      <w:b w:val="0"/>
                      <w:bCs w:val="0"/>
                      <w:color w:val="auto"/>
                      <w:highlight w:val="none"/>
                    </w:rPr>
                    <w:t>采用洒水车及雾炮机进行洒水降尘。</w:t>
                  </w:r>
                </w:p>
              </w:tc>
              <w:tc>
                <w:tcPr>
                  <w:tcW w:w="896" w:type="pct"/>
                  <w:shd w:val="clear" w:color="auto" w:fill="auto"/>
                  <w:noWrap w:val="0"/>
                  <w:vAlign w:val="center"/>
                </w:tcPr>
                <w:p w14:paraId="3F2D47AD">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满足要求</w:t>
                  </w:r>
                </w:p>
              </w:tc>
            </w:tr>
            <w:tr w14:paraId="1F53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1333" w:type="pct"/>
                  <w:shd w:val="clear" w:color="auto" w:fill="auto"/>
                  <w:noWrap w:val="0"/>
                  <w:vAlign w:val="center"/>
                </w:tcPr>
                <w:p w14:paraId="0B518F70">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生产车间外不应有可见粉尘外逸</w:t>
                  </w:r>
                </w:p>
              </w:tc>
              <w:tc>
                <w:tcPr>
                  <w:tcW w:w="2769" w:type="pct"/>
                  <w:shd w:val="clear" w:color="auto" w:fill="auto"/>
                  <w:noWrap w:val="0"/>
                  <w:vAlign w:val="center"/>
                </w:tcPr>
                <w:p w14:paraId="5314E7D7">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一破、二破、筛分、制砂均设置在密封的彩钢瓦大棚内。</w:t>
                  </w:r>
                </w:p>
              </w:tc>
              <w:tc>
                <w:tcPr>
                  <w:tcW w:w="896" w:type="pct"/>
                  <w:shd w:val="clear" w:color="auto" w:fill="auto"/>
                  <w:noWrap w:val="0"/>
                  <w:vAlign w:val="center"/>
                </w:tcPr>
                <w:p w14:paraId="087F9C22">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满足要求</w:t>
                  </w:r>
                </w:p>
              </w:tc>
            </w:tr>
            <w:tr w14:paraId="5347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1333" w:type="pct"/>
                  <w:shd w:val="clear" w:color="auto" w:fill="auto"/>
                  <w:noWrap w:val="0"/>
                  <w:vAlign w:val="center"/>
                </w:tcPr>
                <w:p w14:paraId="7E94CB82">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道路采取清扫、洒水等措施，保持清洁</w:t>
                  </w:r>
                </w:p>
              </w:tc>
              <w:tc>
                <w:tcPr>
                  <w:tcW w:w="2769" w:type="pct"/>
                  <w:shd w:val="clear" w:color="auto" w:fill="auto"/>
                  <w:noWrap w:val="0"/>
                  <w:vAlign w:val="center"/>
                </w:tcPr>
                <w:p w14:paraId="4FFF2A97">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采取限制车速，对矿山道路采用洒水车进行洒水、加强对路面的维护、车辆加盖篷布、杜绝汽车沿路抛洒物料等措施。</w:t>
                  </w:r>
                </w:p>
              </w:tc>
              <w:tc>
                <w:tcPr>
                  <w:tcW w:w="896" w:type="pct"/>
                  <w:shd w:val="clear" w:color="auto" w:fill="auto"/>
                  <w:noWrap w:val="0"/>
                  <w:vAlign w:val="center"/>
                </w:tcPr>
                <w:p w14:paraId="4444A70B">
                  <w:pPr>
                    <w:pStyle w:val="74"/>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满足要求</w:t>
                  </w:r>
                </w:p>
              </w:tc>
            </w:tr>
          </w:tbl>
          <w:p w14:paraId="51DF45A2">
            <w:pPr>
              <w:adjustRightInd w:val="0"/>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通过对比，项目采取的措施简单易实现、投资合理并可实现较好的防尘效果。在采取上述可行技术措施后，项目运营期废气中颗粒物排放浓度能够满足《大气污染物综合排放标准》(GB16297-1996)表2中污染源大气污染物排放限值，能做到达标排放。因此项目废气防治措施可行。</w:t>
            </w:r>
          </w:p>
          <w:p w14:paraId="33F9CBF5">
            <w:pPr>
              <w:adjustRightInd w:val="0"/>
              <w:ind w:firstLine="482"/>
              <w:rPr>
                <w:rFonts w:hint="default" w:ascii="Times New Roman" w:hAnsi="Times New Roman" w:cs="Times New Roman"/>
                <w:b/>
                <w:color w:val="auto"/>
                <w:kern w:val="0"/>
                <w:szCs w:val="24"/>
                <w:highlight w:val="none"/>
              </w:rPr>
            </w:pPr>
            <w:r>
              <w:rPr>
                <w:rFonts w:hint="eastAsia" w:cs="Times New Roman"/>
                <w:b/>
                <w:color w:val="auto"/>
                <w:kern w:val="0"/>
                <w:szCs w:val="24"/>
                <w:highlight w:val="none"/>
                <w:lang w:val="en-US" w:eastAsia="zh-CN"/>
              </w:rPr>
              <w:t>9</w:t>
            </w:r>
            <w:r>
              <w:rPr>
                <w:rFonts w:hint="default" w:ascii="Times New Roman" w:hAnsi="Times New Roman" w:cs="Times New Roman"/>
                <w:b/>
                <w:color w:val="auto"/>
                <w:kern w:val="0"/>
                <w:szCs w:val="24"/>
                <w:highlight w:val="none"/>
              </w:rPr>
              <w:t>、废气环境影响分析</w:t>
            </w:r>
          </w:p>
          <w:p w14:paraId="15B1FAC9">
            <w:pPr>
              <w:adjustRightInd w:val="0"/>
              <w:ind w:firstLine="480"/>
              <w:rPr>
                <w:rFonts w:hint="default" w:ascii="Times New Roman" w:hAnsi="Times New Roman" w:cs="Times New Roman"/>
                <w:color w:val="auto"/>
                <w:kern w:val="0"/>
                <w:szCs w:val="24"/>
                <w:highlight w:val="none"/>
                <w:lang w:val="en-US" w:eastAsia="zh-CN"/>
              </w:rPr>
            </w:pPr>
            <w:r>
              <w:rPr>
                <w:rFonts w:hint="default" w:ascii="Times New Roman" w:hAnsi="Times New Roman" w:cs="Times New Roman"/>
                <w:color w:val="auto"/>
                <w:kern w:val="0"/>
                <w:szCs w:val="24"/>
                <w:highlight w:val="none"/>
                <w:lang w:val="en-US" w:eastAsia="zh-CN"/>
              </w:rPr>
              <w:t>（1）有组织废气达标分析</w:t>
            </w:r>
          </w:p>
          <w:p w14:paraId="4F435AF7">
            <w:pPr>
              <w:adjustRightInd w:val="0"/>
              <w:ind w:firstLine="480"/>
              <w:rPr>
                <w:rFonts w:hint="default" w:ascii="Times New Roman" w:hAnsi="Times New Roman" w:cs="Times New Roman"/>
                <w:color w:val="auto"/>
                <w:kern w:val="0"/>
                <w:szCs w:val="24"/>
                <w:highlight w:val="none"/>
                <w:lang w:val="en-US" w:eastAsia="zh-CN"/>
              </w:rPr>
            </w:pPr>
            <w:r>
              <w:rPr>
                <w:rFonts w:hint="default" w:ascii="Times New Roman" w:hAnsi="Times New Roman" w:cs="Times New Roman"/>
                <w:color w:val="auto"/>
                <w:kern w:val="0"/>
                <w:szCs w:val="24"/>
                <w:highlight w:val="none"/>
                <w:lang w:val="en-US" w:eastAsia="zh-CN"/>
              </w:rPr>
              <w:t>项目石料加工（破碎、筛分）工段中产生的粉尘经布袋除尘处理后，DA001的有组织颗粒物排放量为</w:t>
            </w:r>
            <w:r>
              <w:rPr>
                <w:rFonts w:hint="eastAsia" w:cs="Times New Roman"/>
                <w:color w:val="auto"/>
                <w:kern w:val="0"/>
                <w:szCs w:val="24"/>
                <w:highlight w:val="none"/>
                <w:lang w:val="en-US" w:eastAsia="zh-CN"/>
              </w:rPr>
              <w:t>1.305</w:t>
            </w:r>
            <w:r>
              <w:rPr>
                <w:rFonts w:hint="default" w:ascii="Times New Roman" w:hAnsi="Times New Roman" w:cs="Times New Roman"/>
                <w:color w:val="auto"/>
                <w:kern w:val="0"/>
                <w:szCs w:val="24"/>
                <w:highlight w:val="none"/>
                <w:lang w:val="en-US" w:eastAsia="zh-CN"/>
              </w:rPr>
              <w:t>t/a，排放速率为0.</w:t>
            </w:r>
            <w:r>
              <w:rPr>
                <w:rFonts w:hint="eastAsia" w:cs="Times New Roman"/>
                <w:color w:val="auto"/>
                <w:kern w:val="0"/>
                <w:szCs w:val="24"/>
                <w:highlight w:val="none"/>
                <w:lang w:val="en-US" w:eastAsia="zh-CN"/>
              </w:rPr>
              <w:t>54</w:t>
            </w:r>
            <w:r>
              <w:rPr>
                <w:rFonts w:hint="default" w:ascii="Times New Roman" w:hAnsi="Times New Roman" w:cs="Times New Roman"/>
                <w:color w:val="auto"/>
                <w:kern w:val="0"/>
                <w:szCs w:val="24"/>
                <w:highlight w:val="none"/>
                <w:lang w:val="en-US" w:eastAsia="zh-CN"/>
              </w:rPr>
              <w:t>kg/h，排放浓度为</w:t>
            </w:r>
            <w:r>
              <w:rPr>
                <w:rFonts w:hint="eastAsia" w:cs="Times New Roman"/>
                <w:color w:val="auto"/>
                <w:kern w:val="0"/>
                <w:szCs w:val="24"/>
                <w:highlight w:val="none"/>
                <w:lang w:val="en-US" w:eastAsia="zh-CN"/>
              </w:rPr>
              <w:t>27</w:t>
            </w:r>
            <w:r>
              <w:rPr>
                <w:rFonts w:hint="default" w:ascii="Times New Roman" w:hAnsi="Times New Roman" w:cs="Times New Roman"/>
                <w:color w:val="auto"/>
                <w:kern w:val="0"/>
                <w:szCs w:val="24"/>
                <w:highlight w:val="none"/>
                <w:lang w:val="en-US" w:eastAsia="zh-CN"/>
              </w:rPr>
              <w:t>mg/m</w:t>
            </w:r>
            <w:r>
              <w:rPr>
                <w:rFonts w:hint="default" w:ascii="Times New Roman" w:hAnsi="Times New Roman" w:cs="Times New Roman"/>
                <w:color w:val="auto"/>
                <w:kern w:val="0"/>
                <w:szCs w:val="24"/>
                <w:highlight w:val="none"/>
                <w:vertAlign w:val="superscript"/>
                <w:lang w:val="en-US" w:eastAsia="zh-CN"/>
              </w:rPr>
              <w:t>3</w:t>
            </w:r>
            <w:r>
              <w:rPr>
                <w:rFonts w:hint="default" w:ascii="Times New Roman" w:hAnsi="Times New Roman" w:cs="Times New Roman"/>
                <w:color w:val="auto"/>
                <w:kern w:val="0"/>
                <w:szCs w:val="24"/>
                <w:highlight w:val="none"/>
                <w:lang w:val="en-US" w:eastAsia="zh-CN"/>
              </w:rPr>
              <w:t>，能满足《大气污染物综合排放标准》（GB16297-1996）中颗粒物排放浓度≤120mg/m</w:t>
            </w:r>
            <w:r>
              <w:rPr>
                <w:rFonts w:hint="default" w:ascii="Times New Roman" w:hAnsi="Times New Roman" w:cs="Times New Roman"/>
                <w:color w:val="auto"/>
                <w:kern w:val="0"/>
                <w:szCs w:val="24"/>
                <w:highlight w:val="none"/>
                <w:vertAlign w:val="superscript"/>
                <w:lang w:val="en-US" w:eastAsia="zh-CN"/>
              </w:rPr>
              <w:t>3</w:t>
            </w:r>
            <w:r>
              <w:rPr>
                <w:rFonts w:hint="default" w:ascii="Times New Roman" w:hAnsi="Times New Roman" w:cs="Times New Roman"/>
                <w:color w:val="auto"/>
                <w:kern w:val="0"/>
                <w:szCs w:val="24"/>
                <w:highlight w:val="none"/>
                <w:lang w:val="en-US" w:eastAsia="zh-CN"/>
              </w:rPr>
              <w:t>，排放速率≤3.5kg/h的要求。</w:t>
            </w:r>
          </w:p>
          <w:p w14:paraId="17383154">
            <w:pPr>
              <w:adjustRightInd w:val="0"/>
              <w:ind w:firstLine="480"/>
              <w:rPr>
                <w:rFonts w:hint="default" w:ascii="Times New Roman" w:hAnsi="Times New Roman" w:cs="Times New Roman"/>
                <w:color w:val="auto"/>
                <w:kern w:val="0"/>
                <w:szCs w:val="24"/>
                <w:highlight w:val="none"/>
                <w:lang w:val="en-US" w:eastAsia="zh-CN"/>
              </w:rPr>
            </w:pPr>
            <w:r>
              <w:rPr>
                <w:rFonts w:hint="default" w:ascii="Times New Roman" w:hAnsi="Times New Roman" w:cs="Times New Roman"/>
                <w:color w:val="auto"/>
                <w:kern w:val="0"/>
                <w:szCs w:val="24"/>
                <w:highlight w:val="none"/>
                <w:lang w:val="en-US" w:eastAsia="zh-CN"/>
              </w:rPr>
              <w:t>（2）无组织废气达标分析</w:t>
            </w:r>
          </w:p>
          <w:p w14:paraId="044ADECD">
            <w:pPr>
              <w:adjustRightInd w:val="0"/>
              <w:ind w:firstLine="480"/>
              <w:rPr>
                <w:rFonts w:hint="default" w:ascii="Times New Roman" w:hAnsi="Times New Roman" w:cs="Times New Roman"/>
                <w:color w:val="auto"/>
                <w:kern w:val="0"/>
                <w:szCs w:val="24"/>
                <w:highlight w:val="none"/>
                <w:lang w:val="en-US" w:eastAsia="zh-CN"/>
              </w:rPr>
            </w:pPr>
            <w:r>
              <w:rPr>
                <w:rFonts w:hint="default" w:ascii="Times New Roman" w:hAnsi="Times New Roman" w:cs="Times New Roman"/>
                <w:color w:val="auto"/>
                <w:kern w:val="0"/>
                <w:szCs w:val="24"/>
                <w:highlight w:val="none"/>
                <w:lang w:val="en-US" w:eastAsia="zh-CN"/>
              </w:rPr>
              <w:t>项目颗粒物无组织排放量为</w:t>
            </w:r>
            <w:r>
              <w:rPr>
                <w:rFonts w:hint="eastAsia" w:cs="Times New Roman"/>
                <w:color w:val="auto"/>
                <w:kern w:val="0"/>
                <w:szCs w:val="24"/>
                <w:highlight w:val="none"/>
                <w:lang w:val="en-US" w:eastAsia="zh-CN"/>
              </w:rPr>
              <w:t>13.5349</w:t>
            </w:r>
            <w:r>
              <w:rPr>
                <w:rFonts w:hint="default" w:ascii="Times New Roman" w:hAnsi="Times New Roman" w:cs="Times New Roman"/>
                <w:color w:val="auto"/>
                <w:kern w:val="0"/>
                <w:szCs w:val="24"/>
                <w:highlight w:val="none"/>
                <w:lang w:val="en-US" w:eastAsia="zh-CN"/>
              </w:rPr>
              <w:t>t/a</w:t>
            </w:r>
            <w:r>
              <w:rPr>
                <w:rFonts w:hint="eastAsia" w:cs="Times New Roman"/>
                <w:color w:val="auto"/>
                <w:kern w:val="0"/>
                <w:szCs w:val="24"/>
                <w:highlight w:val="none"/>
                <w:lang w:val="en-US" w:eastAsia="zh-CN"/>
              </w:rPr>
              <w:t>、</w:t>
            </w:r>
            <w:r>
              <w:rPr>
                <w:rFonts w:hint="default" w:ascii="Times New Roman" w:hAnsi="Times New Roman" w:cs="Times New Roman"/>
                <w:color w:val="auto"/>
                <w:kern w:val="0"/>
                <w:szCs w:val="24"/>
                <w:highlight w:val="none"/>
                <w:lang w:val="en-US" w:eastAsia="zh-CN"/>
              </w:rPr>
              <w:t>排放速率为</w:t>
            </w:r>
            <w:r>
              <w:rPr>
                <w:rFonts w:hint="eastAsia" w:cs="Times New Roman"/>
                <w:color w:val="auto"/>
                <w:kern w:val="0"/>
                <w:szCs w:val="24"/>
                <w:highlight w:val="none"/>
                <w:lang w:val="en-US" w:eastAsia="zh-CN"/>
              </w:rPr>
              <w:t>5.64</w:t>
            </w:r>
            <w:r>
              <w:rPr>
                <w:rFonts w:hint="default" w:ascii="Times New Roman" w:hAnsi="Times New Roman" w:cs="Times New Roman"/>
                <w:color w:val="auto"/>
                <w:kern w:val="0"/>
                <w:szCs w:val="24"/>
                <w:highlight w:val="none"/>
                <w:lang w:val="en-US" w:eastAsia="zh-CN"/>
              </w:rPr>
              <w:t>kg/h。通过AERSCREEN模式进行估算，无组织废气估算结果见表4-1</w:t>
            </w:r>
            <w:r>
              <w:rPr>
                <w:rFonts w:hint="eastAsia" w:cs="Times New Roman"/>
                <w:color w:val="auto"/>
                <w:kern w:val="0"/>
                <w:szCs w:val="24"/>
                <w:highlight w:val="none"/>
                <w:lang w:val="en-US" w:eastAsia="zh-CN"/>
              </w:rPr>
              <w:t>6</w:t>
            </w:r>
            <w:r>
              <w:rPr>
                <w:rFonts w:hint="default" w:ascii="Times New Roman" w:hAnsi="Times New Roman" w:cs="Times New Roman"/>
                <w:color w:val="auto"/>
                <w:kern w:val="0"/>
                <w:szCs w:val="24"/>
                <w:highlight w:val="none"/>
                <w:lang w:val="en-US" w:eastAsia="zh-CN"/>
              </w:rPr>
              <w:t>。</w:t>
            </w:r>
          </w:p>
          <w:p w14:paraId="06006480">
            <w:pPr>
              <w:adjustRightInd w:val="0"/>
              <w:spacing w:line="240" w:lineRule="auto"/>
              <w:ind w:left="0" w:leftChars="0" w:firstLine="0" w:firstLineChars="0"/>
              <w:jc w:val="center"/>
              <w:rPr>
                <w:rFonts w:hint="default" w:ascii="Times New Roman" w:hAnsi="Times New Roman" w:cs="Times New Roman"/>
                <w:b/>
                <w:bCs/>
                <w:color w:val="auto"/>
                <w:kern w:val="0"/>
                <w:sz w:val="21"/>
                <w:szCs w:val="21"/>
                <w:highlight w:val="none"/>
                <w:lang w:val="en-US" w:eastAsia="zh-CN"/>
              </w:rPr>
            </w:pPr>
            <w:r>
              <w:rPr>
                <w:rFonts w:hint="default" w:ascii="Times New Roman" w:hAnsi="Times New Roman" w:cs="Times New Roman"/>
                <w:b/>
                <w:bCs/>
                <w:color w:val="auto"/>
                <w:kern w:val="0"/>
                <w:sz w:val="21"/>
                <w:szCs w:val="21"/>
                <w:highlight w:val="none"/>
                <w:lang w:val="en-US" w:eastAsia="zh-CN"/>
              </w:rPr>
              <w:t>表4-1</w:t>
            </w:r>
            <w:r>
              <w:rPr>
                <w:rFonts w:hint="eastAsia" w:cs="Times New Roman"/>
                <w:b/>
                <w:bCs/>
                <w:color w:val="auto"/>
                <w:kern w:val="0"/>
                <w:sz w:val="21"/>
                <w:szCs w:val="21"/>
                <w:highlight w:val="none"/>
                <w:lang w:val="en-US" w:eastAsia="zh-CN"/>
              </w:rPr>
              <w:t>6</w:t>
            </w:r>
            <w:r>
              <w:rPr>
                <w:rFonts w:hint="default" w:ascii="Times New Roman" w:hAnsi="Times New Roman" w:cs="Times New Roman"/>
                <w:b/>
                <w:bCs/>
                <w:color w:val="auto"/>
                <w:kern w:val="0"/>
                <w:sz w:val="21"/>
                <w:szCs w:val="21"/>
                <w:highlight w:val="none"/>
                <w:lang w:val="en-US" w:eastAsia="zh-CN"/>
              </w:rPr>
              <w:t xml:space="preserve">  无组织废气预测结果一览表</w:t>
            </w:r>
          </w:p>
          <w:tbl>
            <w:tblPr>
              <w:tblStyle w:val="31"/>
              <w:tblW w:w="7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1908"/>
              <w:gridCol w:w="3128"/>
              <w:gridCol w:w="1869"/>
            </w:tblGrid>
            <w:tr w14:paraId="087B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Merge w:val="restart"/>
                  <w:vAlign w:val="center"/>
                </w:tcPr>
                <w:p w14:paraId="5D2085C9">
                  <w:pPr>
                    <w:pStyle w:val="74"/>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序号</w:t>
                  </w:r>
                </w:p>
              </w:tc>
              <w:tc>
                <w:tcPr>
                  <w:tcW w:w="1908" w:type="dxa"/>
                  <w:vMerge w:val="restart"/>
                  <w:vAlign w:val="center"/>
                </w:tcPr>
                <w:p w14:paraId="71371E70">
                  <w:pPr>
                    <w:pStyle w:val="74"/>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离源距离（m）</w:t>
                  </w:r>
                </w:p>
              </w:tc>
              <w:tc>
                <w:tcPr>
                  <w:tcW w:w="4997" w:type="dxa"/>
                  <w:gridSpan w:val="2"/>
                  <w:vAlign w:val="center"/>
                </w:tcPr>
                <w:p w14:paraId="385B84FB">
                  <w:pPr>
                    <w:pStyle w:val="74"/>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TSP</w:t>
                  </w:r>
                </w:p>
              </w:tc>
            </w:tr>
            <w:tr w14:paraId="4406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Merge w:val="continue"/>
                  <w:vAlign w:val="center"/>
                </w:tcPr>
                <w:p w14:paraId="5F42C543">
                  <w:pPr>
                    <w:pStyle w:val="74"/>
                    <w:rPr>
                      <w:rFonts w:hint="default" w:ascii="Times New Roman" w:hAnsi="Times New Roman" w:cs="Times New Roman"/>
                      <w:b/>
                      <w:bCs/>
                      <w:color w:val="auto"/>
                      <w:highlight w:val="none"/>
                      <w:lang w:val="en-US" w:eastAsia="zh-CN"/>
                    </w:rPr>
                  </w:pPr>
                </w:p>
              </w:tc>
              <w:tc>
                <w:tcPr>
                  <w:tcW w:w="1908" w:type="dxa"/>
                  <w:vMerge w:val="continue"/>
                  <w:vAlign w:val="center"/>
                </w:tcPr>
                <w:p w14:paraId="605B865A">
                  <w:pPr>
                    <w:pStyle w:val="74"/>
                    <w:rPr>
                      <w:rFonts w:hint="default" w:ascii="Times New Roman" w:hAnsi="Times New Roman" w:cs="Times New Roman"/>
                      <w:b/>
                      <w:bCs/>
                      <w:color w:val="auto"/>
                      <w:highlight w:val="none"/>
                      <w:lang w:val="en-US" w:eastAsia="zh-CN"/>
                    </w:rPr>
                  </w:pPr>
                </w:p>
              </w:tc>
              <w:tc>
                <w:tcPr>
                  <w:tcW w:w="3128" w:type="dxa"/>
                  <w:vAlign w:val="center"/>
                </w:tcPr>
                <w:p w14:paraId="2C24C081">
                  <w:pPr>
                    <w:pStyle w:val="74"/>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最大落地浓度mg/m</w:t>
                  </w:r>
                  <w:r>
                    <w:rPr>
                      <w:rFonts w:hint="default" w:ascii="Times New Roman" w:hAnsi="Times New Roman" w:cs="Times New Roman"/>
                      <w:b/>
                      <w:bCs/>
                      <w:color w:val="auto"/>
                      <w:highlight w:val="none"/>
                      <w:vertAlign w:val="superscript"/>
                      <w:lang w:val="en-US" w:eastAsia="zh-CN"/>
                    </w:rPr>
                    <w:t>3</w:t>
                  </w:r>
                </w:p>
              </w:tc>
              <w:tc>
                <w:tcPr>
                  <w:tcW w:w="1869" w:type="dxa"/>
                  <w:vAlign w:val="center"/>
                </w:tcPr>
                <w:p w14:paraId="6960FEDA">
                  <w:pPr>
                    <w:pStyle w:val="74"/>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占标率%</w:t>
                  </w:r>
                </w:p>
              </w:tc>
            </w:tr>
            <w:tr w14:paraId="34D9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22A733C6">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w:t>
                  </w:r>
                </w:p>
              </w:tc>
              <w:tc>
                <w:tcPr>
                  <w:tcW w:w="1908" w:type="dxa"/>
                  <w:vAlign w:val="center"/>
                </w:tcPr>
                <w:p w14:paraId="2470BB56">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10</w:t>
                  </w:r>
                </w:p>
              </w:tc>
              <w:tc>
                <w:tcPr>
                  <w:tcW w:w="3128" w:type="dxa"/>
                  <w:vAlign w:val="bottom"/>
                </w:tcPr>
                <w:p w14:paraId="315282BC">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0.</w:t>
                  </w:r>
                  <w:r>
                    <w:rPr>
                      <w:rFonts w:hint="eastAsia" w:cs="Times New Roman"/>
                      <w:b w:val="0"/>
                      <w:bCs w:val="0"/>
                      <w:color w:val="auto"/>
                      <w:highlight w:val="none"/>
                      <w:lang w:val="en-US" w:eastAsia="zh-CN"/>
                    </w:rPr>
                    <w:t>36033</w:t>
                  </w:r>
                </w:p>
              </w:tc>
              <w:tc>
                <w:tcPr>
                  <w:tcW w:w="1869" w:type="dxa"/>
                  <w:vAlign w:val="bottom"/>
                </w:tcPr>
                <w:p w14:paraId="50E97F98">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40.04</w:t>
                  </w:r>
                </w:p>
              </w:tc>
            </w:tr>
            <w:tr w14:paraId="1007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7394B48A">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w:t>
                  </w:r>
                </w:p>
              </w:tc>
              <w:tc>
                <w:tcPr>
                  <w:tcW w:w="1908" w:type="dxa"/>
                  <w:vAlign w:val="center"/>
                </w:tcPr>
                <w:p w14:paraId="5D4337C3">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25</w:t>
                  </w:r>
                </w:p>
              </w:tc>
              <w:tc>
                <w:tcPr>
                  <w:tcW w:w="3128" w:type="dxa"/>
                  <w:vAlign w:val="bottom"/>
                </w:tcPr>
                <w:p w14:paraId="47ED7E48">
                  <w:pPr>
                    <w:pStyle w:val="74"/>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0.37199</w:t>
                  </w:r>
                </w:p>
              </w:tc>
              <w:tc>
                <w:tcPr>
                  <w:tcW w:w="1869" w:type="dxa"/>
                  <w:vAlign w:val="bottom"/>
                </w:tcPr>
                <w:p w14:paraId="47DFAE4C">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41.33</w:t>
                  </w:r>
                </w:p>
              </w:tc>
            </w:tr>
            <w:tr w14:paraId="3366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63EF64EF">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w:t>
                  </w:r>
                </w:p>
              </w:tc>
              <w:tc>
                <w:tcPr>
                  <w:tcW w:w="1908" w:type="dxa"/>
                  <w:vAlign w:val="center"/>
                </w:tcPr>
                <w:p w14:paraId="06C19EC3">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50</w:t>
                  </w:r>
                </w:p>
              </w:tc>
              <w:tc>
                <w:tcPr>
                  <w:tcW w:w="3128" w:type="dxa"/>
                  <w:vAlign w:val="bottom"/>
                </w:tcPr>
                <w:p w14:paraId="5E3F0DE2">
                  <w:pPr>
                    <w:pStyle w:val="74"/>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0.39065</w:t>
                  </w:r>
                </w:p>
              </w:tc>
              <w:tc>
                <w:tcPr>
                  <w:tcW w:w="1869" w:type="dxa"/>
                  <w:vAlign w:val="bottom"/>
                </w:tcPr>
                <w:p w14:paraId="797878B3">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43.41</w:t>
                  </w:r>
                </w:p>
              </w:tc>
            </w:tr>
            <w:tr w14:paraId="5EFB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3B810F1E">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4</w:t>
                  </w:r>
                </w:p>
              </w:tc>
              <w:tc>
                <w:tcPr>
                  <w:tcW w:w="1908" w:type="dxa"/>
                  <w:vAlign w:val="center"/>
                </w:tcPr>
                <w:p w14:paraId="38AD3F73">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75</w:t>
                  </w:r>
                </w:p>
              </w:tc>
              <w:tc>
                <w:tcPr>
                  <w:tcW w:w="3128" w:type="dxa"/>
                  <w:vAlign w:val="bottom"/>
                </w:tcPr>
                <w:p w14:paraId="6FE2E019">
                  <w:pPr>
                    <w:pStyle w:val="74"/>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0.40865</w:t>
                  </w:r>
                </w:p>
              </w:tc>
              <w:tc>
                <w:tcPr>
                  <w:tcW w:w="1869" w:type="dxa"/>
                  <w:vAlign w:val="bottom"/>
                </w:tcPr>
                <w:p w14:paraId="524935F1">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45.41</w:t>
                  </w:r>
                </w:p>
              </w:tc>
            </w:tr>
            <w:tr w14:paraId="66E8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6C3BE9B0">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5</w:t>
                  </w:r>
                </w:p>
              </w:tc>
              <w:tc>
                <w:tcPr>
                  <w:tcW w:w="1908" w:type="dxa"/>
                  <w:vAlign w:val="center"/>
                </w:tcPr>
                <w:p w14:paraId="4F8FABE7">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100</w:t>
                  </w:r>
                </w:p>
              </w:tc>
              <w:tc>
                <w:tcPr>
                  <w:tcW w:w="3128" w:type="dxa"/>
                  <w:vAlign w:val="bottom"/>
                </w:tcPr>
                <w:p w14:paraId="267BA0F4">
                  <w:pPr>
                    <w:pStyle w:val="74"/>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0.426</w:t>
                  </w:r>
                </w:p>
              </w:tc>
              <w:tc>
                <w:tcPr>
                  <w:tcW w:w="1869" w:type="dxa"/>
                  <w:vAlign w:val="bottom"/>
                </w:tcPr>
                <w:p w14:paraId="12C3DC30">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47.33</w:t>
                  </w:r>
                </w:p>
              </w:tc>
            </w:tr>
            <w:tr w14:paraId="18A9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365EC7AB">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6</w:t>
                  </w:r>
                </w:p>
              </w:tc>
              <w:tc>
                <w:tcPr>
                  <w:tcW w:w="1908" w:type="dxa"/>
                  <w:vAlign w:val="center"/>
                </w:tcPr>
                <w:p w14:paraId="652446B2">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125</w:t>
                  </w:r>
                </w:p>
              </w:tc>
              <w:tc>
                <w:tcPr>
                  <w:tcW w:w="3128" w:type="dxa"/>
                  <w:vAlign w:val="bottom"/>
                </w:tcPr>
                <w:p w14:paraId="42D094A4">
                  <w:pPr>
                    <w:pStyle w:val="74"/>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0.44246</w:t>
                  </w:r>
                </w:p>
              </w:tc>
              <w:tc>
                <w:tcPr>
                  <w:tcW w:w="1869" w:type="dxa"/>
                  <w:vAlign w:val="bottom"/>
                </w:tcPr>
                <w:p w14:paraId="3C98A63C">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49.18</w:t>
                  </w:r>
                </w:p>
              </w:tc>
            </w:tr>
            <w:tr w14:paraId="520A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24548D7A">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7</w:t>
                  </w:r>
                </w:p>
              </w:tc>
              <w:tc>
                <w:tcPr>
                  <w:tcW w:w="1908" w:type="dxa"/>
                  <w:vAlign w:val="center"/>
                </w:tcPr>
                <w:p w14:paraId="61B128D8">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150</w:t>
                  </w:r>
                </w:p>
              </w:tc>
              <w:tc>
                <w:tcPr>
                  <w:tcW w:w="3128" w:type="dxa"/>
                  <w:vAlign w:val="bottom"/>
                </w:tcPr>
                <w:p w14:paraId="49D81613">
                  <w:pPr>
                    <w:pStyle w:val="74"/>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0.45882</w:t>
                  </w:r>
                </w:p>
              </w:tc>
              <w:tc>
                <w:tcPr>
                  <w:tcW w:w="1869" w:type="dxa"/>
                  <w:vAlign w:val="bottom"/>
                </w:tcPr>
                <w:p w14:paraId="712FACC9">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50.98</w:t>
                  </w:r>
                </w:p>
              </w:tc>
            </w:tr>
            <w:tr w14:paraId="7C62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41161D99">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8</w:t>
                  </w:r>
                </w:p>
              </w:tc>
              <w:tc>
                <w:tcPr>
                  <w:tcW w:w="1908" w:type="dxa"/>
                  <w:vAlign w:val="center"/>
                </w:tcPr>
                <w:p w14:paraId="0EFF0623">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175</w:t>
                  </w:r>
                </w:p>
              </w:tc>
              <w:tc>
                <w:tcPr>
                  <w:tcW w:w="3128" w:type="dxa"/>
                  <w:vAlign w:val="bottom"/>
                </w:tcPr>
                <w:p w14:paraId="27836911">
                  <w:pPr>
                    <w:pStyle w:val="74"/>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0.47447</w:t>
                  </w:r>
                </w:p>
              </w:tc>
              <w:tc>
                <w:tcPr>
                  <w:tcW w:w="1869" w:type="dxa"/>
                  <w:vAlign w:val="bottom"/>
                </w:tcPr>
                <w:p w14:paraId="4CF3B753">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52.72</w:t>
                  </w:r>
                </w:p>
              </w:tc>
            </w:tr>
            <w:tr w14:paraId="4DE8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0CB9D750">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9</w:t>
                  </w:r>
                </w:p>
              </w:tc>
              <w:tc>
                <w:tcPr>
                  <w:tcW w:w="1908" w:type="dxa"/>
                  <w:vAlign w:val="center"/>
                </w:tcPr>
                <w:p w14:paraId="19F14A50">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200</w:t>
                  </w:r>
                </w:p>
              </w:tc>
              <w:tc>
                <w:tcPr>
                  <w:tcW w:w="3128" w:type="dxa"/>
                  <w:vAlign w:val="bottom"/>
                </w:tcPr>
                <w:p w14:paraId="59372C64">
                  <w:pPr>
                    <w:pStyle w:val="74"/>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0.48949</w:t>
                  </w:r>
                </w:p>
              </w:tc>
              <w:tc>
                <w:tcPr>
                  <w:tcW w:w="1869" w:type="dxa"/>
                  <w:vAlign w:val="bottom"/>
                </w:tcPr>
                <w:p w14:paraId="5255BA98">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54.39</w:t>
                  </w:r>
                </w:p>
              </w:tc>
            </w:tr>
            <w:tr w14:paraId="7B38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670774FC">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10</w:t>
                  </w:r>
                </w:p>
              </w:tc>
              <w:tc>
                <w:tcPr>
                  <w:tcW w:w="1908" w:type="dxa"/>
                  <w:vAlign w:val="center"/>
                </w:tcPr>
                <w:p w14:paraId="4E82416A">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225</w:t>
                  </w:r>
                </w:p>
              </w:tc>
              <w:tc>
                <w:tcPr>
                  <w:tcW w:w="3128" w:type="dxa"/>
                  <w:vAlign w:val="bottom"/>
                </w:tcPr>
                <w:p w14:paraId="310C63EA">
                  <w:pPr>
                    <w:pStyle w:val="74"/>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0.50421</w:t>
                  </w:r>
                </w:p>
              </w:tc>
              <w:tc>
                <w:tcPr>
                  <w:tcW w:w="1869" w:type="dxa"/>
                  <w:vAlign w:val="bottom"/>
                </w:tcPr>
                <w:p w14:paraId="3BA53E91">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56.02</w:t>
                  </w:r>
                </w:p>
              </w:tc>
            </w:tr>
            <w:tr w14:paraId="797F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179D5244">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11</w:t>
                  </w:r>
                </w:p>
              </w:tc>
              <w:tc>
                <w:tcPr>
                  <w:tcW w:w="1908" w:type="dxa"/>
                  <w:vAlign w:val="center"/>
                </w:tcPr>
                <w:p w14:paraId="4EFF708F">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250</w:t>
                  </w:r>
                </w:p>
              </w:tc>
              <w:tc>
                <w:tcPr>
                  <w:tcW w:w="3128" w:type="dxa"/>
                  <w:vAlign w:val="bottom"/>
                </w:tcPr>
                <w:p w14:paraId="4095F383">
                  <w:pPr>
                    <w:pStyle w:val="74"/>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0.51847</w:t>
                  </w:r>
                </w:p>
              </w:tc>
              <w:tc>
                <w:tcPr>
                  <w:tcW w:w="1869" w:type="dxa"/>
                  <w:vAlign w:val="bottom"/>
                </w:tcPr>
                <w:p w14:paraId="1009BB37">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57.61</w:t>
                  </w:r>
                </w:p>
              </w:tc>
            </w:tr>
            <w:tr w14:paraId="323F9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02B7D24A">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12</w:t>
                  </w:r>
                </w:p>
              </w:tc>
              <w:tc>
                <w:tcPr>
                  <w:tcW w:w="1908" w:type="dxa"/>
                  <w:vAlign w:val="center"/>
                </w:tcPr>
                <w:p w14:paraId="0456E55A">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275</w:t>
                  </w:r>
                </w:p>
              </w:tc>
              <w:tc>
                <w:tcPr>
                  <w:tcW w:w="3128" w:type="dxa"/>
                  <w:vAlign w:val="bottom"/>
                </w:tcPr>
                <w:p w14:paraId="37B5879D">
                  <w:pPr>
                    <w:pStyle w:val="74"/>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0.53223</w:t>
                  </w:r>
                </w:p>
              </w:tc>
              <w:tc>
                <w:tcPr>
                  <w:tcW w:w="1869" w:type="dxa"/>
                  <w:vAlign w:val="bottom"/>
                </w:tcPr>
                <w:p w14:paraId="0F4B2DEC">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59.14</w:t>
                  </w:r>
                </w:p>
              </w:tc>
            </w:tr>
            <w:tr w14:paraId="687DD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61D47E60">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13</w:t>
                  </w:r>
                </w:p>
              </w:tc>
              <w:tc>
                <w:tcPr>
                  <w:tcW w:w="1908" w:type="dxa"/>
                  <w:vAlign w:val="center"/>
                </w:tcPr>
                <w:p w14:paraId="4430F8D5">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300</w:t>
                  </w:r>
                </w:p>
              </w:tc>
              <w:tc>
                <w:tcPr>
                  <w:tcW w:w="3128" w:type="dxa"/>
                  <w:vAlign w:val="bottom"/>
                </w:tcPr>
                <w:p w14:paraId="50E1400B">
                  <w:pPr>
                    <w:pStyle w:val="74"/>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0.54743</w:t>
                  </w:r>
                </w:p>
              </w:tc>
              <w:tc>
                <w:tcPr>
                  <w:tcW w:w="1869" w:type="dxa"/>
                  <w:vAlign w:val="bottom"/>
                </w:tcPr>
                <w:p w14:paraId="478C4EFB">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60.83</w:t>
                  </w:r>
                </w:p>
              </w:tc>
            </w:tr>
            <w:tr w14:paraId="2AC7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4944F508">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14</w:t>
                  </w:r>
                </w:p>
              </w:tc>
              <w:tc>
                <w:tcPr>
                  <w:tcW w:w="1908" w:type="dxa"/>
                  <w:vAlign w:val="center"/>
                </w:tcPr>
                <w:p w14:paraId="5CE1F415">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325</w:t>
                  </w:r>
                </w:p>
              </w:tc>
              <w:tc>
                <w:tcPr>
                  <w:tcW w:w="3128" w:type="dxa"/>
                  <w:vAlign w:val="bottom"/>
                </w:tcPr>
                <w:p w14:paraId="186B5764">
                  <w:pPr>
                    <w:pStyle w:val="74"/>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0.56072</w:t>
                  </w:r>
                </w:p>
              </w:tc>
              <w:tc>
                <w:tcPr>
                  <w:tcW w:w="1869" w:type="dxa"/>
                  <w:vAlign w:val="bottom"/>
                </w:tcPr>
                <w:p w14:paraId="5EE924BD">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62.30</w:t>
                  </w:r>
                </w:p>
              </w:tc>
            </w:tr>
            <w:tr w14:paraId="4C28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shd w:val="clear" w:color="auto" w:fill="auto"/>
                  <w:vAlign w:val="center"/>
                </w:tcPr>
                <w:p w14:paraId="38735DD6">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default" w:ascii="Times New Roman" w:hAnsi="Times New Roman" w:cs="Times New Roman"/>
                      <w:b w:val="0"/>
                      <w:bCs w:val="0"/>
                      <w:color w:val="auto"/>
                      <w:highlight w:val="none"/>
                      <w:lang w:val="en-US" w:eastAsia="zh-CN"/>
                    </w:rPr>
                    <w:t>15</w:t>
                  </w:r>
                </w:p>
              </w:tc>
              <w:tc>
                <w:tcPr>
                  <w:tcW w:w="1908" w:type="dxa"/>
                  <w:shd w:val="clear" w:color="auto" w:fill="FFFF00"/>
                  <w:vAlign w:val="center"/>
                </w:tcPr>
                <w:p w14:paraId="4A85C479">
                  <w:pPr>
                    <w:pStyle w:val="74"/>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336</w:t>
                  </w:r>
                </w:p>
              </w:tc>
              <w:tc>
                <w:tcPr>
                  <w:tcW w:w="3128" w:type="dxa"/>
                  <w:shd w:val="clear" w:color="auto" w:fill="FFFF00"/>
                  <w:vAlign w:val="bottom"/>
                </w:tcPr>
                <w:p w14:paraId="48AF4F53">
                  <w:pPr>
                    <w:pStyle w:val="74"/>
                    <w:rPr>
                      <w:rFonts w:hint="eastAsia"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0.56322</w:t>
                  </w:r>
                </w:p>
              </w:tc>
              <w:tc>
                <w:tcPr>
                  <w:tcW w:w="1869" w:type="dxa"/>
                  <w:shd w:val="clear" w:color="auto" w:fill="FFFF00"/>
                  <w:vAlign w:val="bottom"/>
                </w:tcPr>
                <w:p w14:paraId="1E859CAC">
                  <w:pPr>
                    <w:pStyle w:val="74"/>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62.58</w:t>
                  </w:r>
                </w:p>
              </w:tc>
            </w:tr>
            <w:tr w14:paraId="706C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shd w:val="clear" w:color="auto" w:fill="auto"/>
                  <w:vAlign w:val="center"/>
                </w:tcPr>
                <w:p w14:paraId="2B167F73">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default" w:ascii="Times New Roman" w:hAnsi="Times New Roman" w:cs="Times New Roman"/>
                      <w:b w:val="0"/>
                      <w:bCs w:val="0"/>
                      <w:color w:val="auto"/>
                      <w:highlight w:val="none"/>
                      <w:lang w:val="en-US" w:eastAsia="zh-CN"/>
                    </w:rPr>
                    <w:t>16</w:t>
                  </w:r>
                </w:p>
              </w:tc>
              <w:tc>
                <w:tcPr>
                  <w:tcW w:w="1908" w:type="dxa"/>
                  <w:vAlign w:val="center"/>
                </w:tcPr>
                <w:p w14:paraId="297A33E8">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350</w:t>
                  </w:r>
                </w:p>
              </w:tc>
              <w:tc>
                <w:tcPr>
                  <w:tcW w:w="3128" w:type="dxa"/>
                  <w:shd w:val="clear" w:color="auto" w:fill="auto"/>
                  <w:vAlign w:val="bottom"/>
                </w:tcPr>
                <w:p w14:paraId="411B97A3">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eastAsia" w:ascii="Times New Roman" w:hAnsi="Times New Roman" w:cs="Times New Roman"/>
                      <w:b w:val="0"/>
                      <w:bCs w:val="0"/>
                      <w:color w:val="auto"/>
                      <w:highlight w:val="none"/>
                      <w:lang w:val="en-US" w:eastAsia="zh-CN"/>
                    </w:rPr>
                    <w:t>0.56191</w:t>
                  </w:r>
                </w:p>
              </w:tc>
              <w:tc>
                <w:tcPr>
                  <w:tcW w:w="1869" w:type="dxa"/>
                  <w:vAlign w:val="bottom"/>
                </w:tcPr>
                <w:p w14:paraId="071DBD8D">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62.43</w:t>
                  </w:r>
                </w:p>
              </w:tc>
            </w:tr>
            <w:tr w14:paraId="06B6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shd w:val="clear" w:color="auto" w:fill="auto"/>
                  <w:vAlign w:val="center"/>
                </w:tcPr>
                <w:p w14:paraId="1D96C90F">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default" w:ascii="Times New Roman" w:hAnsi="Times New Roman" w:cs="Times New Roman"/>
                      <w:b w:val="0"/>
                      <w:bCs w:val="0"/>
                      <w:color w:val="auto"/>
                      <w:highlight w:val="none"/>
                      <w:lang w:val="en-US" w:eastAsia="zh-CN"/>
                    </w:rPr>
                    <w:t>17</w:t>
                  </w:r>
                </w:p>
              </w:tc>
              <w:tc>
                <w:tcPr>
                  <w:tcW w:w="1908" w:type="dxa"/>
                  <w:vAlign w:val="center"/>
                </w:tcPr>
                <w:p w14:paraId="605F5D6F">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375</w:t>
                  </w:r>
                </w:p>
              </w:tc>
              <w:tc>
                <w:tcPr>
                  <w:tcW w:w="3128" w:type="dxa"/>
                  <w:shd w:val="clear" w:color="auto" w:fill="auto"/>
                  <w:vAlign w:val="bottom"/>
                </w:tcPr>
                <w:p w14:paraId="33DDD9DD">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eastAsia" w:ascii="Times New Roman" w:hAnsi="Times New Roman" w:cs="Times New Roman"/>
                      <w:b w:val="0"/>
                      <w:bCs w:val="0"/>
                      <w:color w:val="auto"/>
                      <w:highlight w:val="none"/>
                      <w:lang w:val="en-US" w:eastAsia="zh-CN"/>
                    </w:rPr>
                    <w:t>0.54994</w:t>
                  </w:r>
                </w:p>
              </w:tc>
              <w:tc>
                <w:tcPr>
                  <w:tcW w:w="1869" w:type="dxa"/>
                  <w:vAlign w:val="bottom"/>
                </w:tcPr>
                <w:p w14:paraId="6F310108">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61.10</w:t>
                  </w:r>
                </w:p>
              </w:tc>
            </w:tr>
            <w:tr w14:paraId="20BDA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shd w:val="clear" w:color="auto" w:fill="auto"/>
                  <w:vAlign w:val="center"/>
                </w:tcPr>
                <w:p w14:paraId="6CA881B7">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default" w:ascii="Times New Roman" w:hAnsi="Times New Roman" w:cs="Times New Roman"/>
                      <w:b w:val="0"/>
                      <w:bCs w:val="0"/>
                      <w:color w:val="auto"/>
                      <w:highlight w:val="none"/>
                      <w:lang w:val="en-US" w:eastAsia="zh-CN"/>
                    </w:rPr>
                    <w:t>18</w:t>
                  </w:r>
                </w:p>
              </w:tc>
              <w:tc>
                <w:tcPr>
                  <w:tcW w:w="1908" w:type="dxa"/>
                  <w:vAlign w:val="center"/>
                </w:tcPr>
                <w:p w14:paraId="77A298C4">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400</w:t>
                  </w:r>
                </w:p>
              </w:tc>
              <w:tc>
                <w:tcPr>
                  <w:tcW w:w="3128" w:type="dxa"/>
                  <w:shd w:val="clear" w:color="auto" w:fill="auto"/>
                  <w:vAlign w:val="bottom"/>
                </w:tcPr>
                <w:p w14:paraId="5D0474B9">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eastAsia" w:ascii="Times New Roman" w:hAnsi="Times New Roman" w:cs="Times New Roman"/>
                      <w:b w:val="0"/>
                      <w:bCs w:val="0"/>
                      <w:color w:val="auto"/>
                      <w:highlight w:val="none"/>
                      <w:lang w:val="en-US" w:eastAsia="zh-CN"/>
                    </w:rPr>
                    <w:t>0.5271</w:t>
                  </w:r>
                </w:p>
              </w:tc>
              <w:tc>
                <w:tcPr>
                  <w:tcW w:w="1869" w:type="dxa"/>
                  <w:vAlign w:val="bottom"/>
                </w:tcPr>
                <w:p w14:paraId="34FA8163">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58.57</w:t>
                  </w:r>
                </w:p>
              </w:tc>
            </w:tr>
            <w:tr w14:paraId="2F677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shd w:val="clear" w:color="auto" w:fill="auto"/>
                  <w:vAlign w:val="center"/>
                </w:tcPr>
                <w:p w14:paraId="36053D8D">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default" w:ascii="Times New Roman" w:hAnsi="Times New Roman" w:cs="Times New Roman"/>
                      <w:b w:val="0"/>
                      <w:bCs w:val="0"/>
                      <w:color w:val="auto"/>
                      <w:highlight w:val="none"/>
                      <w:lang w:val="en-US" w:eastAsia="zh-CN"/>
                    </w:rPr>
                    <w:t>19</w:t>
                  </w:r>
                </w:p>
              </w:tc>
              <w:tc>
                <w:tcPr>
                  <w:tcW w:w="1908" w:type="dxa"/>
                  <w:vAlign w:val="center"/>
                </w:tcPr>
                <w:p w14:paraId="52313A1A">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425</w:t>
                  </w:r>
                </w:p>
              </w:tc>
              <w:tc>
                <w:tcPr>
                  <w:tcW w:w="3128" w:type="dxa"/>
                  <w:shd w:val="clear" w:color="auto" w:fill="auto"/>
                  <w:vAlign w:val="bottom"/>
                </w:tcPr>
                <w:p w14:paraId="51EA3812">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eastAsia" w:ascii="Times New Roman" w:hAnsi="Times New Roman" w:cs="Times New Roman"/>
                      <w:b w:val="0"/>
                      <w:bCs w:val="0"/>
                      <w:color w:val="auto"/>
                      <w:highlight w:val="none"/>
                      <w:lang w:val="en-US" w:eastAsia="zh-CN"/>
                    </w:rPr>
                    <w:t>0.503</w:t>
                  </w:r>
                </w:p>
              </w:tc>
              <w:tc>
                <w:tcPr>
                  <w:tcW w:w="1869" w:type="dxa"/>
                  <w:vAlign w:val="bottom"/>
                </w:tcPr>
                <w:p w14:paraId="145B403C">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55.89</w:t>
                  </w:r>
                </w:p>
              </w:tc>
            </w:tr>
            <w:tr w14:paraId="7FF0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shd w:val="clear" w:color="auto" w:fill="auto"/>
                  <w:vAlign w:val="center"/>
                </w:tcPr>
                <w:p w14:paraId="5FE8EC88">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default" w:ascii="Times New Roman" w:hAnsi="Times New Roman" w:cs="Times New Roman"/>
                      <w:b w:val="0"/>
                      <w:bCs w:val="0"/>
                      <w:color w:val="auto"/>
                      <w:highlight w:val="none"/>
                      <w:lang w:val="en-US" w:eastAsia="zh-CN"/>
                    </w:rPr>
                    <w:t>20</w:t>
                  </w:r>
                </w:p>
              </w:tc>
              <w:tc>
                <w:tcPr>
                  <w:tcW w:w="1908" w:type="dxa"/>
                  <w:vAlign w:val="center"/>
                </w:tcPr>
                <w:p w14:paraId="3BF59419">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450</w:t>
                  </w:r>
                </w:p>
              </w:tc>
              <w:tc>
                <w:tcPr>
                  <w:tcW w:w="3128" w:type="dxa"/>
                  <w:shd w:val="clear" w:color="auto" w:fill="auto"/>
                  <w:vAlign w:val="bottom"/>
                </w:tcPr>
                <w:p w14:paraId="7E750826">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eastAsia" w:ascii="Times New Roman" w:hAnsi="Times New Roman" w:cs="Times New Roman"/>
                      <w:b w:val="0"/>
                      <w:bCs w:val="0"/>
                      <w:color w:val="auto"/>
                      <w:highlight w:val="none"/>
                      <w:lang w:val="en-US" w:eastAsia="zh-CN"/>
                    </w:rPr>
                    <w:t>0.48016</w:t>
                  </w:r>
                </w:p>
              </w:tc>
              <w:tc>
                <w:tcPr>
                  <w:tcW w:w="1869" w:type="dxa"/>
                  <w:vAlign w:val="bottom"/>
                </w:tcPr>
                <w:p w14:paraId="3D08AF57">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53.35</w:t>
                  </w:r>
                </w:p>
              </w:tc>
            </w:tr>
            <w:tr w14:paraId="07739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shd w:val="clear" w:color="auto" w:fill="auto"/>
                  <w:vAlign w:val="center"/>
                </w:tcPr>
                <w:p w14:paraId="5B190649">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default" w:ascii="Times New Roman" w:hAnsi="Times New Roman" w:cs="Times New Roman"/>
                      <w:b w:val="0"/>
                      <w:bCs w:val="0"/>
                      <w:color w:val="auto"/>
                      <w:highlight w:val="none"/>
                      <w:lang w:val="en-US" w:eastAsia="zh-CN"/>
                    </w:rPr>
                    <w:t>21</w:t>
                  </w:r>
                </w:p>
              </w:tc>
              <w:tc>
                <w:tcPr>
                  <w:tcW w:w="1908" w:type="dxa"/>
                  <w:vAlign w:val="center"/>
                </w:tcPr>
                <w:p w14:paraId="497E4BC0">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475</w:t>
                  </w:r>
                </w:p>
              </w:tc>
              <w:tc>
                <w:tcPr>
                  <w:tcW w:w="3128" w:type="dxa"/>
                  <w:shd w:val="clear" w:color="auto" w:fill="auto"/>
                  <w:vAlign w:val="bottom"/>
                </w:tcPr>
                <w:p w14:paraId="6D8BC6EE">
                  <w:pPr>
                    <w:pStyle w:val="74"/>
                    <w:ind w:firstLine="0" w:firstLineChars="0"/>
                    <w:rPr>
                      <w:rFonts w:hint="default" w:ascii="Times New Roman" w:hAnsi="Times New Roman" w:eastAsia="宋体" w:cs="Times New Roman"/>
                      <w:b w:val="0"/>
                      <w:bCs w:val="0"/>
                      <w:color w:val="auto"/>
                      <w:kern w:val="0"/>
                      <w:sz w:val="21"/>
                      <w:szCs w:val="24"/>
                      <w:highlight w:val="none"/>
                      <w:lang w:val="en-US" w:eastAsia="zh-CN" w:bidi="ar-SA"/>
                    </w:rPr>
                  </w:pPr>
                  <w:r>
                    <w:rPr>
                      <w:rFonts w:hint="eastAsia" w:ascii="Times New Roman" w:hAnsi="Times New Roman" w:cs="Times New Roman"/>
                      <w:b w:val="0"/>
                      <w:bCs w:val="0"/>
                      <w:color w:val="auto"/>
                      <w:highlight w:val="none"/>
                      <w:lang w:val="en-US" w:eastAsia="zh-CN"/>
                    </w:rPr>
                    <w:t>0.45455</w:t>
                  </w:r>
                </w:p>
              </w:tc>
              <w:tc>
                <w:tcPr>
                  <w:tcW w:w="1869" w:type="dxa"/>
                  <w:vAlign w:val="bottom"/>
                </w:tcPr>
                <w:p w14:paraId="19199DD6">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50.51</w:t>
                  </w:r>
                </w:p>
              </w:tc>
            </w:tr>
            <w:tr w14:paraId="24E0A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974" w:type="dxa"/>
                  <w:vAlign w:val="center"/>
                </w:tcPr>
                <w:p w14:paraId="015408CC">
                  <w:pPr>
                    <w:pStyle w:val="74"/>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22</w:t>
                  </w:r>
                </w:p>
              </w:tc>
              <w:tc>
                <w:tcPr>
                  <w:tcW w:w="1908" w:type="dxa"/>
                  <w:vAlign w:val="center"/>
                </w:tcPr>
                <w:p w14:paraId="2F80054C">
                  <w:pPr>
                    <w:pStyle w:val="7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500</w:t>
                  </w:r>
                </w:p>
              </w:tc>
              <w:tc>
                <w:tcPr>
                  <w:tcW w:w="3128" w:type="dxa"/>
                  <w:vAlign w:val="bottom"/>
                </w:tcPr>
                <w:p w14:paraId="19F38028">
                  <w:pPr>
                    <w:pStyle w:val="74"/>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0.4379</w:t>
                  </w:r>
                </w:p>
              </w:tc>
              <w:tc>
                <w:tcPr>
                  <w:tcW w:w="1869" w:type="dxa"/>
                  <w:vAlign w:val="bottom"/>
                </w:tcPr>
                <w:p w14:paraId="6395A711">
                  <w:pPr>
                    <w:pStyle w:val="74"/>
                    <w:ind w:firstLine="0" w:firstLineChars="0"/>
                    <w:rPr>
                      <w:rFonts w:hint="default" w:ascii="Times New Roman" w:hAnsi="Times New Roman" w:cs="Times New Roman"/>
                      <w:b w:val="0"/>
                      <w:bCs w:val="0"/>
                      <w:color w:val="auto"/>
                      <w:highlight w:val="none"/>
                      <w:lang w:val="en-US" w:eastAsia="zh-CN"/>
                    </w:rPr>
                  </w:pPr>
                  <w:r>
                    <w:rPr>
                      <w:rFonts w:hint="eastAsia" w:ascii="Times New Roman" w:hAnsi="Times New Roman" w:cs="Times New Roman"/>
                      <w:b w:val="0"/>
                      <w:bCs w:val="0"/>
                      <w:color w:val="auto"/>
                      <w:highlight w:val="none"/>
                      <w:lang w:val="en-US" w:eastAsia="zh-CN"/>
                    </w:rPr>
                    <w:t>48.66</w:t>
                  </w:r>
                </w:p>
              </w:tc>
            </w:tr>
          </w:tbl>
          <w:p w14:paraId="206AB719">
            <w:pPr>
              <w:adjustRightInd w:val="0"/>
              <w:ind w:firstLine="480"/>
              <w:rPr>
                <w:rFonts w:hint="default" w:ascii="Times New Roman" w:hAnsi="Times New Roman" w:cs="Times New Roman"/>
                <w:color w:val="auto"/>
                <w:kern w:val="0"/>
                <w:szCs w:val="24"/>
                <w:highlight w:val="none"/>
                <w:lang w:val="en-US" w:eastAsia="zh-CN"/>
              </w:rPr>
            </w:pPr>
            <w:r>
              <w:rPr>
                <w:rFonts w:hint="default" w:ascii="Times New Roman" w:hAnsi="Times New Roman" w:cs="Times New Roman"/>
                <w:color w:val="auto"/>
                <w:kern w:val="0"/>
                <w:szCs w:val="24"/>
                <w:highlight w:val="none"/>
                <w:lang w:val="en-US" w:eastAsia="zh-CN"/>
              </w:rPr>
              <w:t>根据估算结果，项目无组织排放的污染物最大落地浓度离源距离为源下风向</w:t>
            </w:r>
            <w:r>
              <w:rPr>
                <w:rFonts w:hint="eastAsia" w:cs="Times New Roman"/>
                <w:color w:val="auto"/>
                <w:kern w:val="0"/>
                <w:szCs w:val="24"/>
                <w:highlight w:val="none"/>
                <w:lang w:val="en-US" w:eastAsia="zh-CN"/>
              </w:rPr>
              <w:t>336</w:t>
            </w:r>
            <w:r>
              <w:rPr>
                <w:rFonts w:hint="default" w:ascii="Times New Roman" w:hAnsi="Times New Roman" w:cs="Times New Roman"/>
                <w:color w:val="auto"/>
                <w:kern w:val="0"/>
                <w:szCs w:val="24"/>
                <w:highlight w:val="none"/>
                <w:lang w:val="en-US" w:eastAsia="zh-CN"/>
              </w:rPr>
              <w:t>m，TSP最大落地浓度为</w:t>
            </w:r>
            <w:r>
              <w:rPr>
                <w:rFonts w:hint="eastAsia" w:cs="Times New Roman"/>
                <w:color w:val="auto"/>
                <w:kern w:val="0"/>
                <w:szCs w:val="24"/>
                <w:highlight w:val="none"/>
                <w:lang w:val="en-US" w:eastAsia="zh-CN"/>
              </w:rPr>
              <w:t>0.56322</w:t>
            </w:r>
            <w:r>
              <w:rPr>
                <w:rFonts w:hint="default" w:ascii="Times New Roman" w:hAnsi="Times New Roman" w:cs="Times New Roman"/>
                <w:color w:val="auto"/>
                <w:kern w:val="0"/>
                <w:szCs w:val="24"/>
                <w:highlight w:val="none"/>
                <w:lang w:val="en-US" w:eastAsia="zh-CN"/>
              </w:rPr>
              <w:t>mg/</w:t>
            </w:r>
            <w:r>
              <w:rPr>
                <w:rFonts w:hint="eastAsia" w:cs="Times New Roman"/>
                <w:color w:val="auto"/>
                <w:kern w:val="0"/>
                <w:szCs w:val="24"/>
                <w:highlight w:val="none"/>
                <w:lang w:val="en-US" w:eastAsia="zh-CN"/>
              </w:rPr>
              <w:t>m</w:t>
            </w:r>
            <w:r>
              <w:rPr>
                <w:rFonts w:hint="eastAsia" w:cs="Times New Roman"/>
                <w:color w:val="auto"/>
                <w:kern w:val="0"/>
                <w:szCs w:val="24"/>
                <w:highlight w:val="none"/>
                <w:vertAlign w:val="superscript"/>
                <w:lang w:val="en-US" w:eastAsia="zh-CN"/>
              </w:rPr>
              <w:t>3</w:t>
            </w:r>
            <w:r>
              <w:rPr>
                <w:rFonts w:hint="default" w:ascii="Times New Roman" w:hAnsi="Times New Roman" w:cs="Times New Roman"/>
                <w:color w:val="auto"/>
                <w:kern w:val="0"/>
                <w:szCs w:val="24"/>
                <w:highlight w:val="none"/>
                <w:lang w:val="en-US" w:eastAsia="zh-CN"/>
              </w:rPr>
              <w:t>，无组织排放的废气排放量较小，经洒水降尘、自然稀释扩散后，无组织排放的颗粒物能满足《大气污染物综合排放标准》（GB16297-1996）表2中无组织排放监控浓度限值，即颗粒物浓度限值1.0mg/m</w:t>
            </w:r>
            <w:r>
              <w:rPr>
                <w:rFonts w:hint="default" w:ascii="Times New Roman" w:hAnsi="Times New Roman" w:cs="Times New Roman"/>
                <w:color w:val="auto"/>
                <w:kern w:val="0"/>
                <w:szCs w:val="24"/>
                <w:highlight w:val="none"/>
                <w:vertAlign w:val="superscript"/>
                <w:lang w:val="en-US" w:eastAsia="zh-CN"/>
              </w:rPr>
              <w:t>3</w:t>
            </w:r>
            <w:r>
              <w:rPr>
                <w:rFonts w:hint="default" w:ascii="Times New Roman" w:hAnsi="Times New Roman" w:cs="Times New Roman"/>
                <w:color w:val="auto"/>
                <w:kern w:val="0"/>
                <w:szCs w:val="24"/>
                <w:highlight w:val="none"/>
                <w:lang w:val="en-US" w:eastAsia="zh-CN"/>
              </w:rPr>
              <w:t>。</w:t>
            </w:r>
          </w:p>
          <w:p w14:paraId="3A118A98">
            <w:pPr>
              <w:adjustRightInd w:val="0"/>
              <w:ind w:firstLine="480"/>
              <w:rPr>
                <w:rFonts w:hint="default" w:ascii="Times New Roman" w:hAnsi="Times New Roman" w:cs="Times New Roman"/>
                <w:color w:val="auto"/>
                <w:kern w:val="0"/>
                <w:szCs w:val="24"/>
                <w:highlight w:val="none"/>
                <w:lang w:val="en-US" w:eastAsia="zh-CN"/>
              </w:rPr>
            </w:pPr>
            <w:r>
              <w:rPr>
                <w:rFonts w:hint="default" w:ascii="Times New Roman" w:hAnsi="Times New Roman" w:cs="Times New Roman"/>
                <w:color w:val="auto"/>
                <w:kern w:val="0"/>
                <w:szCs w:val="24"/>
                <w:highlight w:val="none"/>
                <w:lang w:val="en-US" w:eastAsia="zh-CN"/>
              </w:rPr>
              <w:t>综上所述，项目无组织废气经自然稀释扩散对周边大气环境影响较小。</w:t>
            </w:r>
          </w:p>
          <w:p w14:paraId="1157BC2B">
            <w:pPr>
              <w:adjustRightInd w:val="0"/>
              <w:ind w:firstLine="480"/>
              <w:rPr>
                <w:rFonts w:hint="default" w:ascii="Times New Roman" w:hAnsi="Times New Roman" w:cs="Times New Roman"/>
                <w:color w:val="auto"/>
                <w:kern w:val="0"/>
                <w:szCs w:val="24"/>
                <w:highlight w:val="none"/>
                <w:lang w:val="en-US" w:eastAsia="zh-CN"/>
              </w:rPr>
            </w:pPr>
            <w:r>
              <w:rPr>
                <w:rFonts w:hint="default" w:ascii="Times New Roman" w:hAnsi="Times New Roman" w:cs="Times New Roman"/>
                <w:color w:val="auto"/>
                <w:kern w:val="0"/>
                <w:szCs w:val="24"/>
                <w:highlight w:val="none"/>
                <w:lang w:val="en-US" w:eastAsia="zh-CN"/>
              </w:rPr>
              <w:t>项目区域属于环境空气质量达标区，周围500m范围内无大气环境敏感目标，根据现场踏勘，距离项目546m稗子田村为最近的村镇，项目500m范围内无大气环境敏感目标。项目在建设及运营过程中要加强环境管理，严格落实设计及环评提出的各项废气污染防治措施，项目正常排放条件下废气污染物对环境的影响可接受。</w:t>
            </w:r>
          </w:p>
          <w:p w14:paraId="11124BA6">
            <w:pPr>
              <w:adjustRightInd w:val="0"/>
              <w:ind w:firstLine="480"/>
              <w:rPr>
                <w:rFonts w:hint="default" w:ascii="Times New Roman" w:hAnsi="Times New Roman" w:cs="Times New Roman"/>
                <w:bCs/>
                <w:color w:val="auto"/>
                <w:spacing w:val="-10"/>
                <w:sz w:val="32"/>
                <w:szCs w:val="24"/>
                <w:highlight w:val="none"/>
              </w:rPr>
            </w:pPr>
            <w:r>
              <w:rPr>
                <w:rFonts w:hint="default" w:ascii="Times New Roman" w:hAnsi="Times New Roman" w:cs="Times New Roman"/>
                <w:color w:val="auto"/>
                <w:kern w:val="0"/>
                <w:szCs w:val="24"/>
                <w:highlight w:val="none"/>
              </w:rPr>
              <w:t>因此，项目对周边大气环境敏感目标及</w:t>
            </w:r>
            <w:r>
              <w:rPr>
                <w:rFonts w:hint="default" w:ascii="Times New Roman" w:hAnsi="Times New Roman" w:cs="Times New Roman"/>
                <w:bCs/>
                <w:color w:val="auto"/>
                <w:kern w:val="0"/>
                <w:szCs w:val="24"/>
                <w:highlight w:val="none"/>
              </w:rPr>
              <w:t>周围环境影响不大。</w:t>
            </w:r>
          </w:p>
          <w:p w14:paraId="05ECEA63">
            <w:pPr>
              <w:adjustRightInd w:val="0"/>
              <w:ind w:firstLine="482"/>
              <w:rPr>
                <w:rFonts w:hint="default" w:ascii="Times New Roman" w:hAnsi="Times New Roman" w:cs="Times New Roman"/>
                <w:b/>
                <w:color w:val="auto"/>
                <w:kern w:val="0"/>
                <w:szCs w:val="24"/>
                <w:highlight w:val="none"/>
              </w:rPr>
            </w:pPr>
            <w:r>
              <w:rPr>
                <w:rFonts w:hint="eastAsia" w:cs="Times New Roman"/>
                <w:b/>
                <w:color w:val="auto"/>
                <w:kern w:val="0"/>
                <w:szCs w:val="24"/>
                <w:highlight w:val="none"/>
                <w:lang w:val="en-US" w:eastAsia="zh-CN"/>
              </w:rPr>
              <w:t>10</w:t>
            </w:r>
            <w:r>
              <w:rPr>
                <w:rFonts w:hint="default" w:ascii="Times New Roman" w:hAnsi="Times New Roman" w:cs="Times New Roman"/>
                <w:b/>
                <w:color w:val="auto"/>
                <w:kern w:val="0"/>
                <w:szCs w:val="24"/>
                <w:highlight w:val="none"/>
              </w:rPr>
              <w:t>、运营期废气监测计划</w:t>
            </w:r>
          </w:p>
          <w:p w14:paraId="6CE88B97">
            <w:pPr>
              <w:adjustRightInd w:val="0"/>
              <w:ind w:firstLine="480"/>
              <w:rPr>
                <w:rFonts w:hint="default" w:ascii="Times New Roman" w:hAnsi="Times New Roman" w:cs="Times New Roman"/>
                <w:bCs/>
                <w:color w:val="auto"/>
                <w:kern w:val="0"/>
                <w:sz w:val="21"/>
                <w:szCs w:val="21"/>
                <w:highlight w:val="none"/>
              </w:rPr>
            </w:pPr>
            <w:r>
              <w:rPr>
                <w:rFonts w:hint="default" w:ascii="Times New Roman" w:hAnsi="Times New Roman" w:cs="Times New Roman"/>
                <w:bCs/>
                <w:color w:val="auto"/>
                <w:kern w:val="0"/>
                <w:szCs w:val="24"/>
                <w:highlight w:val="none"/>
              </w:rPr>
              <w:t>根据以上分析，项目运营期产排及监测情况见表4-</w:t>
            </w:r>
            <w:r>
              <w:rPr>
                <w:rFonts w:hint="eastAsia" w:cs="Times New Roman"/>
                <w:bCs/>
                <w:color w:val="auto"/>
                <w:kern w:val="0"/>
                <w:szCs w:val="24"/>
                <w:highlight w:val="none"/>
                <w:lang w:val="en-US" w:eastAsia="zh-CN"/>
              </w:rPr>
              <w:t>17</w:t>
            </w:r>
            <w:r>
              <w:rPr>
                <w:rFonts w:hint="default" w:ascii="Times New Roman" w:hAnsi="Times New Roman" w:cs="Times New Roman"/>
                <w:bCs/>
                <w:color w:val="auto"/>
                <w:kern w:val="0"/>
                <w:szCs w:val="24"/>
                <w:highlight w:val="none"/>
              </w:rPr>
              <w:t>所示，项目运营期废气排污监测计划根据《排污单位自行监测技术指南 总则》（HJ819-2017）</w:t>
            </w:r>
            <w:r>
              <w:rPr>
                <w:rFonts w:hint="default" w:ascii="Times New Roman" w:hAnsi="Times New Roman" w:cs="Times New Roman"/>
                <w:bCs/>
                <w:color w:val="auto"/>
                <w:kern w:val="0"/>
                <w:szCs w:val="24"/>
                <w:highlight w:val="none"/>
                <w:lang w:eastAsia="zh-CN"/>
              </w:rPr>
              <w:t>、</w:t>
            </w:r>
            <w:r>
              <w:rPr>
                <w:rFonts w:hint="default" w:ascii="Times New Roman" w:hAnsi="Times New Roman" w:cs="Times New Roman"/>
                <w:color w:val="auto"/>
                <w:highlight w:val="none"/>
              </w:rPr>
              <w:t>《排污技术许可证申请与核发技术规范</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陶瓷砖瓦工业》(HJ954-2018)</w:t>
            </w:r>
            <w:r>
              <w:rPr>
                <w:rFonts w:hint="default" w:ascii="Times New Roman" w:hAnsi="Times New Roman" w:cs="Times New Roman"/>
                <w:bCs/>
                <w:color w:val="auto"/>
                <w:kern w:val="0"/>
                <w:szCs w:val="24"/>
                <w:highlight w:val="none"/>
              </w:rPr>
              <w:t>进行设置</w:t>
            </w:r>
            <w:r>
              <w:rPr>
                <w:rFonts w:hint="default" w:ascii="Times New Roman" w:hAnsi="Times New Roman" w:cs="Times New Roman"/>
                <w:bCs/>
                <w:color w:val="auto"/>
                <w:kern w:val="0"/>
                <w:sz w:val="21"/>
                <w:szCs w:val="21"/>
                <w:highlight w:val="none"/>
              </w:rPr>
              <w:t>。</w:t>
            </w:r>
          </w:p>
          <w:p w14:paraId="303FFF77">
            <w:pPr>
              <w:spacing w:line="240" w:lineRule="auto"/>
              <w:ind w:firstLine="0" w:firstLineChars="0"/>
              <w:jc w:val="center"/>
              <w:rPr>
                <w:rFonts w:hint="default" w:ascii="Times New Roman" w:hAnsi="Times New Roman" w:cs="Times New Roman"/>
                <w:b/>
                <w:color w:val="auto"/>
                <w:sz w:val="21"/>
                <w:highlight w:val="none"/>
              </w:rPr>
            </w:pPr>
            <w:r>
              <w:rPr>
                <w:rFonts w:hint="default" w:ascii="Times New Roman" w:hAnsi="Times New Roman" w:cs="Times New Roman"/>
                <w:b/>
                <w:color w:val="auto"/>
                <w:sz w:val="21"/>
                <w:highlight w:val="none"/>
              </w:rPr>
              <w:t>表4-</w:t>
            </w:r>
            <w:r>
              <w:rPr>
                <w:rFonts w:hint="default" w:ascii="Times New Roman" w:hAnsi="Times New Roman" w:cs="Times New Roman"/>
                <w:b/>
                <w:color w:val="auto"/>
                <w:sz w:val="21"/>
                <w:highlight w:val="none"/>
                <w:lang w:val="en-US" w:eastAsia="zh-CN"/>
              </w:rPr>
              <w:t>1</w:t>
            </w:r>
            <w:r>
              <w:rPr>
                <w:rFonts w:hint="eastAsia" w:cs="Times New Roman"/>
                <w:b/>
                <w:color w:val="auto"/>
                <w:sz w:val="21"/>
                <w:highlight w:val="none"/>
                <w:lang w:val="en-US" w:eastAsia="zh-CN"/>
              </w:rPr>
              <w:t>7</w:t>
            </w:r>
            <w:r>
              <w:rPr>
                <w:rFonts w:hint="default" w:ascii="Times New Roman" w:hAnsi="Times New Roman" w:cs="Times New Roman"/>
                <w:b/>
                <w:color w:val="auto"/>
                <w:sz w:val="21"/>
                <w:highlight w:val="none"/>
              </w:rPr>
              <w:t xml:space="preserve"> </w:t>
            </w:r>
            <w:r>
              <w:rPr>
                <w:rFonts w:hint="default" w:ascii="Times New Roman" w:hAnsi="Times New Roman" w:cs="Times New Roman"/>
                <w:b/>
                <w:color w:val="auto"/>
                <w:sz w:val="21"/>
                <w:highlight w:val="none"/>
                <w:lang w:val="en-US" w:eastAsia="zh-CN"/>
              </w:rPr>
              <w:t>项目废气</w:t>
            </w:r>
            <w:r>
              <w:rPr>
                <w:rFonts w:hint="default" w:ascii="Times New Roman" w:hAnsi="Times New Roman" w:cs="Times New Roman"/>
                <w:b/>
                <w:color w:val="auto"/>
                <w:sz w:val="21"/>
                <w:highlight w:val="none"/>
              </w:rPr>
              <w:t>自行监测一览表</w:t>
            </w:r>
          </w:p>
          <w:tbl>
            <w:tblPr>
              <w:tblStyle w:val="30"/>
              <w:tblW w:w="78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2318"/>
              <w:gridCol w:w="1289"/>
              <w:gridCol w:w="1233"/>
              <w:gridCol w:w="2214"/>
            </w:tblGrid>
            <w:tr w14:paraId="7F3C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829" w:type="dxa"/>
                  <w:noWrap w:val="0"/>
                  <w:vAlign w:val="center"/>
                </w:tcPr>
                <w:p w14:paraId="39F6DAA7">
                  <w:pPr>
                    <w:pStyle w:val="9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项目</w:t>
                  </w:r>
                </w:p>
              </w:tc>
              <w:tc>
                <w:tcPr>
                  <w:tcW w:w="2318" w:type="dxa"/>
                  <w:noWrap w:val="0"/>
                  <w:vAlign w:val="center"/>
                </w:tcPr>
                <w:p w14:paraId="5C389BFD">
                  <w:pPr>
                    <w:pStyle w:val="9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监测点位</w:t>
                  </w:r>
                </w:p>
              </w:tc>
              <w:tc>
                <w:tcPr>
                  <w:tcW w:w="1289" w:type="dxa"/>
                  <w:noWrap w:val="0"/>
                  <w:vAlign w:val="center"/>
                </w:tcPr>
                <w:p w14:paraId="2024124B">
                  <w:pPr>
                    <w:pStyle w:val="9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监测指标</w:t>
                  </w:r>
                </w:p>
              </w:tc>
              <w:tc>
                <w:tcPr>
                  <w:tcW w:w="1233" w:type="dxa"/>
                  <w:noWrap w:val="0"/>
                  <w:vAlign w:val="center"/>
                </w:tcPr>
                <w:p w14:paraId="36249323">
                  <w:pPr>
                    <w:pStyle w:val="9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监测频次</w:t>
                  </w:r>
                </w:p>
              </w:tc>
              <w:tc>
                <w:tcPr>
                  <w:tcW w:w="2214" w:type="dxa"/>
                  <w:noWrap w:val="0"/>
                  <w:vAlign w:val="center"/>
                </w:tcPr>
                <w:p w14:paraId="0AAFD814">
                  <w:pPr>
                    <w:pStyle w:val="91"/>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执行排放标准</w:t>
                  </w:r>
                </w:p>
              </w:tc>
            </w:tr>
            <w:tr w14:paraId="35CA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29" w:type="dxa"/>
                  <w:vMerge w:val="restart"/>
                  <w:noWrap w:val="0"/>
                  <w:vAlign w:val="center"/>
                </w:tcPr>
                <w:p w14:paraId="654089D5">
                  <w:pPr>
                    <w:pStyle w:val="9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废气</w:t>
                  </w:r>
                </w:p>
              </w:tc>
              <w:tc>
                <w:tcPr>
                  <w:tcW w:w="2318" w:type="dxa"/>
                  <w:noWrap w:val="0"/>
                  <w:vAlign w:val="center"/>
                </w:tcPr>
                <w:p w14:paraId="2C0E4A02">
                  <w:pPr>
                    <w:pStyle w:val="91"/>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DA001</w:t>
                  </w:r>
                  <w:r>
                    <w:rPr>
                      <w:rFonts w:hint="default" w:ascii="Times New Roman" w:hAnsi="Times New Roman" w:cs="Times New Roman"/>
                      <w:color w:val="auto"/>
                      <w:highlight w:val="none"/>
                      <w:lang w:val="en-US" w:eastAsia="zh-CN"/>
                    </w:rPr>
                    <w:t>排气筒</w:t>
                  </w:r>
                </w:p>
              </w:tc>
              <w:tc>
                <w:tcPr>
                  <w:tcW w:w="1289" w:type="dxa"/>
                  <w:noWrap w:val="0"/>
                  <w:vAlign w:val="center"/>
                </w:tcPr>
                <w:p w14:paraId="69AE854D">
                  <w:pPr>
                    <w:pStyle w:val="91"/>
                    <w:rPr>
                      <w:rFonts w:hint="default" w:ascii="Times New Roman" w:hAnsi="Times New Roman" w:cs="Times New Roman"/>
                      <w:b/>
                      <w:bCs/>
                      <w:color w:val="auto"/>
                      <w:highlight w:val="none"/>
                    </w:rPr>
                  </w:pPr>
                  <w:r>
                    <w:rPr>
                      <w:rFonts w:hint="default" w:ascii="Times New Roman" w:hAnsi="Times New Roman" w:cs="Times New Roman"/>
                      <w:color w:val="auto"/>
                      <w:highlight w:val="none"/>
                    </w:rPr>
                    <w:t>颗粒物</w:t>
                  </w:r>
                </w:p>
              </w:tc>
              <w:tc>
                <w:tcPr>
                  <w:tcW w:w="1233" w:type="dxa"/>
                  <w:noWrap w:val="0"/>
                  <w:vAlign w:val="center"/>
                </w:tcPr>
                <w:p w14:paraId="72B87CB3">
                  <w:pPr>
                    <w:pStyle w:val="91"/>
                    <w:rPr>
                      <w:rFonts w:hint="default" w:ascii="Times New Roman" w:hAnsi="Times New Roman" w:cs="Times New Roman"/>
                      <w:b/>
                      <w:bCs/>
                      <w:color w:val="auto"/>
                      <w:highlight w:val="none"/>
                    </w:rPr>
                  </w:pPr>
                  <w:r>
                    <w:rPr>
                      <w:rFonts w:hint="default" w:ascii="Times New Roman" w:hAnsi="Times New Roman" w:cs="Times New Roman"/>
                      <w:color w:val="auto"/>
                      <w:highlight w:val="none"/>
                    </w:rPr>
                    <w:t>1次/年</w:t>
                  </w:r>
                </w:p>
              </w:tc>
              <w:tc>
                <w:tcPr>
                  <w:tcW w:w="2214" w:type="dxa"/>
                  <w:vMerge w:val="restart"/>
                  <w:noWrap w:val="0"/>
                  <w:vAlign w:val="center"/>
                </w:tcPr>
                <w:p w14:paraId="2E49FF39">
                  <w:pPr>
                    <w:pStyle w:val="91"/>
                    <w:rPr>
                      <w:rFonts w:hint="default" w:ascii="Times New Roman" w:hAnsi="Times New Roman" w:cs="Times New Roman"/>
                      <w:color w:val="auto"/>
                      <w:highlight w:val="none"/>
                    </w:rPr>
                  </w:pPr>
                  <w:r>
                    <w:rPr>
                      <w:rFonts w:hint="default" w:ascii="Times New Roman" w:hAnsi="Times New Roman" w:cs="Times New Roman"/>
                      <w:color w:val="auto"/>
                      <w:highlight w:val="none"/>
                    </w:rPr>
                    <w:t>《大气污染物综合排放标准》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GB16297-1996</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表2</w:t>
                  </w:r>
                </w:p>
              </w:tc>
            </w:tr>
            <w:tr w14:paraId="08021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829" w:type="dxa"/>
                  <w:vMerge w:val="continue"/>
                  <w:noWrap w:val="0"/>
                  <w:vAlign w:val="center"/>
                </w:tcPr>
                <w:p w14:paraId="0E7339EB">
                  <w:pPr>
                    <w:pStyle w:val="91"/>
                    <w:rPr>
                      <w:rFonts w:hint="default" w:ascii="Times New Roman" w:hAnsi="Times New Roman" w:cs="Times New Roman"/>
                      <w:color w:val="auto"/>
                      <w:highlight w:val="none"/>
                    </w:rPr>
                  </w:pPr>
                </w:p>
              </w:tc>
              <w:tc>
                <w:tcPr>
                  <w:tcW w:w="2318" w:type="dxa"/>
                  <w:noWrap w:val="0"/>
                  <w:vAlign w:val="center"/>
                </w:tcPr>
                <w:p w14:paraId="01B896D8">
                  <w:pPr>
                    <w:pStyle w:val="91"/>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项目区</w:t>
                  </w:r>
                  <w:r>
                    <w:rPr>
                      <w:rFonts w:hint="default" w:ascii="Times New Roman" w:hAnsi="Times New Roman" w:cs="Times New Roman"/>
                      <w:color w:val="auto"/>
                      <w:highlight w:val="none"/>
                    </w:rPr>
                    <w:t>上风向1个点，厂界下风向3个点</w:t>
                  </w:r>
                </w:p>
              </w:tc>
              <w:tc>
                <w:tcPr>
                  <w:tcW w:w="1289" w:type="dxa"/>
                  <w:noWrap w:val="0"/>
                  <w:vAlign w:val="center"/>
                </w:tcPr>
                <w:p w14:paraId="51530BB3">
                  <w:pPr>
                    <w:pStyle w:val="91"/>
                    <w:rPr>
                      <w:rFonts w:hint="default" w:ascii="Times New Roman" w:hAnsi="Times New Roman" w:cs="Times New Roman"/>
                      <w:color w:val="auto"/>
                      <w:highlight w:val="none"/>
                    </w:rPr>
                  </w:pPr>
                  <w:r>
                    <w:rPr>
                      <w:rFonts w:hint="default" w:ascii="Times New Roman" w:hAnsi="Times New Roman" w:cs="Times New Roman"/>
                      <w:color w:val="auto"/>
                      <w:highlight w:val="none"/>
                    </w:rPr>
                    <w:t>颗粒物</w:t>
                  </w:r>
                </w:p>
              </w:tc>
              <w:tc>
                <w:tcPr>
                  <w:tcW w:w="1233" w:type="dxa"/>
                  <w:noWrap w:val="0"/>
                  <w:vAlign w:val="center"/>
                </w:tcPr>
                <w:p w14:paraId="3CC78E7A">
                  <w:pPr>
                    <w:pStyle w:val="91"/>
                    <w:rPr>
                      <w:rFonts w:hint="default" w:ascii="Times New Roman" w:hAnsi="Times New Roman" w:cs="Times New Roman"/>
                      <w:color w:val="auto"/>
                      <w:highlight w:val="none"/>
                    </w:rPr>
                  </w:pPr>
                  <w:r>
                    <w:rPr>
                      <w:rFonts w:hint="default" w:ascii="Times New Roman" w:hAnsi="Times New Roman" w:cs="Times New Roman"/>
                      <w:color w:val="auto"/>
                      <w:highlight w:val="none"/>
                    </w:rPr>
                    <w:t>1次/年</w:t>
                  </w:r>
                </w:p>
              </w:tc>
              <w:tc>
                <w:tcPr>
                  <w:tcW w:w="2214" w:type="dxa"/>
                  <w:vMerge w:val="continue"/>
                  <w:noWrap w:val="0"/>
                  <w:vAlign w:val="center"/>
                </w:tcPr>
                <w:p w14:paraId="2AF63F0C">
                  <w:pPr>
                    <w:pStyle w:val="91"/>
                    <w:rPr>
                      <w:rFonts w:hint="default" w:ascii="Times New Roman" w:hAnsi="Times New Roman" w:cs="Times New Roman"/>
                      <w:color w:val="auto"/>
                      <w:highlight w:val="none"/>
                    </w:rPr>
                  </w:pPr>
                </w:p>
              </w:tc>
            </w:tr>
          </w:tbl>
          <w:p w14:paraId="279B0E4E">
            <w:pPr>
              <w:spacing w:before="156" w:beforeLines="50"/>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二、运营期废水环境影响分析</w:t>
            </w:r>
          </w:p>
          <w:p w14:paraId="02809F34">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1、运营期废水产排情况</w:t>
            </w:r>
          </w:p>
          <w:p w14:paraId="1B6851B4">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color w:val="auto"/>
                <w:kern w:val="0"/>
                <w:szCs w:val="21"/>
                <w:highlight w:val="none"/>
              </w:rPr>
              <w:t>项目运营期用水环节主要包括</w:t>
            </w:r>
            <w:r>
              <w:rPr>
                <w:rFonts w:hint="default" w:ascii="Times New Roman" w:hAnsi="Times New Roman" w:cs="Times New Roman"/>
                <w:color w:val="auto"/>
                <w:highlight w:val="none"/>
              </w:rPr>
              <w:t>凿岩</w:t>
            </w:r>
            <w:r>
              <w:rPr>
                <w:rFonts w:hint="default" w:ascii="Times New Roman" w:hAnsi="Times New Roman" w:cs="Times New Roman"/>
                <w:color w:val="auto"/>
                <w:highlight w:val="none"/>
                <w:lang w:val="en-US" w:eastAsia="zh-CN"/>
              </w:rPr>
              <w:t>降尘</w:t>
            </w:r>
            <w:r>
              <w:rPr>
                <w:rFonts w:hint="default" w:ascii="Times New Roman" w:hAnsi="Times New Roman" w:cs="Times New Roman"/>
                <w:color w:val="auto"/>
                <w:highlight w:val="none"/>
              </w:rPr>
              <w:t>用水、露天开采区（含矿区道路）降尘用水</w:t>
            </w:r>
            <w:r>
              <w:rPr>
                <w:rFonts w:hint="eastAsia" w:cs="Times New Roman"/>
                <w:color w:val="auto"/>
                <w:kern w:val="0"/>
                <w:szCs w:val="21"/>
                <w:highlight w:val="none"/>
                <w:lang w:eastAsia="zh-CN"/>
              </w:rPr>
              <w:t>、</w:t>
            </w:r>
            <w:r>
              <w:rPr>
                <w:rFonts w:hint="default" w:ascii="Times New Roman" w:hAnsi="Times New Roman" w:cs="Times New Roman"/>
                <w:color w:val="auto"/>
                <w:kern w:val="0"/>
                <w:szCs w:val="21"/>
                <w:highlight w:val="none"/>
              </w:rPr>
              <w:t>生活用水</w:t>
            </w:r>
            <w:r>
              <w:rPr>
                <w:rFonts w:hint="eastAsia" w:cs="Times New Roman"/>
                <w:color w:val="auto"/>
                <w:kern w:val="0"/>
                <w:szCs w:val="21"/>
                <w:highlight w:val="none"/>
                <w:lang w:eastAsia="zh-CN"/>
              </w:rPr>
              <w:t>、</w:t>
            </w:r>
            <w:r>
              <w:rPr>
                <w:rFonts w:hint="eastAsia"/>
                <w:color w:val="auto"/>
                <w:szCs w:val="24"/>
              </w:rPr>
              <w:t>运输车辆清洗用水</w:t>
            </w:r>
            <w:r>
              <w:rPr>
                <w:rFonts w:hint="default" w:ascii="Times New Roman" w:hAnsi="Times New Roman" w:cs="Times New Roman"/>
                <w:color w:val="auto"/>
                <w:kern w:val="0"/>
                <w:szCs w:val="21"/>
                <w:highlight w:val="none"/>
              </w:rPr>
              <w:t>，项目产生的废水主要是生活污水</w:t>
            </w:r>
            <w:r>
              <w:rPr>
                <w:rFonts w:hint="eastAsia" w:cs="Times New Roman"/>
                <w:color w:val="auto"/>
                <w:kern w:val="0"/>
                <w:szCs w:val="21"/>
                <w:highlight w:val="none"/>
                <w:lang w:eastAsia="zh-CN"/>
              </w:rPr>
              <w:t>、</w:t>
            </w:r>
            <w:r>
              <w:rPr>
                <w:rFonts w:hint="eastAsia" w:cs="Times New Roman"/>
                <w:color w:val="auto"/>
                <w:kern w:val="0"/>
                <w:szCs w:val="21"/>
                <w:highlight w:val="none"/>
                <w:lang w:val="en-US" w:eastAsia="zh-CN"/>
              </w:rPr>
              <w:t>运输车辆清洗废水</w:t>
            </w:r>
            <w:r>
              <w:rPr>
                <w:rFonts w:hint="default" w:ascii="Times New Roman" w:hAnsi="Times New Roman" w:cs="Times New Roman"/>
                <w:color w:val="auto"/>
                <w:kern w:val="0"/>
                <w:szCs w:val="21"/>
                <w:highlight w:val="none"/>
              </w:rPr>
              <w:t>，另外雨季在雨水冲刷下，会产生</w:t>
            </w:r>
            <w:r>
              <w:rPr>
                <w:rFonts w:hint="eastAsia" w:cs="Times New Roman"/>
                <w:color w:val="auto"/>
                <w:kern w:val="0"/>
                <w:szCs w:val="21"/>
                <w:highlight w:val="none"/>
                <w:lang w:val="en-US" w:eastAsia="zh-CN"/>
              </w:rPr>
              <w:t>淋滤水和</w:t>
            </w:r>
            <w:r>
              <w:rPr>
                <w:rFonts w:hint="default" w:ascii="Times New Roman" w:hAnsi="Times New Roman" w:cs="Times New Roman"/>
                <w:color w:val="auto"/>
                <w:kern w:val="0"/>
                <w:szCs w:val="21"/>
                <w:highlight w:val="none"/>
              </w:rPr>
              <w:t>初期雨水。</w:t>
            </w:r>
          </w:p>
          <w:p w14:paraId="560A88D8">
            <w:pPr>
              <w:pStyle w:val="49"/>
              <w:spacing w:line="360" w:lineRule="auto"/>
              <w:ind w:firstLine="482" w:firstLineChars="200"/>
              <w:rPr>
                <w:rFonts w:hint="default" w:ascii="Times New Roman" w:hAnsi="Times New Roman" w:cs="Times New Roman"/>
                <w:color w:val="auto"/>
                <w:highlight w:val="none"/>
                <w:lang w:eastAsia="zh-CN"/>
              </w:rPr>
            </w:pPr>
            <w:r>
              <w:rPr>
                <w:rFonts w:hint="default" w:ascii="Times New Roman" w:hAnsi="Times New Roman" w:cs="Times New Roman"/>
                <w:b/>
                <w:bCs/>
                <w:color w:val="auto"/>
                <w:highlight w:val="none"/>
                <w:lang w:val="en-US" w:eastAsia="zh-CN"/>
              </w:rPr>
              <w:t>A、洒水</w:t>
            </w:r>
            <w:r>
              <w:rPr>
                <w:rFonts w:hint="default" w:ascii="Times New Roman" w:hAnsi="Times New Roman" w:cs="Times New Roman"/>
                <w:b/>
                <w:bCs/>
                <w:color w:val="auto"/>
                <w:highlight w:val="none"/>
              </w:rPr>
              <w:t>降尘用水</w:t>
            </w:r>
          </w:p>
          <w:p w14:paraId="7B552E94">
            <w:pPr>
              <w:ind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①凿岩</w:t>
            </w:r>
            <w:r>
              <w:rPr>
                <w:rFonts w:hint="default" w:ascii="Times New Roman" w:hAnsi="Times New Roman" w:cs="Times New Roman"/>
                <w:color w:val="auto"/>
                <w:highlight w:val="none"/>
                <w:lang w:val="en-US" w:eastAsia="zh-CN"/>
              </w:rPr>
              <w:t>钻孔</w:t>
            </w:r>
            <w:r>
              <w:rPr>
                <w:rFonts w:hint="default" w:ascii="Times New Roman" w:hAnsi="Times New Roman" w:cs="Times New Roman"/>
                <w:color w:val="auto"/>
                <w:highlight w:val="none"/>
                <w:lang w:eastAsia="zh-CN"/>
              </w:rPr>
              <w:t>用水</w:t>
            </w:r>
          </w:p>
          <w:p w14:paraId="12C86C9B">
            <w:pPr>
              <w:ind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项目在凿岩钻孔过程中采用湿法作业，</w:t>
            </w:r>
            <w:r>
              <w:rPr>
                <w:rFonts w:hint="default" w:ascii="Times New Roman" w:hAnsi="Times New Roman" w:cs="Times New Roman"/>
                <w:color w:val="auto"/>
                <w:highlight w:val="none"/>
                <w:lang w:val="en-US" w:eastAsia="zh-CN"/>
              </w:rPr>
              <w:t>根据生产经验，</w:t>
            </w:r>
            <w:r>
              <w:rPr>
                <w:rFonts w:hint="default" w:ascii="Times New Roman" w:hAnsi="Times New Roman" w:cs="Times New Roman"/>
                <w:color w:val="auto"/>
                <w:highlight w:val="none"/>
                <w:lang w:eastAsia="zh-CN"/>
              </w:rPr>
              <w:t>项目湿式凿岩</w:t>
            </w:r>
            <w:r>
              <w:rPr>
                <w:rFonts w:hint="default" w:ascii="Times New Roman" w:hAnsi="Times New Roman" w:cs="Times New Roman"/>
                <w:color w:val="auto"/>
                <w:highlight w:val="none"/>
                <w:lang w:val="en-US" w:eastAsia="zh-CN"/>
              </w:rPr>
              <w:t>降</w:t>
            </w:r>
            <w:r>
              <w:rPr>
                <w:rFonts w:hint="default" w:ascii="Times New Roman" w:hAnsi="Times New Roman" w:cs="Times New Roman"/>
                <w:color w:val="auto"/>
                <w:highlight w:val="none"/>
                <w:lang w:eastAsia="zh-CN"/>
              </w:rPr>
              <w:t>尘用水量</w:t>
            </w:r>
            <w:r>
              <w:rPr>
                <w:rFonts w:hint="default" w:ascii="Times New Roman" w:hAnsi="Times New Roman" w:cs="Times New Roman"/>
                <w:color w:val="auto"/>
                <w:highlight w:val="none"/>
                <w:lang w:val="en-US" w:eastAsia="zh-CN"/>
              </w:rPr>
              <w:t>按照0.005</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t</w:t>
            </w:r>
            <w:r>
              <w:rPr>
                <w:rFonts w:hint="default" w:ascii="Times New Roman" w:hAnsi="Times New Roman" w:cs="Times New Roman"/>
                <w:color w:val="auto"/>
                <w:highlight w:val="none"/>
                <w:lang w:eastAsia="zh-CN"/>
              </w:rPr>
              <w:t xml:space="preserve"> ，</w:t>
            </w:r>
            <w:r>
              <w:rPr>
                <w:rFonts w:hint="default" w:ascii="Times New Roman" w:hAnsi="Times New Roman" w:cs="Times New Roman"/>
                <w:color w:val="auto"/>
                <w:highlight w:val="none"/>
                <w:lang w:val="en-US" w:eastAsia="zh-CN"/>
              </w:rPr>
              <w:t>矿山开采量为50万t/a（年运营300天），则</w:t>
            </w:r>
            <w:r>
              <w:rPr>
                <w:rFonts w:hint="default" w:ascii="Times New Roman" w:hAnsi="Times New Roman" w:cs="Times New Roman"/>
                <w:color w:val="auto"/>
                <w:highlight w:val="none"/>
                <w:lang w:eastAsia="zh-CN"/>
              </w:rPr>
              <w:t>湿式凿岩</w:t>
            </w:r>
            <w:r>
              <w:rPr>
                <w:rFonts w:hint="default" w:ascii="Times New Roman" w:hAnsi="Times New Roman" w:cs="Times New Roman"/>
                <w:color w:val="auto"/>
                <w:highlight w:val="none"/>
                <w:lang w:val="en-US" w:eastAsia="zh-CN"/>
              </w:rPr>
              <w:t>降</w:t>
            </w:r>
            <w:r>
              <w:rPr>
                <w:rFonts w:hint="default" w:ascii="Times New Roman" w:hAnsi="Times New Roman" w:cs="Times New Roman"/>
                <w:color w:val="auto"/>
                <w:highlight w:val="none"/>
                <w:lang w:eastAsia="zh-CN"/>
              </w:rPr>
              <w:t>尘用水</w:t>
            </w:r>
            <w:r>
              <w:rPr>
                <w:rFonts w:hint="default" w:ascii="Times New Roman" w:hAnsi="Times New Roman" w:cs="Times New Roman"/>
                <w:color w:val="auto"/>
                <w:highlight w:val="none"/>
                <w:lang w:val="en-US" w:eastAsia="zh-CN"/>
              </w:rPr>
              <w:t>约2500</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w:t>
            </w:r>
            <w:r>
              <w:rPr>
                <w:rFonts w:hint="default" w:ascii="Times New Roman" w:hAnsi="Times New Roman" w:cs="Times New Roman"/>
                <w:color w:val="auto"/>
                <w:highlight w:val="none"/>
                <w:lang w:val="en-US" w:eastAsia="zh-CN"/>
              </w:rPr>
              <w:t>8.33</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d</w:t>
            </w:r>
            <w:r>
              <w:rPr>
                <w:rFonts w:hint="default" w:ascii="Times New Roman" w:hAnsi="Times New Roman" w:cs="Times New Roman"/>
                <w:color w:val="auto"/>
                <w:highlight w:val="none"/>
                <w:lang w:eastAsia="zh-CN"/>
              </w:rPr>
              <w:t>），该部分水将全部蒸发或渗透入矿石中，无废水外排。</w:t>
            </w:r>
          </w:p>
          <w:p w14:paraId="49B9BD63">
            <w:pPr>
              <w:ind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②露天开采区降尘用水</w:t>
            </w:r>
          </w:p>
          <w:p w14:paraId="49F447E5">
            <w:pPr>
              <w:ind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项目在矿石剥离、爆破、破碎锤及装卸料等过程中采用雾炮机喷雾</w:t>
            </w:r>
            <w:r>
              <w:rPr>
                <w:rFonts w:hint="default" w:ascii="Times New Roman" w:hAnsi="Times New Roman" w:cs="Times New Roman"/>
                <w:color w:val="auto"/>
                <w:highlight w:val="none"/>
                <w:lang w:val="en-US" w:eastAsia="zh-CN"/>
              </w:rPr>
              <w:t>及</w:t>
            </w:r>
            <w:r>
              <w:rPr>
                <w:rFonts w:hint="default" w:ascii="Times New Roman" w:hAnsi="Times New Roman" w:cs="Times New Roman"/>
                <w:color w:val="auto"/>
                <w:highlight w:val="none"/>
                <w:lang w:eastAsia="zh-CN"/>
              </w:rPr>
              <w:t>洒水车喷淋降尘，道路运输过</w:t>
            </w:r>
            <w:r>
              <w:rPr>
                <w:rFonts w:hint="eastAsia" w:cs="Times New Roman"/>
                <w:color w:val="auto"/>
                <w:highlight w:val="none"/>
                <w:lang w:eastAsia="zh-CN"/>
              </w:rPr>
              <w:t>程中</w:t>
            </w:r>
            <w:r>
              <w:rPr>
                <w:rFonts w:hint="default" w:ascii="Times New Roman" w:hAnsi="Times New Roman" w:cs="Times New Roman"/>
                <w:color w:val="auto"/>
                <w:highlight w:val="none"/>
                <w:lang w:eastAsia="zh-CN"/>
              </w:rPr>
              <w:t>采取定期洒水降尘，根据《云南省地方标准 用水定额》（DB53/T168-2026）中“环境卫生管理，场地浇洒”</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场地浇洒用水定额为2L/m</w:t>
            </w:r>
            <w:r>
              <w:rPr>
                <w:rFonts w:hint="default" w:ascii="Times New Roman" w:hAnsi="Times New Roman" w:cs="Times New Roman"/>
                <w:color w:val="auto"/>
                <w:highlight w:val="none"/>
                <w:vertAlign w:val="superscript"/>
                <w:lang w:eastAsia="zh-CN"/>
              </w:rPr>
              <w:t>2</w:t>
            </w:r>
            <w:r>
              <w:rPr>
                <w:rFonts w:hint="default" w:ascii="Times New Roman" w:hAnsi="Times New Roman" w:cs="Times New Roman"/>
                <w:color w:val="auto"/>
                <w:highlight w:val="none"/>
                <w:lang w:eastAsia="zh-CN"/>
              </w:rPr>
              <w:t>·次，项目在晴天每天对露天开采区进行</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次洒水降尘，则运营期间露天采区洒水降尘用水量为</w:t>
            </w:r>
            <w:r>
              <w:rPr>
                <w:rFonts w:hint="eastAsia" w:cs="Times New Roman"/>
                <w:color w:val="auto"/>
                <w:highlight w:val="none"/>
                <w:lang w:val="en-US" w:eastAsia="zh-CN"/>
              </w:rPr>
              <w:t>159.6</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/d ，</w:t>
            </w:r>
            <w:r>
              <w:rPr>
                <w:rFonts w:hint="eastAsia" w:cs="Times New Roman"/>
                <w:color w:val="auto"/>
                <w:highlight w:val="none"/>
                <w:lang w:val="en-US" w:eastAsia="zh-CN"/>
              </w:rPr>
              <w:t>28408.8</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/a（按300天工作日中非雨天</w:t>
            </w:r>
            <w:r>
              <w:rPr>
                <w:rFonts w:hint="eastAsia" w:cs="Times New Roman"/>
                <w:color w:val="auto"/>
                <w:highlight w:val="none"/>
                <w:lang w:val="en-US" w:eastAsia="zh-CN"/>
              </w:rPr>
              <w:t>178</w:t>
            </w:r>
            <w:r>
              <w:rPr>
                <w:rFonts w:hint="default" w:ascii="Times New Roman" w:hAnsi="Times New Roman" w:cs="Times New Roman"/>
                <w:color w:val="auto"/>
                <w:highlight w:val="none"/>
                <w:lang w:eastAsia="zh-CN"/>
              </w:rPr>
              <w:t>天计算，露天采区工作面面积取</w:t>
            </w:r>
            <w:r>
              <w:rPr>
                <w:rFonts w:hint="eastAsia" w:cs="Times New Roman"/>
                <w:color w:val="auto"/>
                <w:highlight w:val="none"/>
                <w:lang w:val="en-US" w:eastAsia="zh-CN"/>
              </w:rPr>
              <w:t>39900</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 xml:space="preserve">2 </w:t>
            </w:r>
            <w:r>
              <w:rPr>
                <w:rFonts w:hint="default" w:ascii="Times New Roman" w:hAnsi="Times New Roman" w:cs="Times New Roman"/>
                <w:color w:val="auto"/>
                <w:highlight w:val="none"/>
                <w:lang w:eastAsia="zh-CN"/>
              </w:rPr>
              <w:t>）。降尘</w:t>
            </w:r>
            <w:r>
              <w:rPr>
                <w:rFonts w:hint="default" w:ascii="Times New Roman" w:hAnsi="Times New Roman" w:cs="Times New Roman"/>
                <w:color w:val="auto"/>
                <w:highlight w:val="none"/>
                <w:lang w:val="en-US" w:eastAsia="zh-CN"/>
              </w:rPr>
              <w:t>洒水</w:t>
            </w:r>
            <w:r>
              <w:rPr>
                <w:rFonts w:hint="default" w:ascii="Times New Roman" w:hAnsi="Times New Roman" w:cs="Times New Roman"/>
                <w:color w:val="auto"/>
                <w:highlight w:val="none"/>
                <w:lang w:eastAsia="zh-CN"/>
              </w:rPr>
              <w:t>全部蒸发消耗，没有废水产生。</w:t>
            </w:r>
          </w:p>
          <w:p w14:paraId="1C540464">
            <w:pPr>
              <w:ind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③</w:t>
            </w:r>
            <w:r>
              <w:rPr>
                <w:rFonts w:hint="default" w:ascii="Times New Roman" w:hAnsi="Times New Roman" w:cs="Times New Roman"/>
                <w:color w:val="auto"/>
                <w:highlight w:val="none"/>
                <w:lang w:val="en-US" w:eastAsia="zh-CN"/>
              </w:rPr>
              <w:t>工业场地内</w:t>
            </w:r>
            <w:r>
              <w:rPr>
                <w:rFonts w:hint="default" w:ascii="Times New Roman" w:hAnsi="Times New Roman" w:cs="Times New Roman"/>
                <w:color w:val="auto"/>
                <w:highlight w:val="none"/>
                <w:lang w:eastAsia="zh-CN"/>
              </w:rPr>
              <w:t>降尘用水</w:t>
            </w:r>
          </w:p>
          <w:p w14:paraId="536A8E9D">
            <w:pPr>
              <w:ind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破碎加工区：</w:t>
            </w:r>
            <w:r>
              <w:rPr>
                <w:rFonts w:hint="default" w:ascii="Times New Roman" w:hAnsi="Times New Roman" w:cs="Times New Roman"/>
                <w:color w:val="auto"/>
                <w:highlight w:val="none"/>
                <w:lang w:eastAsia="zh-CN"/>
              </w:rPr>
              <w:t>矿石破碎、筛分、</w:t>
            </w:r>
            <w:r>
              <w:rPr>
                <w:rFonts w:hint="default" w:ascii="Times New Roman" w:hAnsi="Times New Roman" w:cs="Times New Roman"/>
                <w:color w:val="auto"/>
                <w:highlight w:val="none"/>
                <w:lang w:val="en-US" w:eastAsia="zh-CN"/>
              </w:rPr>
              <w:t>制砂</w:t>
            </w:r>
            <w:r>
              <w:rPr>
                <w:rFonts w:hint="default" w:ascii="Times New Roman" w:hAnsi="Times New Roman" w:cs="Times New Roman"/>
                <w:color w:val="auto"/>
                <w:highlight w:val="none"/>
                <w:lang w:eastAsia="zh-CN"/>
              </w:rPr>
              <w:t>点</w:t>
            </w:r>
            <w:r>
              <w:rPr>
                <w:rFonts w:hint="default" w:ascii="Times New Roman" w:hAnsi="Times New Roman" w:cs="Times New Roman"/>
                <w:color w:val="auto"/>
                <w:highlight w:val="none"/>
                <w:lang w:val="en-US" w:eastAsia="zh-CN"/>
              </w:rPr>
              <w:t>均</w:t>
            </w:r>
            <w:r>
              <w:rPr>
                <w:rFonts w:hint="default" w:ascii="Times New Roman" w:hAnsi="Times New Roman" w:cs="Times New Roman"/>
                <w:color w:val="auto"/>
                <w:highlight w:val="none"/>
                <w:lang w:eastAsia="zh-CN"/>
              </w:rPr>
              <w:t>配置喷淋洒水装置，</w:t>
            </w:r>
            <w:r>
              <w:rPr>
                <w:rFonts w:hint="default" w:ascii="Times New Roman" w:hAnsi="Times New Roman" w:cs="Times New Roman"/>
                <w:color w:val="auto"/>
                <w:highlight w:val="none"/>
                <w:lang w:val="en-US" w:eastAsia="zh-CN"/>
              </w:rPr>
              <w:t>两台破碎机进料口各1套、两台振动筛各1套、制砂机1套，共计5套，5个喷头</w:t>
            </w:r>
            <w:r>
              <w:rPr>
                <w:rFonts w:hint="default" w:ascii="Times New Roman" w:hAnsi="Times New Roman" w:cs="Times New Roman"/>
                <w:color w:val="auto"/>
                <w:highlight w:val="none"/>
                <w:lang w:eastAsia="zh-CN"/>
              </w:rPr>
              <w:t>。洒水喷头喷雾强度按1.5L/(m</w:t>
            </w:r>
            <w:r>
              <w:rPr>
                <w:rFonts w:hint="default" w:ascii="Times New Roman" w:hAnsi="Times New Roman" w:cs="Times New Roman"/>
                <w:color w:val="auto"/>
                <w:highlight w:val="none"/>
                <w:vertAlign w:val="superscript"/>
                <w:lang w:eastAsia="zh-CN"/>
              </w:rPr>
              <w:t>2</w:t>
            </w:r>
            <w:r>
              <w:rPr>
                <w:rFonts w:hint="default" w:ascii="Times New Roman" w:hAnsi="Times New Roman" w:cs="Times New Roman"/>
                <w:color w:val="auto"/>
                <w:highlight w:val="none"/>
                <w:lang w:eastAsia="zh-CN"/>
              </w:rPr>
              <w:t>·min）计，设备覆盖面积取2m</w:t>
            </w:r>
            <w:r>
              <w:rPr>
                <w:rFonts w:hint="default" w:ascii="Times New Roman" w:hAnsi="Times New Roman" w:cs="Times New Roman"/>
                <w:color w:val="auto"/>
                <w:highlight w:val="none"/>
                <w:vertAlign w:val="superscript"/>
                <w:lang w:eastAsia="zh-CN"/>
              </w:rPr>
              <w:t>2</w:t>
            </w:r>
            <w:r>
              <w:rPr>
                <w:rFonts w:hint="default" w:ascii="Times New Roman" w:hAnsi="Times New Roman" w:cs="Times New Roman"/>
                <w:color w:val="auto"/>
                <w:highlight w:val="none"/>
                <w:lang w:eastAsia="zh-CN"/>
              </w:rPr>
              <w:t>，则洒水喷头用水量为</w:t>
            </w:r>
            <w:r>
              <w:rPr>
                <w:rFonts w:hint="default" w:ascii="Times New Roman" w:hAnsi="Times New Roman" w:cs="Times New Roman"/>
                <w:color w:val="auto"/>
                <w:highlight w:val="none"/>
                <w:lang w:val="en-US" w:eastAsia="zh-CN"/>
              </w:rPr>
              <w:t>7.2</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/d，</w:t>
            </w:r>
            <w:r>
              <w:rPr>
                <w:rFonts w:hint="default" w:ascii="Times New Roman" w:hAnsi="Times New Roman" w:cs="Times New Roman"/>
                <w:color w:val="auto"/>
                <w:highlight w:val="none"/>
                <w:lang w:val="en-US" w:eastAsia="zh-CN"/>
              </w:rPr>
              <w:t>2160</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3</w:t>
            </w:r>
            <w:r>
              <w:rPr>
                <w:rFonts w:hint="default" w:ascii="Times New Roman" w:hAnsi="Times New Roman" w:cs="Times New Roman"/>
                <w:color w:val="auto"/>
                <w:highlight w:val="none"/>
                <w:lang w:eastAsia="zh-CN"/>
              </w:rPr>
              <w:t>/a。矿石破碎喷雾用水全部蒸发消耗，没有废水产生。</w:t>
            </w:r>
          </w:p>
          <w:p w14:paraId="4EF6CC2F">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砂料堆场：参考《逸散性工业粉尘控制技术》粒料加工控制技术，堆场2-4L/m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（每日2-3 次，抑尘时效4-6 小时），每日3次，本环评取4L/m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，项目砂料堆场占地面积约为3000m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，则砂料堆场用水量为36m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/d， 10800m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/a。</w:t>
            </w:r>
          </w:p>
          <w:p w14:paraId="6E07F879">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则工业场地总用水量为43.2m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/d，12960m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/a。</w:t>
            </w:r>
          </w:p>
          <w:p w14:paraId="487143B9">
            <w:pPr>
              <w:ind w:firstLine="478"/>
              <w:rPr>
                <w:rFonts w:hint="default" w:ascii="Times New Roman" w:hAnsi="Times New Roman" w:cs="Times New Roman"/>
                <w:color w:val="auto"/>
                <w:spacing w:val="-1"/>
                <w:highlight w:val="none"/>
                <w:lang w:eastAsia="zh-CN"/>
              </w:rPr>
            </w:pPr>
            <w:r>
              <w:rPr>
                <w:rFonts w:hint="default" w:ascii="Times New Roman" w:hAnsi="Times New Roman" w:cs="Times New Roman"/>
                <w:color w:val="auto"/>
                <w:highlight w:val="none"/>
                <w:lang w:eastAsia="zh-CN"/>
              </w:rPr>
              <w:t>④</w:t>
            </w:r>
            <w:r>
              <w:rPr>
                <w:rFonts w:hint="default" w:ascii="Times New Roman" w:hAnsi="Times New Roman" w:cs="Times New Roman"/>
                <w:color w:val="auto"/>
                <w:spacing w:val="-1"/>
                <w:highlight w:val="none"/>
                <w:lang w:eastAsia="zh-CN"/>
              </w:rPr>
              <w:t>运输道路降尘用水</w:t>
            </w:r>
          </w:p>
          <w:p w14:paraId="19931CF6">
            <w:pPr>
              <w:adjustRightInd w:val="0"/>
              <w:ind w:firstLine="480"/>
              <w:rPr>
                <w:rFonts w:hint="default" w:ascii="Times New Roman" w:hAnsi="Times New Roman" w:eastAsia="宋体" w:cs="Times New Roman"/>
                <w:color w:val="auto"/>
                <w:kern w:val="0"/>
                <w:szCs w:val="24"/>
                <w:highlight w:val="none"/>
                <w:lang w:val="en-US" w:eastAsia="zh-CN"/>
              </w:rPr>
            </w:pPr>
            <w:r>
              <w:rPr>
                <w:rFonts w:hint="default" w:ascii="Times New Roman" w:hAnsi="Times New Roman" w:cs="Times New Roman"/>
                <w:color w:val="auto"/>
                <w:spacing w:val="-1"/>
                <w:highlight w:val="none"/>
                <w:lang w:eastAsia="zh-CN"/>
              </w:rPr>
              <w:t>建设单位拟配备1辆洒水车，在非雨天</w:t>
            </w:r>
            <w:r>
              <w:rPr>
                <w:rFonts w:hint="default" w:ascii="Times New Roman" w:hAnsi="Times New Roman" w:eastAsia="宋体" w:cs="Times New Roman"/>
                <w:color w:val="auto"/>
                <w:kern w:val="0"/>
                <w:szCs w:val="24"/>
                <w:highlight w:val="none"/>
                <w:lang w:val="en-US" w:eastAsia="zh-CN"/>
              </w:rPr>
              <w:t>对项目内部运输道路进行洒水抑尘，最终全部蒸发损耗。项目区内的运输道路占地面积约</w:t>
            </w:r>
            <w:r>
              <w:rPr>
                <w:rFonts w:hint="eastAsia" w:cs="Times New Roman"/>
                <w:color w:val="auto"/>
                <w:kern w:val="0"/>
                <w:szCs w:val="24"/>
                <w:highlight w:val="none"/>
                <w:lang w:val="en-US" w:eastAsia="zh-CN"/>
              </w:rPr>
              <w:t>4042</w:t>
            </w:r>
            <w:r>
              <w:rPr>
                <w:rFonts w:hint="default" w:ascii="Times New Roman" w:hAnsi="Times New Roman" w:eastAsia="宋体" w:cs="Times New Roman"/>
                <w:color w:val="auto"/>
                <w:kern w:val="0"/>
                <w:szCs w:val="24"/>
                <w:highlight w:val="none"/>
                <w:lang w:val="en-US" w:eastAsia="zh-CN"/>
              </w:rPr>
              <w:t>m</w:t>
            </w:r>
            <w:r>
              <w:rPr>
                <w:rFonts w:hint="default" w:ascii="Times New Roman" w:hAnsi="Times New Roman" w:eastAsia="宋体" w:cs="Times New Roman"/>
                <w:color w:val="auto"/>
                <w:kern w:val="0"/>
                <w:szCs w:val="24"/>
                <w:highlight w:val="none"/>
                <w:vertAlign w:val="superscript"/>
                <w:lang w:val="en-US" w:eastAsia="zh-CN"/>
              </w:rPr>
              <w:t>2</w:t>
            </w:r>
            <w:r>
              <w:rPr>
                <w:rFonts w:hint="default" w:ascii="Times New Roman" w:hAnsi="Times New Roman" w:eastAsia="宋体" w:cs="Times New Roman"/>
                <w:color w:val="auto"/>
                <w:kern w:val="0"/>
                <w:szCs w:val="24"/>
                <w:highlight w:val="none"/>
                <w:lang w:val="en-US" w:eastAsia="zh-CN"/>
              </w:rPr>
              <w:t xml:space="preserve"> ，</w:t>
            </w:r>
            <w:r>
              <w:rPr>
                <w:color w:val="auto"/>
              </w:rPr>
              <w:t>根据《云南省地方标准</w:t>
            </w:r>
            <w:r>
              <w:rPr>
                <w:rFonts w:hint="eastAsia"/>
                <w:color w:val="auto"/>
              </w:rPr>
              <w:t xml:space="preserve"> </w:t>
            </w:r>
            <w:r>
              <w:rPr>
                <w:color w:val="auto"/>
              </w:rPr>
              <w:t>用水定额》（DB53/T168-20</w:t>
            </w:r>
            <w:r>
              <w:rPr>
                <w:rFonts w:hint="eastAsia"/>
                <w:color w:val="auto"/>
              </w:rPr>
              <w:t>26</w:t>
            </w:r>
            <w:r>
              <w:rPr>
                <w:color w:val="auto"/>
              </w:rPr>
              <w:t>）</w:t>
            </w:r>
            <w:r>
              <w:rPr>
                <w:rFonts w:hint="eastAsia"/>
                <w:color w:val="auto"/>
              </w:rPr>
              <w:t>中“环境卫生管理，场地浇洒”</w:t>
            </w:r>
            <w:r>
              <w:rPr>
                <w:rFonts w:hint="default" w:ascii="Times New Roman" w:hAnsi="Times New Roman" w:eastAsia="宋体" w:cs="Times New Roman"/>
                <w:color w:val="auto"/>
                <w:kern w:val="0"/>
                <w:szCs w:val="24"/>
                <w:highlight w:val="none"/>
                <w:lang w:val="en-US" w:eastAsia="zh-CN"/>
              </w:rPr>
              <w:t>，洒水量按照2.0L/m²·次。按300天工作日中非雨天</w:t>
            </w:r>
            <w:r>
              <w:rPr>
                <w:rFonts w:hint="eastAsia" w:cs="Times New Roman"/>
                <w:color w:val="auto"/>
                <w:kern w:val="0"/>
                <w:szCs w:val="24"/>
                <w:highlight w:val="none"/>
                <w:lang w:val="en-US" w:eastAsia="zh-CN"/>
              </w:rPr>
              <w:t>178</w:t>
            </w:r>
            <w:r>
              <w:rPr>
                <w:rFonts w:hint="default" w:ascii="Times New Roman" w:hAnsi="Times New Roman" w:eastAsia="宋体" w:cs="Times New Roman"/>
                <w:color w:val="auto"/>
                <w:kern w:val="0"/>
                <w:szCs w:val="24"/>
                <w:highlight w:val="none"/>
                <w:lang w:val="en-US" w:eastAsia="zh-CN"/>
              </w:rPr>
              <w:t>天计算，非雨天洒水降尘 2 次/d 计，则运输道路洒水降尘的用水量</w:t>
            </w:r>
            <w:r>
              <w:rPr>
                <w:rFonts w:hint="eastAsia" w:cs="Times New Roman"/>
                <w:color w:val="auto"/>
                <w:kern w:val="0"/>
                <w:szCs w:val="24"/>
                <w:highlight w:val="none"/>
                <w:lang w:val="en-US" w:eastAsia="zh-CN"/>
              </w:rPr>
              <w:t>16.17</w:t>
            </w:r>
            <w:r>
              <w:rPr>
                <w:rFonts w:hint="default" w:ascii="Times New Roman" w:hAnsi="Times New Roman" w:eastAsia="宋体" w:cs="Times New Roman"/>
                <w:color w:val="auto"/>
                <w:kern w:val="0"/>
                <w:szCs w:val="24"/>
                <w:highlight w:val="none"/>
                <w:lang w:val="en-US" w:eastAsia="zh-CN"/>
              </w:rPr>
              <w:t>m</w:t>
            </w:r>
            <w:r>
              <w:rPr>
                <w:rFonts w:hint="default" w:ascii="Times New Roman" w:hAnsi="Times New Roman" w:eastAsia="宋体" w:cs="Times New Roman"/>
                <w:color w:val="auto"/>
                <w:kern w:val="0"/>
                <w:szCs w:val="24"/>
                <w:highlight w:val="none"/>
                <w:vertAlign w:val="superscript"/>
                <w:lang w:val="en-US" w:eastAsia="zh-CN"/>
              </w:rPr>
              <w:t>3</w:t>
            </w:r>
            <w:r>
              <w:rPr>
                <w:rFonts w:hint="default" w:ascii="Times New Roman" w:hAnsi="Times New Roman" w:eastAsia="宋体" w:cs="Times New Roman"/>
                <w:color w:val="auto"/>
                <w:kern w:val="0"/>
                <w:szCs w:val="24"/>
                <w:highlight w:val="none"/>
                <w:lang w:val="en-US" w:eastAsia="zh-CN"/>
              </w:rPr>
              <w:t>/d、</w:t>
            </w:r>
            <w:r>
              <w:rPr>
                <w:rFonts w:hint="eastAsia" w:cs="Times New Roman"/>
                <w:color w:val="auto"/>
                <w:kern w:val="0"/>
                <w:szCs w:val="24"/>
                <w:highlight w:val="none"/>
                <w:lang w:val="en-US" w:eastAsia="zh-CN"/>
              </w:rPr>
              <w:t>2878.26</w:t>
            </w:r>
            <w:r>
              <w:rPr>
                <w:rFonts w:hint="default" w:ascii="Times New Roman" w:hAnsi="Times New Roman" w:eastAsia="宋体" w:cs="Times New Roman"/>
                <w:color w:val="auto"/>
                <w:kern w:val="0"/>
                <w:szCs w:val="24"/>
                <w:highlight w:val="none"/>
                <w:lang w:val="en-US" w:eastAsia="zh-CN"/>
              </w:rPr>
              <w:t>m</w:t>
            </w:r>
            <w:r>
              <w:rPr>
                <w:rFonts w:hint="default" w:ascii="Times New Roman" w:hAnsi="Times New Roman" w:eastAsia="宋体" w:cs="Times New Roman"/>
                <w:color w:val="auto"/>
                <w:kern w:val="0"/>
                <w:szCs w:val="24"/>
                <w:highlight w:val="none"/>
                <w:vertAlign w:val="superscript"/>
                <w:lang w:val="en-US" w:eastAsia="zh-CN"/>
              </w:rPr>
              <w:t>3</w:t>
            </w:r>
            <w:r>
              <w:rPr>
                <w:rFonts w:hint="default" w:ascii="Times New Roman" w:hAnsi="Times New Roman" w:eastAsia="宋体" w:cs="Times New Roman"/>
                <w:color w:val="auto"/>
                <w:kern w:val="0"/>
                <w:szCs w:val="24"/>
                <w:highlight w:val="none"/>
                <w:lang w:val="en-US" w:eastAsia="zh-CN"/>
              </w:rPr>
              <w:t>/a，被地表吸收或蒸发，没有废水外排。</w:t>
            </w:r>
          </w:p>
          <w:p w14:paraId="797C5113">
            <w:pPr>
              <w:adjustRightInd w:val="0"/>
              <w:ind w:firstLine="480"/>
              <w:rPr>
                <w:rFonts w:hint="eastAsia" w:cs="Times New Roman"/>
                <w:color w:val="auto"/>
                <w:kern w:val="0"/>
                <w:szCs w:val="24"/>
                <w:highlight w:val="none"/>
                <w:lang w:val="en-US" w:eastAsia="zh-CN"/>
              </w:rPr>
            </w:pPr>
            <w:r>
              <w:rPr>
                <w:rFonts w:hint="eastAsia" w:ascii="宋体" w:hAnsi="宋体" w:eastAsia="宋体" w:cs="宋体"/>
                <w:color w:val="auto"/>
                <w:kern w:val="0"/>
                <w:szCs w:val="24"/>
                <w:highlight w:val="none"/>
                <w:lang w:val="en-US" w:eastAsia="zh-CN"/>
              </w:rPr>
              <w:t>⑤</w:t>
            </w:r>
            <w:r>
              <w:rPr>
                <w:rFonts w:hint="eastAsia" w:cs="Times New Roman"/>
                <w:color w:val="auto"/>
                <w:kern w:val="0"/>
                <w:szCs w:val="24"/>
                <w:highlight w:val="none"/>
                <w:lang w:val="en-US" w:eastAsia="zh-CN"/>
              </w:rPr>
              <w:t>临时表土堆场降尘用水</w:t>
            </w:r>
          </w:p>
          <w:p w14:paraId="10F3DEB8">
            <w:pPr>
              <w:adjustRightInd w:val="0"/>
              <w:ind w:firstLine="480"/>
              <w:rPr>
                <w:rFonts w:hint="default" w:ascii="Times New Roman" w:hAnsi="Times New Roman" w:eastAsia="宋体" w:cs="Times New Roman"/>
                <w:color w:val="auto"/>
                <w:kern w:val="0"/>
                <w:szCs w:val="24"/>
                <w:highlight w:val="none"/>
                <w:lang w:val="en-US" w:eastAsia="zh-CN"/>
              </w:rPr>
            </w:pPr>
            <w:r>
              <w:rPr>
                <w:rFonts w:hint="default" w:ascii="Times New Roman" w:hAnsi="Times New Roman" w:cs="Times New Roman"/>
                <w:color w:val="auto"/>
                <w:spacing w:val="-1"/>
                <w:highlight w:val="none"/>
                <w:lang w:eastAsia="zh-CN"/>
              </w:rPr>
              <w:t>在非雨天</w:t>
            </w:r>
            <w:r>
              <w:rPr>
                <w:rFonts w:hint="default" w:ascii="Times New Roman" w:hAnsi="Times New Roman" w:eastAsia="宋体" w:cs="Times New Roman"/>
                <w:color w:val="auto"/>
                <w:kern w:val="0"/>
                <w:szCs w:val="24"/>
                <w:highlight w:val="none"/>
                <w:lang w:val="en-US" w:eastAsia="zh-CN"/>
              </w:rPr>
              <w:t>对</w:t>
            </w:r>
            <w:r>
              <w:rPr>
                <w:rFonts w:hint="eastAsia" w:cs="Times New Roman"/>
                <w:color w:val="auto"/>
                <w:kern w:val="0"/>
                <w:szCs w:val="24"/>
                <w:highlight w:val="none"/>
                <w:lang w:val="en-US" w:eastAsia="zh-CN"/>
              </w:rPr>
              <w:t>临时表土堆场</w:t>
            </w:r>
            <w:r>
              <w:rPr>
                <w:rFonts w:hint="default" w:ascii="Times New Roman" w:hAnsi="Times New Roman" w:eastAsia="宋体" w:cs="Times New Roman"/>
                <w:color w:val="auto"/>
                <w:kern w:val="0"/>
                <w:szCs w:val="24"/>
                <w:highlight w:val="none"/>
                <w:lang w:val="en-US" w:eastAsia="zh-CN"/>
              </w:rPr>
              <w:t>进行洒水抑尘，最终全部蒸发损耗。项目</w:t>
            </w:r>
            <w:r>
              <w:rPr>
                <w:rFonts w:hint="eastAsia" w:cs="Times New Roman"/>
                <w:color w:val="auto"/>
                <w:kern w:val="0"/>
                <w:szCs w:val="24"/>
                <w:highlight w:val="none"/>
                <w:lang w:val="en-US" w:eastAsia="zh-CN"/>
              </w:rPr>
              <w:t>临时表土堆场</w:t>
            </w:r>
            <w:r>
              <w:rPr>
                <w:rFonts w:hint="default" w:ascii="Times New Roman" w:hAnsi="Times New Roman" w:eastAsia="宋体" w:cs="Times New Roman"/>
                <w:color w:val="auto"/>
                <w:kern w:val="0"/>
                <w:szCs w:val="24"/>
                <w:highlight w:val="none"/>
                <w:lang w:val="en-US" w:eastAsia="zh-CN"/>
              </w:rPr>
              <w:t>占地面积约</w:t>
            </w:r>
            <w:r>
              <w:rPr>
                <w:rFonts w:hint="eastAsia" w:cs="Times New Roman"/>
                <w:color w:val="auto"/>
                <w:kern w:val="0"/>
                <w:szCs w:val="24"/>
                <w:highlight w:val="none"/>
                <w:lang w:val="en-US" w:eastAsia="zh-CN"/>
              </w:rPr>
              <w:t>3000</w:t>
            </w:r>
            <w:r>
              <w:rPr>
                <w:rFonts w:hint="default" w:ascii="Times New Roman" w:hAnsi="Times New Roman" w:eastAsia="宋体" w:cs="Times New Roman"/>
                <w:color w:val="auto"/>
                <w:kern w:val="0"/>
                <w:szCs w:val="24"/>
                <w:highlight w:val="none"/>
                <w:lang w:val="en-US" w:eastAsia="zh-CN"/>
              </w:rPr>
              <w:t>m</w:t>
            </w:r>
            <w:r>
              <w:rPr>
                <w:rFonts w:hint="default" w:ascii="Times New Roman" w:hAnsi="Times New Roman" w:eastAsia="宋体" w:cs="Times New Roman"/>
                <w:color w:val="auto"/>
                <w:kern w:val="0"/>
                <w:szCs w:val="24"/>
                <w:highlight w:val="none"/>
                <w:vertAlign w:val="superscript"/>
                <w:lang w:val="en-US" w:eastAsia="zh-CN"/>
              </w:rPr>
              <w:t>2</w:t>
            </w:r>
            <w:r>
              <w:rPr>
                <w:rFonts w:hint="default" w:ascii="Times New Roman" w:hAnsi="Times New Roman" w:eastAsia="宋体" w:cs="Times New Roman"/>
                <w:color w:val="auto"/>
                <w:kern w:val="0"/>
                <w:szCs w:val="24"/>
                <w:highlight w:val="none"/>
                <w:lang w:val="en-US" w:eastAsia="zh-CN"/>
              </w:rPr>
              <w:t>，</w:t>
            </w:r>
            <w:r>
              <w:rPr>
                <w:color w:val="auto"/>
              </w:rPr>
              <w:t>根据《云南省地方标准</w:t>
            </w:r>
            <w:r>
              <w:rPr>
                <w:rFonts w:hint="eastAsia"/>
                <w:color w:val="auto"/>
              </w:rPr>
              <w:t xml:space="preserve"> </w:t>
            </w:r>
            <w:r>
              <w:rPr>
                <w:color w:val="auto"/>
              </w:rPr>
              <w:t>用水定额》（DB53/T168-20</w:t>
            </w:r>
            <w:r>
              <w:rPr>
                <w:rFonts w:hint="eastAsia"/>
                <w:color w:val="auto"/>
              </w:rPr>
              <w:t>26</w:t>
            </w:r>
            <w:r>
              <w:rPr>
                <w:color w:val="auto"/>
              </w:rPr>
              <w:t>）</w:t>
            </w:r>
            <w:r>
              <w:rPr>
                <w:rFonts w:hint="eastAsia"/>
                <w:color w:val="auto"/>
              </w:rPr>
              <w:t>中“环境卫生管理，场地浇洒”</w:t>
            </w:r>
            <w:r>
              <w:rPr>
                <w:rFonts w:hint="default" w:ascii="Times New Roman" w:hAnsi="Times New Roman" w:eastAsia="宋体" w:cs="Times New Roman"/>
                <w:color w:val="auto"/>
                <w:kern w:val="0"/>
                <w:szCs w:val="24"/>
                <w:highlight w:val="none"/>
                <w:lang w:val="en-US" w:eastAsia="zh-CN"/>
              </w:rPr>
              <w:t>，洒水量按照2.0L/m²·次。按300天工作日中非雨天</w:t>
            </w:r>
            <w:r>
              <w:rPr>
                <w:rFonts w:hint="eastAsia" w:cs="Times New Roman"/>
                <w:color w:val="auto"/>
                <w:kern w:val="0"/>
                <w:szCs w:val="24"/>
                <w:highlight w:val="none"/>
                <w:lang w:val="en-US" w:eastAsia="zh-CN"/>
              </w:rPr>
              <w:t>178</w:t>
            </w:r>
            <w:r>
              <w:rPr>
                <w:rFonts w:hint="default" w:ascii="Times New Roman" w:hAnsi="Times New Roman" w:eastAsia="宋体" w:cs="Times New Roman"/>
                <w:color w:val="auto"/>
                <w:kern w:val="0"/>
                <w:szCs w:val="24"/>
                <w:highlight w:val="none"/>
                <w:lang w:val="en-US" w:eastAsia="zh-CN"/>
              </w:rPr>
              <w:t>天计算，非雨天洒水降尘 2 次/d 计，则</w:t>
            </w:r>
            <w:r>
              <w:rPr>
                <w:rFonts w:hint="eastAsia" w:cs="Times New Roman"/>
                <w:color w:val="auto"/>
                <w:kern w:val="0"/>
                <w:szCs w:val="24"/>
                <w:highlight w:val="none"/>
                <w:lang w:val="en-US" w:eastAsia="zh-CN"/>
              </w:rPr>
              <w:t>临时表土堆场</w:t>
            </w:r>
            <w:r>
              <w:rPr>
                <w:rFonts w:hint="default" w:ascii="Times New Roman" w:hAnsi="Times New Roman" w:eastAsia="宋体" w:cs="Times New Roman"/>
                <w:color w:val="auto"/>
                <w:kern w:val="0"/>
                <w:szCs w:val="24"/>
                <w:highlight w:val="none"/>
                <w:lang w:val="en-US" w:eastAsia="zh-CN"/>
              </w:rPr>
              <w:t>洒水降尘的用水量</w:t>
            </w:r>
            <w:r>
              <w:rPr>
                <w:rFonts w:hint="eastAsia" w:cs="Times New Roman"/>
                <w:color w:val="auto"/>
                <w:kern w:val="0"/>
                <w:szCs w:val="24"/>
                <w:highlight w:val="none"/>
                <w:lang w:val="en-US" w:eastAsia="zh-CN"/>
              </w:rPr>
              <w:t>12</w:t>
            </w:r>
            <w:r>
              <w:rPr>
                <w:rFonts w:hint="default" w:ascii="Times New Roman" w:hAnsi="Times New Roman" w:eastAsia="宋体" w:cs="Times New Roman"/>
                <w:color w:val="auto"/>
                <w:kern w:val="0"/>
                <w:szCs w:val="24"/>
                <w:highlight w:val="none"/>
                <w:lang w:val="en-US" w:eastAsia="zh-CN"/>
              </w:rPr>
              <w:t>m</w:t>
            </w:r>
            <w:r>
              <w:rPr>
                <w:rFonts w:hint="default" w:ascii="Times New Roman" w:hAnsi="Times New Roman" w:eastAsia="宋体" w:cs="Times New Roman"/>
                <w:color w:val="auto"/>
                <w:kern w:val="0"/>
                <w:szCs w:val="24"/>
                <w:highlight w:val="none"/>
                <w:vertAlign w:val="superscript"/>
                <w:lang w:val="en-US" w:eastAsia="zh-CN"/>
              </w:rPr>
              <w:t>3</w:t>
            </w:r>
            <w:r>
              <w:rPr>
                <w:rFonts w:hint="default" w:ascii="Times New Roman" w:hAnsi="Times New Roman" w:eastAsia="宋体" w:cs="Times New Roman"/>
                <w:color w:val="auto"/>
                <w:kern w:val="0"/>
                <w:szCs w:val="24"/>
                <w:highlight w:val="none"/>
                <w:lang w:val="en-US" w:eastAsia="zh-CN"/>
              </w:rPr>
              <w:t>/d、</w:t>
            </w:r>
            <w:r>
              <w:rPr>
                <w:rFonts w:hint="eastAsia" w:cs="Times New Roman"/>
                <w:color w:val="auto"/>
                <w:kern w:val="0"/>
                <w:szCs w:val="24"/>
                <w:highlight w:val="none"/>
                <w:lang w:val="en-US" w:eastAsia="zh-CN"/>
              </w:rPr>
              <w:t>2136</w:t>
            </w:r>
            <w:r>
              <w:rPr>
                <w:rFonts w:hint="default" w:ascii="Times New Roman" w:hAnsi="Times New Roman" w:eastAsia="宋体" w:cs="Times New Roman"/>
                <w:color w:val="auto"/>
                <w:kern w:val="0"/>
                <w:szCs w:val="24"/>
                <w:highlight w:val="none"/>
                <w:lang w:val="en-US" w:eastAsia="zh-CN"/>
              </w:rPr>
              <w:t>m</w:t>
            </w:r>
            <w:r>
              <w:rPr>
                <w:rFonts w:hint="default" w:ascii="Times New Roman" w:hAnsi="Times New Roman" w:eastAsia="宋体" w:cs="Times New Roman"/>
                <w:color w:val="auto"/>
                <w:kern w:val="0"/>
                <w:szCs w:val="24"/>
                <w:highlight w:val="none"/>
                <w:vertAlign w:val="superscript"/>
                <w:lang w:val="en-US" w:eastAsia="zh-CN"/>
              </w:rPr>
              <w:t>3</w:t>
            </w:r>
            <w:r>
              <w:rPr>
                <w:rFonts w:hint="default" w:ascii="Times New Roman" w:hAnsi="Times New Roman" w:eastAsia="宋体" w:cs="Times New Roman"/>
                <w:color w:val="auto"/>
                <w:kern w:val="0"/>
                <w:szCs w:val="24"/>
                <w:highlight w:val="none"/>
                <w:lang w:val="en-US" w:eastAsia="zh-CN"/>
              </w:rPr>
              <w:t>/a，被地表吸收或蒸发，没有废水外排。</w:t>
            </w:r>
          </w:p>
          <w:p w14:paraId="60F32D22">
            <w:pPr>
              <w:adjustRightInd w:val="0"/>
              <w:ind w:firstLine="480"/>
              <w:rPr>
                <w:rFonts w:hint="default" w:ascii="Times New Roman" w:hAnsi="Times New Roman" w:eastAsia="宋体" w:cs="Times New Roman"/>
                <w:color w:val="auto"/>
                <w:kern w:val="0"/>
                <w:szCs w:val="24"/>
                <w:highlight w:val="none"/>
                <w:lang w:val="en-US" w:eastAsia="zh-CN"/>
              </w:rPr>
            </w:pPr>
            <w:r>
              <w:rPr>
                <w:rFonts w:hint="default" w:ascii="Times New Roman" w:hAnsi="Times New Roman" w:eastAsia="宋体" w:cs="Times New Roman"/>
                <w:color w:val="auto"/>
                <w:kern w:val="0"/>
                <w:szCs w:val="24"/>
                <w:highlight w:val="none"/>
                <w:lang w:val="en-US" w:eastAsia="zh-CN"/>
              </w:rPr>
              <w:t xml:space="preserve">综上，项目抑尘用水 </w:t>
            </w:r>
            <w:r>
              <w:rPr>
                <w:rFonts w:hint="eastAsia" w:cs="Times New Roman"/>
                <w:color w:val="auto"/>
                <w:kern w:val="0"/>
                <w:szCs w:val="24"/>
                <w:highlight w:val="none"/>
                <w:lang w:val="en-US" w:eastAsia="zh-CN"/>
              </w:rPr>
              <w:t>239.3</w:t>
            </w:r>
            <w:r>
              <w:rPr>
                <w:rFonts w:hint="default" w:ascii="Times New Roman" w:hAnsi="Times New Roman" w:eastAsia="宋体" w:cs="Times New Roman"/>
                <w:color w:val="auto"/>
                <w:kern w:val="0"/>
                <w:szCs w:val="24"/>
                <w:highlight w:val="none"/>
                <w:lang w:val="en-US" w:eastAsia="zh-CN"/>
              </w:rPr>
              <w:t>m</w:t>
            </w:r>
            <w:r>
              <w:rPr>
                <w:rFonts w:hint="default" w:ascii="Times New Roman" w:hAnsi="Times New Roman" w:eastAsia="宋体" w:cs="Times New Roman"/>
                <w:color w:val="auto"/>
                <w:kern w:val="0"/>
                <w:szCs w:val="24"/>
                <w:highlight w:val="none"/>
                <w:vertAlign w:val="superscript"/>
                <w:lang w:val="en-US" w:eastAsia="zh-CN"/>
              </w:rPr>
              <w:t>3</w:t>
            </w:r>
            <w:r>
              <w:rPr>
                <w:rFonts w:hint="default" w:ascii="Times New Roman" w:hAnsi="Times New Roman" w:eastAsia="宋体" w:cs="Times New Roman"/>
                <w:color w:val="auto"/>
                <w:kern w:val="0"/>
                <w:szCs w:val="24"/>
                <w:highlight w:val="none"/>
                <w:lang w:val="en-US" w:eastAsia="zh-CN"/>
              </w:rPr>
              <w:t>/d、</w:t>
            </w:r>
            <w:r>
              <w:rPr>
                <w:rFonts w:hint="eastAsia" w:cs="Times New Roman"/>
                <w:color w:val="auto"/>
                <w:kern w:val="0"/>
                <w:szCs w:val="24"/>
                <w:highlight w:val="none"/>
                <w:lang w:val="en-US" w:eastAsia="zh-CN"/>
              </w:rPr>
              <w:t>48883.06</w:t>
            </w:r>
            <w:r>
              <w:rPr>
                <w:rFonts w:hint="default" w:ascii="Times New Roman" w:hAnsi="Times New Roman" w:eastAsia="宋体" w:cs="Times New Roman"/>
                <w:color w:val="auto"/>
                <w:kern w:val="0"/>
                <w:szCs w:val="24"/>
                <w:highlight w:val="none"/>
                <w:lang w:val="en-US" w:eastAsia="zh-CN"/>
              </w:rPr>
              <w:t>m</w:t>
            </w:r>
            <w:r>
              <w:rPr>
                <w:rFonts w:hint="default" w:ascii="Times New Roman" w:hAnsi="Times New Roman" w:eastAsia="宋体" w:cs="Times New Roman"/>
                <w:color w:val="auto"/>
                <w:kern w:val="0"/>
                <w:szCs w:val="24"/>
                <w:highlight w:val="none"/>
                <w:vertAlign w:val="superscript"/>
                <w:lang w:val="en-US" w:eastAsia="zh-CN"/>
              </w:rPr>
              <w:t>3</w:t>
            </w:r>
            <w:r>
              <w:rPr>
                <w:rFonts w:hint="default" w:ascii="Times New Roman" w:hAnsi="Times New Roman" w:eastAsia="宋体" w:cs="Times New Roman"/>
                <w:color w:val="auto"/>
                <w:kern w:val="0"/>
                <w:szCs w:val="24"/>
                <w:highlight w:val="none"/>
                <w:lang w:val="en-US" w:eastAsia="zh-CN"/>
              </w:rPr>
              <w:t>/a。</w:t>
            </w:r>
          </w:p>
          <w:p w14:paraId="345EA8E2">
            <w:pPr>
              <w:autoSpaceDE w:val="0"/>
              <w:autoSpaceDN w:val="0"/>
              <w:adjustRightInd w:val="0"/>
              <w:spacing w:line="360" w:lineRule="auto"/>
              <w:ind w:firstLine="480"/>
              <w:rPr>
                <w:rFonts w:hint="default" w:ascii="Times New Roman" w:hAnsi="Times New Roman" w:cs="Times New Roman"/>
                <w:color w:val="auto"/>
                <w:highlight w:val="none"/>
              </w:rPr>
            </w:pPr>
            <w:r>
              <w:rPr>
                <w:rFonts w:hint="default" w:ascii="Times New Roman" w:hAnsi="Times New Roman" w:cs="Times New Roman"/>
                <w:b/>
                <w:bCs/>
                <w:color w:val="auto"/>
                <w:highlight w:val="none"/>
                <w:lang w:val="en-US" w:eastAsia="zh-CN"/>
              </w:rPr>
              <w:t>B、</w:t>
            </w:r>
            <w:r>
              <w:rPr>
                <w:rFonts w:hint="default" w:ascii="Times New Roman" w:hAnsi="Times New Roman" w:cs="Times New Roman"/>
                <w:b/>
                <w:bCs/>
                <w:color w:val="auto"/>
                <w:highlight w:val="none"/>
              </w:rPr>
              <w:t>生活用水</w:t>
            </w:r>
          </w:p>
          <w:p w14:paraId="55EC9E2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bCs/>
                <w:snapToGrid w:val="0"/>
                <w:color w:val="auto"/>
                <w:kern w:val="0"/>
                <w:sz w:val="24"/>
                <w:highlight w:val="none"/>
              </w:rPr>
              <w:t>项目职工定员</w:t>
            </w:r>
            <w:r>
              <w:rPr>
                <w:rFonts w:hint="default" w:ascii="Times New Roman" w:hAnsi="Times New Roman" w:cs="Times New Roman"/>
                <w:bCs/>
                <w:snapToGrid w:val="0"/>
                <w:color w:val="auto"/>
                <w:kern w:val="0"/>
                <w:sz w:val="24"/>
                <w:highlight w:val="none"/>
                <w:lang w:val="en-US" w:eastAsia="zh-CN"/>
              </w:rPr>
              <w:t>12</w:t>
            </w:r>
            <w:r>
              <w:rPr>
                <w:rFonts w:hint="default" w:ascii="Times New Roman" w:hAnsi="Times New Roman" w:cs="Times New Roman"/>
                <w:bCs/>
                <w:snapToGrid w:val="0"/>
                <w:color w:val="auto"/>
                <w:kern w:val="0"/>
                <w:sz w:val="24"/>
                <w:highlight w:val="none"/>
              </w:rPr>
              <w:t>人，单班8小时工作制，在厂区内食宿，</w:t>
            </w:r>
            <w:r>
              <w:rPr>
                <w:rFonts w:hint="default" w:ascii="Times New Roman" w:hAnsi="Times New Roman" w:cs="Times New Roman"/>
                <w:color w:val="auto"/>
                <w:spacing w:val="2"/>
                <w:sz w:val="24"/>
                <w:szCs w:val="24"/>
                <w:highlight w:val="none"/>
              </w:rPr>
              <w:t>根据《云南省地方标准</w:t>
            </w:r>
            <w:r>
              <w:rPr>
                <w:rFonts w:hint="default" w:ascii="Times New Roman" w:hAnsi="Times New Roman" w:cs="Times New Roman"/>
                <w:color w:val="auto"/>
                <w:spacing w:val="2"/>
                <w:sz w:val="24"/>
                <w:szCs w:val="24"/>
                <w:highlight w:val="none"/>
                <w:lang w:val="en-US" w:eastAsia="zh-CN"/>
              </w:rPr>
              <w:t xml:space="preserve"> </w:t>
            </w:r>
            <w:r>
              <w:rPr>
                <w:rFonts w:hint="default" w:ascii="Times New Roman" w:hAnsi="Times New Roman" w:cs="Times New Roman"/>
                <w:color w:val="auto"/>
                <w:spacing w:val="2"/>
                <w:sz w:val="24"/>
                <w:szCs w:val="24"/>
                <w:highlight w:val="none"/>
              </w:rPr>
              <w:t>用水定额》(</w:t>
            </w:r>
            <w:r>
              <w:rPr>
                <w:rFonts w:hint="default" w:ascii="Times New Roman" w:hAnsi="Times New Roman" w:cs="Times New Roman"/>
                <w:color w:val="auto"/>
                <w:sz w:val="24"/>
                <w:szCs w:val="24"/>
                <w:highlight w:val="none"/>
              </w:rPr>
              <w:t>DB</w:t>
            </w:r>
            <w:r>
              <w:rPr>
                <w:rFonts w:hint="default" w:ascii="Times New Roman" w:hAnsi="Times New Roman" w:cs="Times New Roman"/>
                <w:color w:val="auto"/>
                <w:spacing w:val="2"/>
                <w:sz w:val="24"/>
                <w:szCs w:val="24"/>
                <w:highlight w:val="none"/>
              </w:rPr>
              <w:t>53/T168-20</w:t>
            </w:r>
            <w:r>
              <w:rPr>
                <w:rFonts w:hint="default" w:ascii="Times New Roman" w:hAnsi="Times New Roman" w:cs="Times New Roman"/>
                <w:color w:val="auto"/>
                <w:spacing w:val="2"/>
                <w:sz w:val="24"/>
                <w:szCs w:val="24"/>
                <w:highlight w:val="none"/>
                <w:lang w:val="en-US" w:eastAsia="zh-CN"/>
              </w:rPr>
              <w:t>26</w:t>
            </w:r>
            <w:r>
              <w:rPr>
                <w:rFonts w:hint="default" w:ascii="Times New Roman" w:hAnsi="Times New Roman" w:cs="Times New Roman"/>
                <w:color w:val="auto"/>
                <w:spacing w:val="2"/>
                <w:sz w:val="24"/>
                <w:szCs w:val="24"/>
                <w:highlight w:val="none"/>
              </w:rPr>
              <w:t>)</w:t>
            </w:r>
            <w:r>
              <w:rPr>
                <w:rFonts w:hint="default" w:ascii="Times New Roman" w:hAnsi="Times New Roman" w:cs="Times New Roman"/>
                <w:color w:val="auto"/>
                <w:spacing w:val="2"/>
                <w:sz w:val="24"/>
                <w:szCs w:val="24"/>
                <w:highlight w:val="none"/>
                <w:lang w:eastAsia="zh-CN"/>
              </w:rPr>
              <w:t>，</w:t>
            </w:r>
            <w:r>
              <w:rPr>
                <w:rFonts w:hint="default" w:ascii="Times New Roman" w:hAnsi="Times New Roman" w:cs="Times New Roman"/>
                <w:color w:val="auto"/>
                <w:sz w:val="24"/>
                <w:szCs w:val="24"/>
                <w:highlight w:val="none"/>
              </w:rPr>
              <w:t>在项目内住宿人员用水按100L/人.d计</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包含食堂</w:t>
            </w:r>
            <w:r>
              <w:rPr>
                <w:rFonts w:hint="default" w:ascii="Times New Roman" w:hAnsi="Times New Roman" w:cs="Times New Roman"/>
                <w:color w:val="auto"/>
                <w:sz w:val="24"/>
                <w:szCs w:val="24"/>
                <w:highlight w:val="none"/>
                <w:lang w:val="en-US" w:eastAsia="zh-CN"/>
              </w:rPr>
              <w:t>用</w:t>
            </w:r>
            <w:r>
              <w:rPr>
                <w:rFonts w:hint="default" w:ascii="Times New Roman" w:hAnsi="Times New Roman" w:eastAsia="宋体" w:cs="Times New Roman"/>
                <w:color w:val="auto"/>
                <w:sz w:val="24"/>
                <w:szCs w:val="24"/>
                <w:highlight w:val="none"/>
              </w:rPr>
              <w:t>水30L/(人</w:t>
            </w:r>
            <w:r>
              <w:rPr>
                <w:rFonts w:hint="default" w:ascii="Times New Roman" w:hAnsi="Times New Roman" w:eastAsia="宋体" w:cs="Times New Roman"/>
                <w:color w:val="auto"/>
                <w:spacing w:val="-4"/>
                <w:sz w:val="24"/>
                <w:szCs w:val="24"/>
                <w:highlight w:val="none"/>
              </w:rPr>
              <w:t>•d</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pacing w:val="3"/>
                <w:sz w:val="24"/>
                <w:szCs w:val="24"/>
                <w:highlight w:val="none"/>
              </w:rPr>
              <w:t>工作时间以300天</w:t>
            </w:r>
            <w:r>
              <w:rPr>
                <w:rFonts w:hint="default" w:ascii="Times New Roman" w:hAnsi="Times New Roman" w:cs="Times New Roman"/>
                <w:color w:val="auto"/>
                <w:sz w:val="24"/>
                <w:szCs w:val="24"/>
                <w:highlight w:val="none"/>
              </w:rPr>
              <w:t>计，</w:t>
            </w:r>
            <w:r>
              <w:rPr>
                <w:rFonts w:hint="default" w:ascii="Times New Roman" w:hAnsi="Times New Roman" w:cs="Times New Roman"/>
                <w:color w:val="auto"/>
                <w:spacing w:val="3"/>
                <w:sz w:val="24"/>
                <w:szCs w:val="24"/>
                <w:highlight w:val="none"/>
              </w:rPr>
              <w:t>则项目员工生活用水量为</w:t>
            </w:r>
            <w:r>
              <w:rPr>
                <w:rFonts w:hint="default" w:ascii="Times New Roman" w:hAnsi="Times New Roman" w:cs="Times New Roman"/>
                <w:color w:val="auto"/>
                <w:spacing w:val="3"/>
                <w:sz w:val="24"/>
                <w:szCs w:val="24"/>
                <w:highlight w:val="none"/>
                <w:lang w:val="en-US" w:eastAsia="zh-CN"/>
              </w:rPr>
              <w:t>1.2</w:t>
            </w:r>
            <w:r>
              <w:rPr>
                <w:rFonts w:hint="default" w:ascii="Times New Roman" w:hAnsi="Times New Roman" w:cs="Times New Roman"/>
                <w:color w:val="auto"/>
                <w:spacing w:val="3"/>
                <w:sz w:val="24"/>
                <w:szCs w:val="24"/>
                <w:highlight w:val="none"/>
              </w:rPr>
              <w:t>m³/d</w:t>
            </w:r>
            <w:r>
              <w:rPr>
                <w:rFonts w:hint="default" w:ascii="Times New Roman" w:hAnsi="Times New Roman" w:cs="Times New Roman"/>
                <w:color w:val="auto"/>
                <w:spacing w:val="3"/>
                <w:sz w:val="24"/>
                <w:szCs w:val="24"/>
                <w:highlight w:val="none"/>
                <w:lang w:eastAsia="zh-CN"/>
              </w:rPr>
              <w:t>，</w:t>
            </w:r>
            <w:r>
              <w:rPr>
                <w:rFonts w:hint="default" w:ascii="Times New Roman" w:hAnsi="Times New Roman" w:cs="Times New Roman"/>
                <w:color w:val="auto"/>
                <w:sz w:val="24"/>
                <w:szCs w:val="24"/>
                <w:highlight w:val="none"/>
                <w:lang w:val="en-US" w:eastAsia="zh-CN"/>
              </w:rPr>
              <w:t>360</w:t>
            </w:r>
            <w:r>
              <w:rPr>
                <w:rFonts w:hint="default" w:ascii="Times New Roman" w:hAnsi="Times New Roman" w:cs="Times New Roman"/>
                <w:color w:val="auto"/>
                <w:spacing w:val="3"/>
                <w:sz w:val="24"/>
                <w:szCs w:val="24"/>
                <w:highlight w:val="none"/>
              </w:rPr>
              <w:t>m³</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eastAsia="宋体" w:cs="Times New Roman"/>
                <w:color w:val="auto"/>
                <w:spacing w:val="-4"/>
                <w:sz w:val="24"/>
                <w:szCs w:val="24"/>
                <w:highlight w:val="none"/>
              </w:rPr>
              <w:t>其中食堂用水为</w:t>
            </w:r>
            <w:r>
              <w:rPr>
                <w:rFonts w:hint="default" w:ascii="Times New Roman" w:hAnsi="Times New Roman" w:cs="Times New Roman"/>
                <w:color w:val="auto"/>
                <w:spacing w:val="-4"/>
                <w:sz w:val="24"/>
                <w:szCs w:val="24"/>
                <w:highlight w:val="none"/>
                <w:lang w:val="en-US" w:eastAsia="zh-CN"/>
              </w:rPr>
              <w:t>0.36</w:t>
            </w:r>
            <w:r>
              <w:rPr>
                <w:rFonts w:hint="default" w:ascii="Times New Roman" w:hAnsi="Times New Roman" w:eastAsia="宋体" w:cs="Times New Roman"/>
                <w:color w:val="auto"/>
                <w:spacing w:val="-1"/>
                <w:sz w:val="24"/>
                <w:szCs w:val="24"/>
                <w:highlight w:val="none"/>
                <w:lang w:val="en-US" w:eastAsia="zh-CN"/>
              </w:rPr>
              <w:t>m</w:t>
            </w:r>
            <w:r>
              <w:rPr>
                <w:rFonts w:hint="default" w:ascii="Times New Roman" w:hAnsi="Times New Roman" w:eastAsia="宋体" w:cs="Times New Roman"/>
                <w:color w:val="auto"/>
                <w:spacing w:val="-1"/>
                <w:sz w:val="24"/>
                <w:szCs w:val="24"/>
                <w:highlight w:val="none"/>
                <w:vertAlign w:val="superscript"/>
                <w:lang w:val="en-US" w:eastAsia="zh-CN"/>
              </w:rPr>
              <w:t>3</w:t>
            </w:r>
            <w:r>
              <w:rPr>
                <w:rFonts w:hint="default" w:ascii="Times New Roman" w:hAnsi="Times New Roman" w:eastAsia="宋体" w:cs="Times New Roman"/>
                <w:color w:val="auto"/>
                <w:spacing w:val="-4"/>
                <w:sz w:val="24"/>
                <w:szCs w:val="24"/>
                <w:highlight w:val="none"/>
              </w:rPr>
              <w:t>/d</w:t>
            </w:r>
            <w:r>
              <w:rPr>
                <w:rFonts w:hint="default" w:ascii="Times New Roman" w:hAnsi="Times New Roman" w:eastAsia="宋体" w:cs="Times New Roman"/>
                <w:color w:val="auto"/>
                <w:spacing w:val="-4"/>
                <w:sz w:val="24"/>
                <w:szCs w:val="24"/>
                <w:highlight w:val="none"/>
                <w:lang w:eastAsia="zh-CN"/>
              </w:rPr>
              <w:t>、</w:t>
            </w:r>
            <w:r>
              <w:rPr>
                <w:rFonts w:hint="default" w:ascii="Times New Roman" w:hAnsi="Times New Roman" w:cs="Times New Roman"/>
                <w:color w:val="auto"/>
                <w:spacing w:val="-4"/>
                <w:sz w:val="24"/>
                <w:szCs w:val="24"/>
                <w:highlight w:val="none"/>
                <w:lang w:val="en-US" w:eastAsia="zh-CN"/>
              </w:rPr>
              <w:t>108</w:t>
            </w:r>
            <w:r>
              <w:rPr>
                <w:rFonts w:hint="default" w:ascii="Times New Roman" w:hAnsi="Times New Roman" w:eastAsia="宋体" w:cs="Times New Roman"/>
                <w:color w:val="auto"/>
                <w:spacing w:val="-1"/>
                <w:sz w:val="24"/>
                <w:szCs w:val="24"/>
                <w:highlight w:val="none"/>
                <w:lang w:val="en-US" w:eastAsia="zh-CN"/>
              </w:rPr>
              <w:t>m</w:t>
            </w:r>
            <w:r>
              <w:rPr>
                <w:rFonts w:hint="default" w:ascii="Times New Roman" w:hAnsi="Times New Roman" w:eastAsia="宋体" w:cs="Times New Roman"/>
                <w:color w:val="auto"/>
                <w:spacing w:val="-1"/>
                <w:sz w:val="24"/>
                <w:szCs w:val="24"/>
                <w:highlight w:val="none"/>
                <w:vertAlign w:val="superscript"/>
                <w:lang w:val="en-US" w:eastAsia="zh-CN"/>
              </w:rPr>
              <w:t>3</w:t>
            </w:r>
            <w:r>
              <w:rPr>
                <w:rFonts w:hint="default" w:ascii="Times New Roman" w:hAnsi="Times New Roman" w:eastAsia="宋体" w:cs="Times New Roman"/>
                <w:color w:val="auto"/>
                <w:spacing w:val="-4"/>
                <w:sz w:val="24"/>
                <w:szCs w:val="24"/>
                <w:highlight w:val="none"/>
              </w:rPr>
              <w:t>/a</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产污系数按0.8计，则产生</w:t>
            </w:r>
            <w:r>
              <w:rPr>
                <w:rFonts w:hint="default" w:ascii="Times New Roman" w:hAnsi="Times New Roman" w:cs="Times New Roman"/>
                <w:color w:val="auto"/>
                <w:sz w:val="24"/>
                <w:szCs w:val="24"/>
                <w:highlight w:val="none"/>
                <w:lang w:val="en-US" w:eastAsia="zh-CN"/>
              </w:rPr>
              <w:t>生活</w:t>
            </w:r>
            <w:r>
              <w:rPr>
                <w:rFonts w:hint="default" w:ascii="Times New Roman" w:hAnsi="Times New Roman" w:cs="Times New Roman"/>
                <w:color w:val="auto"/>
                <w:sz w:val="24"/>
                <w:szCs w:val="24"/>
                <w:highlight w:val="none"/>
              </w:rPr>
              <w:t>污水量为</w:t>
            </w:r>
            <w:r>
              <w:rPr>
                <w:rFonts w:hint="default" w:ascii="Times New Roman" w:hAnsi="Times New Roman" w:cs="Times New Roman"/>
                <w:color w:val="auto"/>
                <w:sz w:val="24"/>
                <w:szCs w:val="24"/>
                <w:highlight w:val="none"/>
                <w:lang w:val="en-US" w:eastAsia="zh-CN"/>
              </w:rPr>
              <w:t>0.96</w:t>
            </w:r>
            <w:r>
              <w:rPr>
                <w:rFonts w:hint="default" w:ascii="Times New Roman" w:hAnsi="Times New Roman" w:cs="Times New Roman"/>
                <w:color w:val="auto"/>
                <w:spacing w:val="3"/>
                <w:sz w:val="24"/>
                <w:szCs w:val="24"/>
                <w:highlight w:val="none"/>
              </w:rPr>
              <w:t>m³</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pacing w:val="-1"/>
                <w:sz w:val="24"/>
                <w:szCs w:val="24"/>
                <w:highlight w:val="none"/>
              </w:rPr>
              <w:t>d</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szCs w:val="24"/>
                <w:highlight w:val="none"/>
                <w:lang w:val="en-US" w:eastAsia="zh-CN"/>
              </w:rPr>
              <w:t>288</w:t>
            </w:r>
            <w:r>
              <w:rPr>
                <w:rFonts w:hint="default" w:ascii="Times New Roman" w:hAnsi="Times New Roman" w:cs="Times New Roman"/>
                <w:color w:val="auto"/>
                <w:spacing w:val="3"/>
                <w:sz w:val="24"/>
                <w:szCs w:val="24"/>
                <w:highlight w:val="none"/>
              </w:rPr>
              <w:t>m³</w:t>
            </w:r>
            <w:r>
              <w:rPr>
                <w:rFonts w:hint="default" w:ascii="Times New Roman" w:hAnsi="Times New Roman" w:cs="Times New Roman"/>
                <w:color w:val="auto"/>
                <w:sz w:val="24"/>
                <w:szCs w:val="24"/>
                <w:highlight w:val="none"/>
              </w:rPr>
              <w:t>/a</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eastAsia="宋体" w:cs="Times New Roman"/>
                <w:color w:val="auto"/>
                <w:spacing w:val="-4"/>
                <w:sz w:val="24"/>
                <w:szCs w:val="24"/>
                <w:highlight w:val="none"/>
              </w:rPr>
              <w:t>其中食堂</w:t>
            </w:r>
            <w:r>
              <w:rPr>
                <w:rFonts w:hint="default" w:ascii="Times New Roman" w:hAnsi="Times New Roman" w:eastAsia="宋体" w:cs="Times New Roman"/>
                <w:color w:val="auto"/>
                <w:spacing w:val="-4"/>
                <w:sz w:val="24"/>
                <w:szCs w:val="24"/>
                <w:highlight w:val="none"/>
                <w:lang w:val="en-US" w:eastAsia="zh-CN"/>
              </w:rPr>
              <w:t>废水</w:t>
            </w:r>
            <w:r>
              <w:rPr>
                <w:rFonts w:hint="default" w:ascii="Times New Roman" w:hAnsi="Times New Roman" w:eastAsia="宋体" w:cs="Times New Roman"/>
                <w:color w:val="auto"/>
                <w:spacing w:val="-4"/>
                <w:sz w:val="24"/>
                <w:szCs w:val="24"/>
                <w:highlight w:val="none"/>
              </w:rPr>
              <w:t>为</w:t>
            </w:r>
            <w:r>
              <w:rPr>
                <w:rFonts w:hint="default" w:ascii="Times New Roman" w:hAnsi="Times New Roman" w:cs="Times New Roman"/>
                <w:color w:val="auto"/>
                <w:spacing w:val="-4"/>
                <w:sz w:val="24"/>
                <w:szCs w:val="24"/>
                <w:highlight w:val="none"/>
                <w:lang w:val="en-US" w:eastAsia="zh-CN"/>
              </w:rPr>
              <w:t>0.288</w:t>
            </w:r>
            <w:r>
              <w:rPr>
                <w:rFonts w:hint="default" w:ascii="Times New Roman" w:hAnsi="Times New Roman" w:eastAsia="宋体" w:cs="Times New Roman"/>
                <w:color w:val="auto"/>
                <w:spacing w:val="-1"/>
                <w:sz w:val="24"/>
                <w:szCs w:val="24"/>
                <w:highlight w:val="none"/>
                <w:lang w:val="en-US" w:eastAsia="zh-CN"/>
              </w:rPr>
              <w:t>m</w:t>
            </w:r>
            <w:r>
              <w:rPr>
                <w:rFonts w:hint="default" w:ascii="Times New Roman" w:hAnsi="Times New Roman" w:eastAsia="宋体" w:cs="Times New Roman"/>
                <w:color w:val="auto"/>
                <w:spacing w:val="-1"/>
                <w:sz w:val="24"/>
                <w:szCs w:val="24"/>
                <w:highlight w:val="none"/>
                <w:vertAlign w:val="superscript"/>
                <w:lang w:val="en-US" w:eastAsia="zh-CN"/>
              </w:rPr>
              <w:t>3</w:t>
            </w:r>
            <w:r>
              <w:rPr>
                <w:rFonts w:hint="default" w:ascii="Times New Roman" w:hAnsi="Times New Roman" w:eastAsia="宋体" w:cs="Times New Roman"/>
                <w:color w:val="auto"/>
                <w:spacing w:val="-4"/>
                <w:sz w:val="24"/>
                <w:szCs w:val="24"/>
                <w:highlight w:val="none"/>
              </w:rPr>
              <w:t>/d</w:t>
            </w:r>
            <w:r>
              <w:rPr>
                <w:rFonts w:hint="default" w:ascii="Times New Roman" w:hAnsi="Times New Roman" w:eastAsia="宋体" w:cs="Times New Roman"/>
                <w:color w:val="auto"/>
                <w:spacing w:val="-4"/>
                <w:sz w:val="24"/>
                <w:szCs w:val="24"/>
                <w:highlight w:val="none"/>
                <w:lang w:eastAsia="zh-CN"/>
              </w:rPr>
              <w:t>、</w:t>
            </w:r>
            <w:r>
              <w:rPr>
                <w:rFonts w:hint="default" w:ascii="Times New Roman" w:hAnsi="Times New Roman" w:cs="Times New Roman"/>
                <w:color w:val="auto"/>
                <w:spacing w:val="-4"/>
                <w:sz w:val="24"/>
                <w:szCs w:val="24"/>
                <w:highlight w:val="none"/>
                <w:lang w:val="en-US" w:eastAsia="zh-CN"/>
              </w:rPr>
              <w:t>86.4</w:t>
            </w:r>
            <w:r>
              <w:rPr>
                <w:rFonts w:hint="default" w:ascii="Times New Roman" w:hAnsi="Times New Roman" w:eastAsia="宋体" w:cs="Times New Roman"/>
                <w:color w:val="auto"/>
                <w:spacing w:val="-1"/>
                <w:sz w:val="24"/>
                <w:szCs w:val="24"/>
                <w:highlight w:val="none"/>
                <w:lang w:val="en-US" w:eastAsia="zh-CN"/>
              </w:rPr>
              <w:t>m</w:t>
            </w:r>
            <w:r>
              <w:rPr>
                <w:rFonts w:hint="default" w:ascii="Times New Roman" w:hAnsi="Times New Roman" w:eastAsia="宋体" w:cs="Times New Roman"/>
                <w:color w:val="auto"/>
                <w:spacing w:val="-1"/>
                <w:sz w:val="24"/>
                <w:szCs w:val="24"/>
                <w:highlight w:val="none"/>
                <w:vertAlign w:val="superscript"/>
                <w:lang w:val="en-US" w:eastAsia="zh-CN"/>
              </w:rPr>
              <w:t>3</w:t>
            </w:r>
            <w:r>
              <w:rPr>
                <w:rFonts w:hint="default" w:ascii="Times New Roman" w:hAnsi="Times New Roman" w:eastAsia="宋体" w:cs="Times New Roman"/>
                <w:color w:val="auto"/>
                <w:spacing w:val="-4"/>
                <w:sz w:val="24"/>
                <w:szCs w:val="24"/>
                <w:highlight w:val="none"/>
              </w:rPr>
              <w:t>/a</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rPr>
              <w:t>。</w:t>
            </w:r>
            <w:r>
              <w:rPr>
                <w:rFonts w:hint="default" w:ascii="Times New Roman" w:hAnsi="Times New Roman" w:eastAsia="宋体" w:cs="Times New Roman"/>
                <w:color w:val="auto"/>
                <w:spacing w:val="-4"/>
                <w:sz w:val="24"/>
                <w:szCs w:val="24"/>
                <w:highlight w:val="none"/>
                <w:lang w:val="en-US" w:eastAsia="zh-CN"/>
              </w:rPr>
              <w:t>项目产生的食堂废水经隔油池（容积：</w:t>
            </w:r>
            <w:r>
              <w:rPr>
                <w:rFonts w:hint="default" w:ascii="Times New Roman" w:hAnsi="Times New Roman" w:cs="Times New Roman"/>
                <w:color w:val="auto"/>
                <w:spacing w:val="-4"/>
                <w:sz w:val="24"/>
                <w:szCs w:val="24"/>
                <w:highlight w:val="none"/>
                <w:lang w:val="en-US" w:eastAsia="zh-CN"/>
              </w:rPr>
              <w:t>0.5</w:t>
            </w:r>
            <w:r>
              <w:rPr>
                <w:rFonts w:hint="default" w:ascii="Times New Roman" w:hAnsi="Times New Roman" w:eastAsia="宋体" w:cs="Times New Roman"/>
                <w:color w:val="auto"/>
                <w:spacing w:val="-4"/>
                <w:sz w:val="24"/>
                <w:szCs w:val="24"/>
                <w:highlight w:val="none"/>
                <w:lang w:val="en-US" w:eastAsia="zh-CN"/>
              </w:rPr>
              <w:t>m</w:t>
            </w:r>
            <w:r>
              <w:rPr>
                <w:rFonts w:hint="default" w:ascii="Times New Roman" w:hAnsi="Times New Roman" w:eastAsia="宋体" w:cs="Times New Roman"/>
                <w:color w:val="auto"/>
                <w:spacing w:val="-4"/>
                <w:sz w:val="24"/>
                <w:szCs w:val="24"/>
                <w:highlight w:val="none"/>
                <w:vertAlign w:val="superscript"/>
                <w:lang w:val="en-US" w:eastAsia="zh-CN"/>
              </w:rPr>
              <w:t>3</w:t>
            </w:r>
            <w:r>
              <w:rPr>
                <w:rFonts w:hint="default" w:ascii="Times New Roman" w:hAnsi="Times New Roman" w:eastAsia="宋体" w:cs="Times New Roman"/>
                <w:color w:val="auto"/>
                <w:spacing w:val="-4"/>
                <w:sz w:val="24"/>
                <w:szCs w:val="24"/>
                <w:highlight w:val="none"/>
                <w:lang w:val="en-US" w:eastAsia="zh-CN"/>
              </w:rPr>
              <w:t>）预处理后和其他生活污水一并排入</w:t>
            </w:r>
            <w:r>
              <w:rPr>
                <w:rFonts w:hint="default" w:ascii="Times New Roman" w:hAnsi="Times New Roman" w:cs="Times New Roman"/>
                <w:color w:val="auto"/>
                <w:spacing w:val="-4"/>
                <w:sz w:val="24"/>
                <w:szCs w:val="24"/>
                <w:highlight w:val="none"/>
                <w:lang w:val="en-US" w:eastAsia="zh-CN"/>
              </w:rPr>
              <w:t>三格化粪池</w:t>
            </w:r>
            <w:r>
              <w:rPr>
                <w:rFonts w:hint="default" w:ascii="Times New Roman" w:hAnsi="Times New Roman" w:eastAsia="宋体" w:cs="Times New Roman"/>
                <w:color w:val="auto"/>
                <w:spacing w:val="-4"/>
                <w:sz w:val="24"/>
                <w:szCs w:val="24"/>
                <w:highlight w:val="none"/>
                <w:lang w:val="en-US" w:eastAsia="zh-CN"/>
              </w:rPr>
              <w:t>（容积：5m</w:t>
            </w:r>
            <w:r>
              <w:rPr>
                <w:rFonts w:hint="default" w:ascii="Times New Roman" w:hAnsi="Times New Roman" w:eastAsia="宋体" w:cs="Times New Roman"/>
                <w:color w:val="auto"/>
                <w:spacing w:val="-4"/>
                <w:sz w:val="24"/>
                <w:szCs w:val="24"/>
                <w:highlight w:val="none"/>
                <w:vertAlign w:val="superscript"/>
                <w:lang w:val="en-US" w:eastAsia="zh-CN"/>
              </w:rPr>
              <w:t>3</w:t>
            </w:r>
            <w:r>
              <w:rPr>
                <w:rFonts w:hint="default" w:ascii="Times New Roman" w:hAnsi="Times New Roman" w:eastAsia="宋体" w:cs="Times New Roman"/>
                <w:color w:val="auto"/>
                <w:spacing w:val="-4"/>
                <w:sz w:val="24"/>
                <w:szCs w:val="24"/>
                <w:highlight w:val="none"/>
                <w:lang w:val="en-US" w:eastAsia="zh-CN"/>
              </w:rPr>
              <w:t>）处理</w:t>
            </w:r>
            <w:r>
              <w:rPr>
                <w:rFonts w:hint="default" w:ascii="Times New Roman" w:hAnsi="Times New Roman" w:cs="Times New Roman"/>
                <w:color w:val="auto"/>
                <w:spacing w:val="-4"/>
                <w:sz w:val="24"/>
                <w:szCs w:val="24"/>
                <w:highlight w:val="none"/>
                <w:lang w:val="en-US" w:eastAsia="zh-CN"/>
              </w:rPr>
              <w:t>，定期清掏用作农肥</w:t>
            </w:r>
            <w:r>
              <w:rPr>
                <w:rFonts w:hint="default" w:ascii="Times New Roman" w:hAnsi="Times New Roman" w:cs="Times New Roman"/>
                <w:color w:val="auto"/>
                <w:sz w:val="24"/>
                <w:highlight w:val="none"/>
              </w:rPr>
              <w:t>。</w:t>
            </w:r>
          </w:p>
          <w:p w14:paraId="7ACED8D9">
            <w:pPr>
              <w:spacing w:line="360" w:lineRule="auto"/>
              <w:ind w:firstLine="540" w:firstLineChars="225"/>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aps w:val="0"/>
                <w:smallCaps w:val="0"/>
                <w:color w:val="auto"/>
                <w:sz w:val="24"/>
                <w:highlight w:val="none"/>
                <w:lang w:val="en-US" w:eastAsia="zh-CN"/>
              </w:rPr>
              <w:t>根据《排放源统计调查产排污核算方法和系数手册》（2021年6月11日）生活源产排污核算系数手册及《第二次全国生活污染源产排污系数手册（试用版）》表6-6中“</w:t>
            </w:r>
            <w:r>
              <w:rPr>
                <w:rFonts w:hint="default" w:ascii="Times New Roman" w:hAnsi="Times New Roman" w:cs="Times New Roman"/>
                <w:caps w:val="0"/>
                <w:smallCaps w:val="0"/>
                <w:color w:val="auto"/>
                <w:sz w:val="24"/>
                <w:highlight w:val="none"/>
                <w:lang w:val="en-US" w:eastAsia="zh-CN"/>
              </w:rPr>
              <w:t>镇区</w:t>
            </w:r>
            <w:r>
              <w:rPr>
                <w:rFonts w:hint="default" w:ascii="Times New Roman" w:hAnsi="Times New Roman" w:eastAsia="宋体" w:cs="Times New Roman"/>
                <w:caps w:val="0"/>
                <w:smallCaps w:val="0"/>
                <w:color w:val="auto"/>
                <w:sz w:val="24"/>
                <w:highlight w:val="none"/>
                <w:lang w:val="en-US" w:eastAsia="zh-CN"/>
              </w:rPr>
              <w:t>”产污系数平均值得知：生活污水水质浓度为COD325mg/L、BOD</w:t>
            </w:r>
            <w:r>
              <w:rPr>
                <w:rFonts w:hint="default" w:ascii="Times New Roman" w:hAnsi="Times New Roman" w:eastAsia="宋体" w:cs="Times New Roman"/>
                <w:caps w:val="0"/>
                <w:smallCaps w:val="0"/>
                <w:color w:val="auto"/>
                <w:sz w:val="24"/>
                <w:highlight w:val="none"/>
                <w:vertAlign w:val="subscript"/>
                <w:lang w:val="en-US" w:eastAsia="zh-CN"/>
              </w:rPr>
              <w:t>5</w:t>
            </w:r>
            <w:r>
              <w:rPr>
                <w:rFonts w:hint="default" w:ascii="Times New Roman" w:hAnsi="Times New Roman" w:cs="Times New Roman"/>
                <w:caps w:val="0"/>
                <w:smallCaps w:val="0"/>
                <w:color w:val="auto"/>
                <w:sz w:val="24"/>
                <w:highlight w:val="none"/>
                <w:lang w:val="en-US" w:eastAsia="zh-CN"/>
              </w:rPr>
              <w:t>136</w:t>
            </w:r>
            <w:r>
              <w:rPr>
                <w:rFonts w:hint="default" w:ascii="Times New Roman" w:hAnsi="Times New Roman" w:eastAsia="宋体" w:cs="Times New Roman"/>
                <w:caps w:val="0"/>
                <w:smallCaps w:val="0"/>
                <w:color w:val="auto"/>
                <w:sz w:val="24"/>
                <w:highlight w:val="none"/>
                <w:lang w:val="en-US" w:eastAsia="zh-CN"/>
              </w:rPr>
              <w:t>mg/L、SS120mg/L、氨氮37.7mg/L、</w:t>
            </w:r>
            <w:r>
              <w:rPr>
                <w:rFonts w:hint="default" w:ascii="Times New Roman" w:hAnsi="Times New Roman" w:cs="Times New Roman"/>
                <w:caps w:val="0"/>
                <w:smallCaps w:val="0"/>
                <w:color w:val="auto"/>
                <w:sz w:val="24"/>
                <w:highlight w:val="none"/>
                <w:lang w:val="en-US" w:eastAsia="zh-CN"/>
              </w:rPr>
              <w:t>总氮49.8mg/L、</w:t>
            </w:r>
            <w:r>
              <w:rPr>
                <w:rFonts w:hint="default" w:ascii="Times New Roman" w:hAnsi="Times New Roman" w:eastAsia="宋体" w:cs="Times New Roman"/>
                <w:caps w:val="0"/>
                <w:smallCaps w:val="0"/>
                <w:color w:val="auto"/>
                <w:sz w:val="24"/>
                <w:highlight w:val="none"/>
                <w:lang w:val="en-US" w:eastAsia="zh-CN"/>
              </w:rPr>
              <w:t>总磷4.28mg/L</w:t>
            </w:r>
            <w:r>
              <w:rPr>
                <w:rFonts w:hint="default" w:ascii="Times New Roman" w:hAnsi="Times New Roman" w:cs="Times New Roman"/>
                <w:caps w:val="0"/>
                <w:smallCaps w:val="0"/>
                <w:color w:val="auto"/>
                <w:sz w:val="24"/>
                <w:highlight w:val="none"/>
                <w:lang w:val="en-US" w:eastAsia="zh-CN"/>
              </w:rPr>
              <w:t>、动植物油4.66mg/L</w:t>
            </w:r>
            <w:r>
              <w:rPr>
                <w:rFonts w:hint="default" w:ascii="Times New Roman" w:hAnsi="Times New Roman" w:eastAsia="宋体" w:cs="Times New Roman"/>
                <w:caps w:val="0"/>
                <w:smallCaps w:val="0"/>
                <w:color w:val="auto"/>
                <w:sz w:val="24"/>
                <w:highlight w:val="none"/>
                <w:lang w:val="en-US" w:eastAsia="zh-CN"/>
              </w:rPr>
              <w:t>。</w:t>
            </w:r>
          </w:p>
          <w:p w14:paraId="34D5C919">
            <w:pPr>
              <w:adjustRightInd w:val="0"/>
              <w:spacing w:line="360" w:lineRule="auto"/>
              <w:ind w:firstLine="480" w:firstLineChars="200"/>
              <w:rPr>
                <w:rFonts w:hint="default" w:ascii="Times New Roman" w:hAnsi="Times New Roman" w:cs="Times New Roman"/>
                <w:caps w:val="0"/>
                <w:smallCaps w:val="0"/>
                <w:color w:val="auto"/>
                <w:sz w:val="24"/>
                <w:szCs w:val="24"/>
                <w:highlight w:val="none"/>
              </w:rPr>
            </w:pPr>
            <w:r>
              <w:rPr>
                <w:rFonts w:hint="default" w:ascii="Times New Roman" w:hAnsi="Times New Roman" w:cs="Times New Roman"/>
                <w:caps w:val="0"/>
                <w:smallCaps w:val="0"/>
                <w:color w:val="auto"/>
                <w:sz w:val="24"/>
                <w:szCs w:val="24"/>
                <w:highlight w:val="none"/>
              </w:rPr>
              <w:t>项目生活废水经</w:t>
            </w:r>
            <w:r>
              <w:rPr>
                <w:rFonts w:hint="default" w:ascii="Times New Roman" w:hAnsi="Times New Roman" w:cs="Times New Roman"/>
                <w:caps w:val="0"/>
                <w:smallCaps w:val="0"/>
                <w:color w:val="auto"/>
                <w:sz w:val="24"/>
                <w:szCs w:val="24"/>
                <w:highlight w:val="none"/>
                <w:lang w:eastAsia="zh-CN"/>
              </w:rPr>
              <w:t>三格化粪池</w:t>
            </w:r>
            <w:r>
              <w:rPr>
                <w:rFonts w:hint="default" w:ascii="Times New Roman" w:hAnsi="Times New Roman" w:cs="Times New Roman"/>
                <w:caps w:val="0"/>
                <w:smallCaps w:val="0"/>
                <w:color w:val="auto"/>
                <w:sz w:val="24"/>
                <w:szCs w:val="24"/>
                <w:highlight w:val="none"/>
              </w:rPr>
              <w:t>处理后废水中污染物情况见下表。</w:t>
            </w:r>
          </w:p>
          <w:p w14:paraId="1203641A">
            <w:pPr>
              <w:spacing w:line="240" w:lineRule="auto"/>
              <w:ind w:firstLine="0" w:firstLineChars="0"/>
              <w:jc w:val="center"/>
              <w:rPr>
                <w:rFonts w:hint="default" w:ascii="Times New Roman" w:hAnsi="Times New Roman" w:eastAsia="宋体" w:cs="Times New Roman"/>
                <w:caps w:val="0"/>
                <w:smallCaps w:val="0"/>
                <w:color w:val="auto"/>
                <w:sz w:val="24"/>
                <w:szCs w:val="24"/>
                <w:highlight w:val="none"/>
                <w:lang w:val="en-US" w:eastAsia="zh-CN"/>
              </w:rPr>
            </w:pPr>
            <w:r>
              <w:rPr>
                <w:rFonts w:hint="default" w:ascii="Times New Roman" w:hAnsi="Times New Roman" w:eastAsia="宋体" w:cs="Times New Roman"/>
                <w:b/>
                <w:color w:val="auto"/>
                <w:sz w:val="21"/>
                <w:highlight w:val="none"/>
              </w:rPr>
              <w:t>表</w:t>
            </w:r>
            <w:r>
              <w:rPr>
                <w:rFonts w:hint="default" w:ascii="Times New Roman" w:hAnsi="Times New Roman" w:eastAsia="宋体" w:cs="Times New Roman"/>
                <w:b/>
                <w:color w:val="auto"/>
                <w:sz w:val="21"/>
                <w:highlight w:val="none"/>
                <w:lang w:val="en-US" w:eastAsia="zh-CN"/>
              </w:rPr>
              <w:t>4</w:t>
            </w:r>
            <w:r>
              <w:rPr>
                <w:rFonts w:hint="default" w:ascii="Times New Roman" w:hAnsi="Times New Roman" w:eastAsia="宋体" w:cs="Times New Roman"/>
                <w:b/>
                <w:color w:val="auto"/>
                <w:sz w:val="21"/>
                <w:highlight w:val="none"/>
              </w:rPr>
              <w:t>-</w:t>
            </w:r>
            <w:r>
              <w:rPr>
                <w:rFonts w:hint="default" w:ascii="Times New Roman" w:hAnsi="Times New Roman" w:cs="Times New Roman"/>
                <w:b/>
                <w:color w:val="auto"/>
                <w:sz w:val="21"/>
                <w:highlight w:val="none"/>
                <w:lang w:val="en-US" w:eastAsia="zh-CN"/>
              </w:rPr>
              <w:t>1</w:t>
            </w:r>
            <w:r>
              <w:rPr>
                <w:rFonts w:hint="eastAsia" w:cs="Times New Roman"/>
                <w:b/>
                <w:color w:val="auto"/>
                <w:sz w:val="21"/>
                <w:highlight w:val="none"/>
                <w:lang w:val="en-US" w:eastAsia="zh-CN"/>
              </w:rPr>
              <w:t>8</w:t>
            </w:r>
            <w:r>
              <w:rPr>
                <w:rFonts w:hint="default" w:ascii="Times New Roman" w:hAnsi="Times New Roman" w:eastAsia="宋体" w:cs="Times New Roman"/>
                <w:b/>
                <w:color w:val="auto"/>
                <w:sz w:val="21"/>
                <w:highlight w:val="none"/>
              </w:rPr>
              <w:t xml:space="preserve"> 项目</w:t>
            </w:r>
            <w:r>
              <w:rPr>
                <w:rFonts w:hint="eastAsia" w:cs="Times New Roman"/>
                <w:b/>
                <w:color w:val="auto"/>
                <w:sz w:val="21"/>
                <w:highlight w:val="none"/>
                <w:lang w:val="en-US" w:eastAsia="zh-CN"/>
              </w:rPr>
              <w:t>生活</w:t>
            </w:r>
            <w:r>
              <w:rPr>
                <w:rFonts w:hint="default" w:ascii="Times New Roman" w:hAnsi="Times New Roman" w:eastAsia="宋体" w:cs="Times New Roman"/>
                <w:b/>
                <w:color w:val="auto"/>
                <w:sz w:val="21"/>
                <w:highlight w:val="none"/>
              </w:rPr>
              <w:t>废水污染物产生及处置情况一览表</w:t>
            </w:r>
          </w:p>
          <w:tbl>
            <w:tblPr>
              <w:tblStyle w:val="31"/>
              <w:tblW w:w="78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
              <w:gridCol w:w="474"/>
              <w:gridCol w:w="1079"/>
              <w:gridCol w:w="788"/>
              <w:gridCol w:w="1075"/>
              <w:gridCol w:w="1262"/>
              <w:gridCol w:w="1225"/>
              <w:gridCol w:w="1437"/>
            </w:tblGrid>
            <w:tr w14:paraId="10CC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466" w:type="dxa"/>
                  <w:vMerge w:val="restart"/>
                  <w:vAlign w:val="center"/>
                </w:tcPr>
                <w:p w14:paraId="1BD25C53">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位置</w:t>
                  </w:r>
                </w:p>
              </w:tc>
              <w:tc>
                <w:tcPr>
                  <w:tcW w:w="474" w:type="dxa"/>
                  <w:vMerge w:val="restart"/>
                  <w:vAlign w:val="center"/>
                </w:tcPr>
                <w:p w14:paraId="29D113D7">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污染源</w:t>
                  </w:r>
                </w:p>
              </w:tc>
              <w:tc>
                <w:tcPr>
                  <w:tcW w:w="1079" w:type="dxa"/>
                  <w:vMerge w:val="restart"/>
                  <w:vAlign w:val="center"/>
                </w:tcPr>
                <w:p w14:paraId="15633B53">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污染物</w:t>
                  </w:r>
                </w:p>
              </w:tc>
              <w:tc>
                <w:tcPr>
                  <w:tcW w:w="4350" w:type="dxa"/>
                  <w:gridSpan w:val="4"/>
                  <w:vAlign w:val="center"/>
                </w:tcPr>
                <w:p w14:paraId="0D562252">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污染物产生</w:t>
                  </w:r>
                </w:p>
              </w:tc>
              <w:tc>
                <w:tcPr>
                  <w:tcW w:w="1437" w:type="dxa"/>
                  <w:vMerge w:val="restart"/>
                  <w:vAlign w:val="center"/>
                </w:tcPr>
                <w:p w14:paraId="25987A36">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治理措施</w:t>
                  </w:r>
                </w:p>
              </w:tc>
            </w:tr>
            <w:tr w14:paraId="40877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466" w:type="dxa"/>
                  <w:vMerge w:val="continue"/>
                  <w:vAlign w:val="center"/>
                </w:tcPr>
                <w:p w14:paraId="523FE02B">
                  <w:pPr>
                    <w:widowControl w:val="0"/>
                    <w:kinsoku/>
                    <w:snapToGrid/>
                    <w:spacing w:line="240" w:lineRule="auto"/>
                    <w:ind w:firstLine="0" w:firstLineChars="0"/>
                    <w:jc w:val="center"/>
                    <w:textAlignment w:val="auto"/>
                    <w:rPr>
                      <w:rFonts w:hint="default" w:ascii="Times New Roman" w:hAnsi="Times New Roman" w:cs="Times New Roman"/>
                      <w:color w:val="auto"/>
                      <w:highlight w:val="none"/>
                    </w:rPr>
                  </w:pPr>
                </w:p>
              </w:tc>
              <w:tc>
                <w:tcPr>
                  <w:tcW w:w="474" w:type="dxa"/>
                  <w:vMerge w:val="continue"/>
                  <w:vAlign w:val="center"/>
                </w:tcPr>
                <w:p w14:paraId="655BD6DE">
                  <w:pPr>
                    <w:widowControl w:val="0"/>
                    <w:kinsoku/>
                    <w:snapToGrid/>
                    <w:spacing w:line="240" w:lineRule="auto"/>
                    <w:ind w:firstLine="0" w:firstLineChars="0"/>
                    <w:jc w:val="center"/>
                    <w:textAlignment w:val="auto"/>
                    <w:rPr>
                      <w:rFonts w:hint="default" w:ascii="Times New Roman" w:hAnsi="Times New Roman" w:cs="Times New Roman"/>
                      <w:color w:val="auto"/>
                      <w:highlight w:val="none"/>
                    </w:rPr>
                  </w:pPr>
                </w:p>
              </w:tc>
              <w:tc>
                <w:tcPr>
                  <w:tcW w:w="1079" w:type="dxa"/>
                  <w:vMerge w:val="continue"/>
                  <w:vAlign w:val="center"/>
                </w:tcPr>
                <w:p w14:paraId="6A75BD7D">
                  <w:pPr>
                    <w:widowControl w:val="0"/>
                    <w:kinsoku/>
                    <w:snapToGrid/>
                    <w:spacing w:line="240" w:lineRule="auto"/>
                    <w:ind w:firstLine="0" w:firstLineChars="0"/>
                    <w:jc w:val="center"/>
                    <w:textAlignment w:val="auto"/>
                    <w:rPr>
                      <w:rFonts w:hint="default" w:ascii="Times New Roman" w:hAnsi="Times New Roman" w:cs="Times New Roman"/>
                      <w:color w:val="auto"/>
                      <w:highlight w:val="none"/>
                    </w:rPr>
                  </w:pPr>
                </w:p>
              </w:tc>
              <w:tc>
                <w:tcPr>
                  <w:tcW w:w="788" w:type="dxa"/>
                  <w:vAlign w:val="center"/>
                </w:tcPr>
                <w:p w14:paraId="49CD56C7">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核算方法</w:t>
                  </w:r>
                </w:p>
              </w:tc>
              <w:tc>
                <w:tcPr>
                  <w:tcW w:w="1075" w:type="dxa"/>
                  <w:vAlign w:val="center"/>
                </w:tcPr>
                <w:p w14:paraId="680E111C">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产生废水量（m</w:t>
                  </w:r>
                  <w:r>
                    <w:rPr>
                      <w:rFonts w:hint="default" w:ascii="Times New Roman" w:hAnsi="Times New Roman" w:cs="Times New Roman"/>
                      <w:b/>
                      <w:bCs/>
                      <w:snapToGrid/>
                      <w:color w:val="auto"/>
                      <w:sz w:val="21"/>
                      <w:highlight w:val="none"/>
                      <w:vertAlign w:val="superscript"/>
                      <w:lang w:eastAsia="zh-CN"/>
                    </w:rPr>
                    <w:t>3</w:t>
                  </w:r>
                  <w:r>
                    <w:rPr>
                      <w:rFonts w:hint="default" w:ascii="Times New Roman" w:hAnsi="Times New Roman" w:cs="Times New Roman"/>
                      <w:b/>
                      <w:bCs/>
                      <w:snapToGrid/>
                      <w:color w:val="auto"/>
                      <w:sz w:val="21"/>
                      <w:highlight w:val="none"/>
                      <w:lang w:eastAsia="zh-CN"/>
                    </w:rPr>
                    <w:t>/a）</w:t>
                  </w:r>
                </w:p>
              </w:tc>
              <w:tc>
                <w:tcPr>
                  <w:tcW w:w="1262" w:type="dxa"/>
                  <w:vAlign w:val="center"/>
                </w:tcPr>
                <w:p w14:paraId="791A5A91">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产生浓度（mg/L）</w:t>
                  </w:r>
                </w:p>
              </w:tc>
              <w:tc>
                <w:tcPr>
                  <w:tcW w:w="1225" w:type="dxa"/>
                  <w:vAlign w:val="center"/>
                </w:tcPr>
                <w:p w14:paraId="3A4CA6A1">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产生量（t/a）</w:t>
                  </w:r>
                </w:p>
              </w:tc>
              <w:tc>
                <w:tcPr>
                  <w:tcW w:w="1437" w:type="dxa"/>
                  <w:vMerge w:val="continue"/>
                  <w:vAlign w:val="center"/>
                </w:tcPr>
                <w:p w14:paraId="7C1E9D04">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p>
              </w:tc>
            </w:tr>
            <w:tr w14:paraId="2A32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66" w:type="dxa"/>
                  <w:vMerge w:val="restart"/>
                  <w:vAlign w:val="center"/>
                </w:tcPr>
                <w:p w14:paraId="44C37FBC">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办公生活区</w:t>
                  </w:r>
                </w:p>
              </w:tc>
              <w:tc>
                <w:tcPr>
                  <w:tcW w:w="474" w:type="dxa"/>
                  <w:vMerge w:val="restart"/>
                  <w:vAlign w:val="center"/>
                </w:tcPr>
                <w:p w14:paraId="4CF605AF">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生活污水</w:t>
                  </w:r>
                </w:p>
              </w:tc>
              <w:tc>
                <w:tcPr>
                  <w:tcW w:w="1079" w:type="dxa"/>
                  <w:shd w:val="clear" w:color="auto" w:fill="auto"/>
                  <w:vAlign w:val="center"/>
                </w:tcPr>
                <w:p w14:paraId="47F17F48">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SS</w:t>
                  </w:r>
                </w:p>
              </w:tc>
              <w:tc>
                <w:tcPr>
                  <w:tcW w:w="788" w:type="dxa"/>
                  <w:vMerge w:val="restart"/>
                  <w:shd w:val="clear" w:color="auto" w:fill="auto"/>
                  <w:vAlign w:val="center"/>
                </w:tcPr>
                <w:p w14:paraId="715FBF36">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kern w:val="2"/>
                      <w:sz w:val="21"/>
                      <w:szCs w:val="22"/>
                      <w:highlight w:val="none"/>
                      <w:lang w:val="en-US" w:eastAsia="zh-CN" w:bidi="ar-SA"/>
                    </w:rPr>
                    <w:t>产污系数法</w:t>
                  </w:r>
                </w:p>
                <w:p w14:paraId="7F8FBE9F">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5" w:type="dxa"/>
                  <w:vMerge w:val="restart"/>
                  <w:shd w:val="clear" w:color="auto" w:fill="auto"/>
                  <w:vAlign w:val="center"/>
                </w:tcPr>
                <w:p w14:paraId="24F7FBF0">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kern w:val="2"/>
                      <w:sz w:val="21"/>
                      <w:szCs w:val="22"/>
                      <w:highlight w:val="none"/>
                      <w:lang w:val="en-US" w:eastAsia="zh-CN" w:bidi="ar-SA"/>
                    </w:rPr>
                    <w:t>288</w:t>
                  </w:r>
                </w:p>
                <w:p w14:paraId="6BECD008">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p>
              </w:tc>
              <w:tc>
                <w:tcPr>
                  <w:tcW w:w="1262" w:type="dxa"/>
                  <w:shd w:val="clear" w:color="auto" w:fill="auto"/>
                  <w:vAlign w:val="center"/>
                </w:tcPr>
                <w:p w14:paraId="0E81E2ED">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120</w:t>
                  </w:r>
                </w:p>
              </w:tc>
              <w:tc>
                <w:tcPr>
                  <w:tcW w:w="1225" w:type="dxa"/>
                  <w:shd w:val="clear" w:color="auto" w:fill="auto"/>
                  <w:vAlign w:val="center"/>
                </w:tcPr>
                <w:p w14:paraId="0243FB7B">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0.0346</w:t>
                  </w:r>
                </w:p>
              </w:tc>
              <w:tc>
                <w:tcPr>
                  <w:tcW w:w="1437" w:type="dxa"/>
                  <w:vMerge w:val="restart"/>
                  <w:vAlign w:val="center"/>
                </w:tcPr>
                <w:p w14:paraId="40D1B344">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color w:val="auto"/>
                      <w:sz w:val="21"/>
                      <w:highlight w:val="none"/>
                      <w:lang w:eastAsia="zh-CN"/>
                    </w:rPr>
                    <w:t>食堂废水经隔油池处理后，与其他生活废水一起进入办公生活区化粪池处理，定期清掏用作农肥。</w:t>
                  </w:r>
                </w:p>
              </w:tc>
            </w:tr>
            <w:tr w14:paraId="1A69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466" w:type="dxa"/>
                  <w:vMerge w:val="continue"/>
                  <w:vAlign w:val="center"/>
                </w:tcPr>
                <w:p w14:paraId="7F17A1EC">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474" w:type="dxa"/>
                  <w:vMerge w:val="continue"/>
                  <w:vAlign w:val="center"/>
                </w:tcPr>
                <w:p w14:paraId="774D0744">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9" w:type="dxa"/>
                  <w:shd w:val="clear" w:color="auto" w:fill="auto"/>
                  <w:vAlign w:val="center"/>
                </w:tcPr>
                <w:p w14:paraId="795E8133">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eastAsia="zh-CN"/>
                    </w:rPr>
                    <w:t>COD</w:t>
                  </w:r>
                </w:p>
              </w:tc>
              <w:tc>
                <w:tcPr>
                  <w:tcW w:w="788" w:type="dxa"/>
                  <w:vMerge w:val="continue"/>
                  <w:shd w:val="clear" w:color="auto" w:fill="auto"/>
                  <w:vAlign w:val="center"/>
                </w:tcPr>
                <w:p w14:paraId="7A9CEDC0">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5" w:type="dxa"/>
                  <w:vMerge w:val="continue"/>
                  <w:shd w:val="clear" w:color="auto" w:fill="auto"/>
                  <w:vAlign w:val="center"/>
                </w:tcPr>
                <w:p w14:paraId="27DCC02C">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p>
              </w:tc>
              <w:tc>
                <w:tcPr>
                  <w:tcW w:w="1262" w:type="dxa"/>
                  <w:shd w:val="clear" w:color="auto" w:fill="auto"/>
                  <w:vAlign w:val="center"/>
                </w:tcPr>
                <w:p w14:paraId="390345E4">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val="en-US" w:eastAsia="zh-CN"/>
                    </w:rPr>
                    <w:t>325</w:t>
                  </w:r>
                </w:p>
              </w:tc>
              <w:tc>
                <w:tcPr>
                  <w:tcW w:w="1225" w:type="dxa"/>
                  <w:shd w:val="clear" w:color="auto" w:fill="auto"/>
                  <w:vAlign w:val="center"/>
                </w:tcPr>
                <w:p w14:paraId="1B0C266F">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eastAsia="zh-CN"/>
                    </w:rPr>
                    <w:t>0.</w:t>
                  </w:r>
                  <w:r>
                    <w:rPr>
                      <w:rFonts w:hint="default" w:ascii="Times New Roman" w:hAnsi="Times New Roman" w:cs="Times New Roman"/>
                      <w:snapToGrid/>
                      <w:color w:val="auto"/>
                      <w:sz w:val="21"/>
                      <w:highlight w:val="none"/>
                      <w:lang w:val="en-US" w:eastAsia="zh-CN"/>
                    </w:rPr>
                    <w:t>0936</w:t>
                  </w:r>
                </w:p>
              </w:tc>
              <w:tc>
                <w:tcPr>
                  <w:tcW w:w="1437" w:type="dxa"/>
                  <w:vMerge w:val="continue"/>
                  <w:vAlign w:val="center"/>
                </w:tcPr>
                <w:p w14:paraId="6CB2382E">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r>
            <w:tr w14:paraId="55F0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466" w:type="dxa"/>
                  <w:vMerge w:val="continue"/>
                  <w:vAlign w:val="center"/>
                </w:tcPr>
                <w:p w14:paraId="2673176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474" w:type="dxa"/>
                  <w:vMerge w:val="continue"/>
                  <w:vAlign w:val="center"/>
                </w:tcPr>
                <w:p w14:paraId="709E35A3">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9" w:type="dxa"/>
                  <w:shd w:val="clear" w:color="auto" w:fill="auto"/>
                  <w:vAlign w:val="center"/>
                </w:tcPr>
                <w:p w14:paraId="211627CA">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eastAsia="zh-CN"/>
                    </w:rPr>
                    <w:t>BOD</w:t>
                  </w:r>
                  <w:r>
                    <w:rPr>
                      <w:rFonts w:hint="default" w:ascii="Times New Roman" w:hAnsi="Times New Roman" w:cs="Times New Roman"/>
                      <w:snapToGrid/>
                      <w:color w:val="auto"/>
                      <w:sz w:val="21"/>
                      <w:highlight w:val="none"/>
                      <w:vertAlign w:val="subscript"/>
                      <w:lang w:eastAsia="zh-CN"/>
                    </w:rPr>
                    <w:t>5</w:t>
                  </w:r>
                </w:p>
              </w:tc>
              <w:tc>
                <w:tcPr>
                  <w:tcW w:w="788" w:type="dxa"/>
                  <w:vMerge w:val="continue"/>
                  <w:vAlign w:val="center"/>
                </w:tcPr>
                <w:p w14:paraId="679E3A07">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5" w:type="dxa"/>
                  <w:vMerge w:val="continue"/>
                  <w:vAlign w:val="center"/>
                </w:tcPr>
                <w:p w14:paraId="426A16C6">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262" w:type="dxa"/>
                  <w:shd w:val="clear" w:color="auto" w:fill="auto"/>
                  <w:vAlign w:val="center"/>
                </w:tcPr>
                <w:p w14:paraId="7ED60449">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val="en-US" w:eastAsia="zh-CN"/>
                    </w:rPr>
                    <w:t>136</w:t>
                  </w:r>
                </w:p>
              </w:tc>
              <w:tc>
                <w:tcPr>
                  <w:tcW w:w="1225" w:type="dxa"/>
                  <w:shd w:val="clear" w:color="auto" w:fill="auto"/>
                  <w:vAlign w:val="center"/>
                </w:tcPr>
                <w:p w14:paraId="2D355BA6">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val="en-US" w:eastAsia="zh-CN"/>
                    </w:rPr>
                    <w:t>0.0392</w:t>
                  </w:r>
                </w:p>
              </w:tc>
              <w:tc>
                <w:tcPr>
                  <w:tcW w:w="1437" w:type="dxa"/>
                  <w:vMerge w:val="continue"/>
                  <w:vAlign w:val="center"/>
                </w:tcPr>
                <w:p w14:paraId="48930BB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r>
            <w:tr w14:paraId="6A26E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466" w:type="dxa"/>
                  <w:vMerge w:val="continue"/>
                  <w:vAlign w:val="center"/>
                </w:tcPr>
                <w:p w14:paraId="4C2486BF">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474" w:type="dxa"/>
                  <w:vMerge w:val="continue"/>
                  <w:vAlign w:val="center"/>
                </w:tcPr>
                <w:p w14:paraId="2A87CC41">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9" w:type="dxa"/>
                  <w:shd w:val="clear" w:color="auto" w:fill="auto"/>
                  <w:vAlign w:val="center"/>
                </w:tcPr>
                <w:p w14:paraId="64D161ED">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val="en-US" w:eastAsia="zh-CN"/>
                    </w:rPr>
                    <w:t>氨氮</w:t>
                  </w:r>
                </w:p>
              </w:tc>
              <w:tc>
                <w:tcPr>
                  <w:tcW w:w="788" w:type="dxa"/>
                  <w:vMerge w:val="continue"/>
                  <w:vAlign w:val="center"/>
                </w:tcPr>
                <w:p w14:paraId="09FE0617">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5" w:type="dxa"/>
                  <w:vMerge w:val="continue"/>
                  <w:vAlign w:val="center"/>
                </w:tcPr>
                <w:p w14:paraId="29B4DB11">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262" w:type="dxa"/>
                  <w:shd w:val="clear" w:color="auto" w:fill="auto"/>
                  <w:vAlign w:val="center"/>
                </w:tcPr>
                <w:p w14:paraId="7D67FCF6">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val="en-US" w:eastAsia="zh-CN"/>
                    </w:rPr>
                    <w:t>37.7</w:t>
                  </w:r>
                </w:p>
              </w:tc>
              <w:tc>
                <w:tcPr>
                  <w:tcW w:w="1225" w:type="dxa"/>
                  <w:shd w:val="clear" w:color="auto" w:fill="auto"/>
                  <w:vAlign w:val="center"/>
                </w:tcPr>
                <w:p w14:paraId="5B22F150">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eastAsia="zh-CN"/>
                    </w:rPr>
                    <w:t>0.0</w:t>
                  </w:r>
                  <w:r>
                    <w:rPr>
                      <w:rFonts w:hint="default" w:ascii="Times New Roman" w:hAnsi="Times New Roman" w:cs="Times New Roman"/>
                      <w:snapToGrid/>
                      <w:color w:val="auto"/>
                      <w:sz w:val="21"/>
                      <w:highlight w:val="none"/>
                      <w:lang w:val="en-US" w:eastAsia="zh-CN"/>
                    </w:rPr>
                    <w:t>109</w:t>
                  </w:r>
                </w:p>
              </w:tc>
              <w:tc>
                <w:tcPr>
                  <w:tcW w:w="1437" w:type="dxa"/>
                  <w:vMerge w:val="continue"/>
                  <w:vAlign w:val="center"/>
                </w:tcPr>
                <w:p w14:paraId="1EA2071C">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r>
            <w:tr w14:paraId="4E82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466" w:type="dxa"/>
                  <w:vMerge w:val="continue"/>
                  <w:vAlign w:val="center"/>
                </w:tcPr>
                <w:p w14:paraId="18DDE2BC">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474" w:type="dxa"/>
                  <w:vMerge w:val="continue"/>
                  <w:vAlign w:val="center"/>
                </w:tcPr>
                <w:p w14:paraId="5D979C75">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9" w:type="dxa"/>
                  <w:shd w:val="clear" w:color="auto" w:fill="auto"/>
                  <w:vAlign w:val="center"/>
                </w:tcPr>
                <w:p w14:paraId="2276DBF2">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eastAsia="zh-CN"/>
                    </w:rPr>
                    <w:t>总氮</w:t>
                  </w:r>
                </w:p>
              </w:tc>
              <w:tc>
                <w:tcPr>
                  <w:tcW w:w="788" w:type="dxa"/>
                  <w:vMerge w:val="continue"/>
                  <w:vAlign w:val="center"/>
                </w:tcPr>
                <w:p w14:paraId="7031861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5" w:type="dxa"/>
                  <w:vMerge w:val="continue"/>
                  <w:vAlign w:val="center"/>
                </w:tcPr>
                <w:p w14:paraId="6F7A80B7">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262" w:type="dxa"/>
                  <w:shd w:val="clear" w:color="auto" w:fill="auto"/>
                  <w:vAlign w:val="center"/>
                </w:tcPr>
                <w:p w14:paraId="7E00F653">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val="en-US" w:eastAsia="zh-CN"/>
                    </w:rPr>
                    <w:t>49.8</w:t>
                  </w:r>
                </w:p>
              </w:tc>
              <w:tc>
                <w:tcPr>
                  <w:tcW w:w="1225" w:type="dxa"/>
                  <w:shd w:val="clear" w:color="auto" w:fill="auto"/>
                  <w:vAlign w:val="center"/>
                </w:tcPr>
                <w:p w14:paraId="5715F2BB">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eastAsia="zh-CN"/>
                    </w:rPr>
                    <w:t>0.0</w:t>
                  </w:r>
                  <w:r>
                    <w:rPr>
                      <w:rFonts w:hint="default" w:ascii="Times New Roman" w:hAnsi="Times New Roman" w:cs="Times New Roman"/>
                      <w:snapToGrid/>
                      <w:color w:val="auto"/>
                      <w:sz w:val="21"/>
                      <w:highlight w:val="none"/>
                      <w:lang w:val="en-US" w:eastAsia="zh-CN"/>
                    </w:rPr>
                    <w:t>143</w:t>
                  </w:r>
                </w:p>
              </w:tc>
              <w:tc>
                <w:tcPr>
                  <w:tcW w:w="1437" w:type="dxa"/>
                  <w:vMerge w:val="continue"/>
                  <w:vAlign w:val="center"/>
                </w:tcPr>
                <w:p w14:paraId="3C1B002F">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r>
            <w:tr w14:paraId="293B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466" w:type="dxa"/>
                  <w:vMerge w:val="continue"/>
                  <w:vAlign w:val="center"/>
                </w:tcPr>
                <w:p w14:paraId="4C44823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474" w:type="dxa"/>
                  <w:vMerge w:val="continue"/>
                  <w:vAlign w:val="center"/>
                </w:tcPr>
                <w:p w14:paraId="3B628225">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9" w:type="dxa"/>
                  <w:shd w:val="clear" w:color="auto" w:fill="auto"/>
                  <w:vAlign w:val="center"/>
                </w:tcPr>
                <w:p w14:paraId="43202373">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eastAsia="zh-CN"/>
                    </w:rPr>
                    <w:t>总磷</w:t>
                  </w:r>
                </w:p>
              </w:tc>
              <w:tc>
                <w:tcPr>
                  <w:tcW w:w="788" w:type="dxa"/>
                  <w:vMerge w:val="continue"/>
                  <w:vAlign w:val="center"/>
                </w:tcPr>
                <w:p w14:paraId="66D61EDE">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5" w:type="dxa"/>
                  <w:vMerge w:val="continue"/>
                  <w:vAlign w:val="center"/>
                </w:tcPr>
                <w:p w14:paraId="451903E3">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262" w:type="dxa"/>
                  <w:shd w:val="clear" w:color="auto" w:fill="auto"/>
                  <w:vAlign w:val="center"/>
                </w:tcPr>
                <w:p w14:paraId="7A11921B">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val="en-US" w:eastAsia="zh-CN"/>
                    </w:rPr>
                    <w:t>4.28</w:t>
                  </w:r>
                </w:p>
              </w:tc>
              <w:tc>
                <w:tcPr>
                  <w:tcW w:w="1225" w:type="dxa"/>
                  <w:shd w:val="clear" w:color="auto" w:fill="auto"/>
                  <w:vAlign w:val="center"/>
                </w:tcPr>
                <w:p w14:paraId="7FFE4671">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eastAsia="zh-CN"/>
                    </w:rPr>
                    <w:t>0.0</w:t>
                  </w:r>
                  <w:r>
                    <w:rPr>
                      <w:rFonts w:hint="default" w:ascii="Times New Roman" w:hAnsi="Times New Roman" w:cs="Times New Roman"/>
                      <w:snapToGrid/>
                      <w:color w:val="auto"/>
                      <w:sz w:val="21"/>
                      <w:highlight w:val="none"/>
                      <w:lang w:val="en-US" w:eastAsia="zh-CN"/>
                    </w:rPr>
                    <w:t>012</w:t>
                  </w:r>
                </w:p>
              </w:tc>
              <w:tc>
                <w:tcPr>
                  <w:tcW w:w="1437" w:type="dxa"/>
                  <w:vMerge w:val="continue"/>
                  <w:vAlign w:val="center"/>
                </w:tcPr>
                <w:p w14:paraId="08119E20">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r>
            <w:tr w14:paraId="3A20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466" w:type="dxa"/>
                  <w:vMerge w:val="continue"/>
                  <w:vAlign w:val="center"/>
                </w:tcPr>
                <w:p w14:paraId="1E92851F">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474" w:type="dxa"/>
                  <w:vMerge w:val="continue"/>
                  <w:vAlign w:val="center"/>
                </w:tcPr>
                <w:p w14:paraId="7456492C">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9" w:type="dxa"/>
                  <w:shd w:val="clear" w:color="auto" w:fill="auto"/>
                  <w:vAlign w:val="center"/>
                </w:tcPr>
                <w:p w14:paraId="67B82FAF">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eastAsia="zh-CN"/>
                    </w:rPr>
                    <w:t>动植物油</w:t>
                  </w:r>
                </w:p>
              </w:tc>
              <w:tc>
                <w:tcPr>
                  <w:tcW w:w="788" w:type="dxa"/>
                  <w:vMerge w:val="continue"/>
                  <w:vAlign w:val="center"/>
                </w:tcPr>
                <w:p w14:paraId="7593C657">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075" w:type="dxa"/>
                  <w:vMerge w:val="continue"/>
                  <w:vAlign w:val="center"/>
                </w:tcPr>
                <w:p w14:paraId="0E0F8811">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1262" w:type="dxa"/>
                  <w:shd w:val="clear" w:color="auto" w:fill="auto"/>
                  <w:vAlign w:val="center"/>
                </w:tcPr>
                <w:p w14:paraId="1C5AD656">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val="en-US" w:eastAsia="zh-CN"/>
                    </w:rPr>
                    <w:t>4.66</w:t>
                  </w:r>
                </w:p>
              </w:tc>
              <w:tc>
                <w:tcPr>
                  <w:tcW w:w="1225" w:type="dxa"/>
                  <w:shd w:val="clear" w:color="auto" w:fill="auto"/>
                  <w:vAlign w:val="center"/>
                </w:tcPr>
                <w:p w14:paraId="6D56F9D9">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kern w:val="2"/>
                      <w:sz w:val="21"/>
                      <w:szCs w:val="22"/>
                      <w:highlight w:val="none"/>
                      <w:lang w:val="en-US" w:eastAsia="zh-CN" w:bidi="ar-SA"/>
                    </w:rPr>
                  </w:pPr>
                  <w:r>
                    <w:rPr>
                      <w:rFonts w:hint="default" w:ascii="Times New Roman" w:hAnsi="Times New Roman" w:cs="Times New Roman"/>
                      <w:snapToGrid/>
                      <w:color w:val="auto"/>
                      <w:sz w:val="21"/>
                      <w:highlight w:val="none"/>
                      <w:lang w:val="en-US" w:eastAsia="zh-CN"/>
                    </w:rPr>
                    <w:t>0.0013</w:t>
                  </w:r>
                </w:p>
              </w:tc>
              <w:tc>
                <w:tcPr>
                  <w:tcW w:w="1437" w:type="dxa"/>
                  <w:vMerge w:val="continue"/>
                  <w:vAlign w:val="center"/>
                </w:tcPr>
                <w:p w14:paraId="5AC0078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r>
          </w:tbl>
          <w:p w14:paraId="40F47B05">
            <w:pPr>
              <w:adjustRightInd w:val="0"/>
              <w:spacing w:line="360" w:lineRule="auto"/>
              <w:ind w:firstLine="480" w:firstLineChars="200"/>
              <w:rPr>
                <w:rFonts w:hint="default" w:ascii="Times New Roman" w:hAnsi="Times New Roman" w:eastAsia="宋体" w:cs="Times New Roman"/>
                <w:caps w:val="0"/>
                <w:smallCaps w:val="0"/>
                <w:color w:val="auto"/>
                <w:sz w:val="24"/>
                <w:szCs w:val="24"/>
                <w:highlight w:val="none"/>
                <w:lang w:val="en-US" w:eastAsia="zh-CN"/>
              </w:rPr>
            </w:pPr>
            <w:r>
              <w:rPr>
                <w:rFonts w:hint="default" w:ascii="Times New Roman" w:hAnsi="Times New Roman" w:eastAsia="宋体" w:cs="Times New Roman"/>
                <w:caps w:val="0"/>
                <w:smallCaps w:val="0"/>
                <w:color w:val="auto"/>
                <w:sz w:val="24"/>
                <w:szCs w:val="24"/>
                <w:highlight w:val="none"/>
                <w:lang w:val="en-US" w:eastAsia="zh-CN"/>
              </w:rPr>
              <w:t>根据上表，项目食堂废水经隔油池处理后，与其他生活废水一起进入</w:t>
            </w:r>
            <w:r>
              <w:rPr>
                <w:rFonts w:hint="default" w:ascii="Times New Roman" w:hAnsi="Times New Roman" w:cs="Times New Roman"/>
                <w:caps w:val="0"/>
                <w:smallCaps w:val="0"/>
                <w:color w:val="auto"/>
                <w:sz w:val="24"/>
                <w:szCs w:val="24"/>
                <w:highlight w:val="none"/>
                <w:lang w:val="en-US" w:eastAsia="zh-CN"/>
              </w:rPr>
              <w:t>办公生活区</w:t>
            </w:r>
            <w:r>
              <w:rPr>
                <w:rFonts w:hint="default" w:ascii="Times New Roman" w:hAnsi="Times New Roman" w:eastAsia="宋体" w:cs="Times New Roman"/>
                <w:caps w:val="0"/>
                <w:smallCaps w:val="0"/>
                <w:color w:val="auto"/>
                <w:sz w:val="24"/>
                <w:szCs w:val="24"/>
                <w:highlight w:val="none"/>
                <w:lang w:val="en-US" w:eastAsia="zh-CN"/>
              </w:rPr>
              <w:t>化粪池处理，定期清掏用作农肥。</w:t>
            </w:r>
          </w:p>
          <w:p w14:paraId="5CF9D62D">
            <w:pPr>
              <w:numPr>
                <w:ilvl w:val="0"/>
                <w:numId w:val="0"/>
              </w:numPr>
              <w:autoSpaceDE w:val="0"/>
              <w:autoSpaceDN w:val="0"/>
              <w:adjustRightInd w:val="0"/>
              <w:ind w:firstLine="482" w:firstLineChars="200"/>
              <w:rPr>
                <w:rFonts w:hint="eastAsia" w:cs="Times New Roman"/>
                <w:b/>
                <w:bCs/>
                <w:color w:val="auto"/>
                <w:highlight w:val="none"/>
                <w:lang w:val="en-US" w:eastAsia="zh-CN"/>
              </w:rPr>
            </w:pPr>
            <w:r>
              <w:rPr>
                <w:rFonts w:hint="eastAsia" w:ascii="Times New Roman" w:hAnsi="Times New Roman" w:eastAsia="宋体" w:cs="Times New Roman"/>
                <w:b/>
                <w:bCs/>
                <w:color w:val="auto"/>
                <w:kern w:val="2"/>
                <w:sz w:val="24"/>
                <w:szCs w:val="22"/>
                <w:lang w:val="en-US" w:eastAsia="zh-CN" w:bidi="ar-SA"/>
              </w:rPr>
              <w:t>C、</w:t>
            </w:r>
            <w:r>
              <w:rPr>
                <w:rFonts w:hint="eastAsia" w:cs="Times New Roman"/>
                <w:b/>
                <w:bCs/>
                <w:color w:val="auto"/>
                <w:highlight w:val="none"/>
                <w:lang w:val="en-US" w:eastAsia="zh-CN"/>
              </w:rPr>
              <w:t>运输车辆清洗用水</w:t>
            </w:r>
          </w:p>
          <w:p w14:paraId="7C74369C">
            <w:pPr>
              <w:spacing w:line="360" w:lineRule="auto"/>
              <w:ind w:firstLine="540" w:firstLineChars="225"/>
              <w:rPr>
                <w:rFonts w:hint="default" w:ascii="Times New Roman" w:hAnsi="Times New Roman" w:eastAsia="宋体" w:cs="Times New Roman"/>
                <w:caps w:val="0"/>
                <w:smallCaps w:val="0"/>
                <w:color w:val="auto"/>
                <w:sz w:val="24"/>
                <w:highlight w:val="none"/>
                <w:lang w:val="en-US" w:eastAsia="zh-CN"/>
              </w:rPr>
            </w:pPr>
            <w:r>
              <w:rPr>
                <w:rFonts w:hint="default" w:ascii="Times New Roman" w:hAnsi="Times New Roman" w:eastAsia="宋体" w:cs="Times New Roman"/>
                <w:caps w:val="0"/>
                <w:smallCaps w:val="0"/>
                <w:color w:val="auto"/>
                <w:sz w:val="24"/>
                <w:highlight w:val="none"/>
                <w:lang w:val="en-US" w:eastAsia="zh-CN"/>
              </w:rPr>
              <w:t>项目运输车辆进出厂区时，车轮上沾有的泥土灰尘会导致运输道路扬尘的产生。</w:t>
            </w:r>
          </w:p>
          <w:p w14:paraId="72331E32">
            <w:pPr>
              <w:spacing w:line="360" w:lineRule="auto"/>
              <w:ind w:firstLine="540" w:firstLineChars="225"/>
              <w:rPr>
                <w:rFonts w:hint="default" w:ascii="Times New Roman" w:hAnsi="Times New Roman" w:eastAsia="宋体" w:cs="Times New Roman"/>
                <w:caps w:val="0"/>
                <w:smallCaps w:val="0"/>
                <w:color w:val="auto"/>
                <w:sz w:val="24"/>
                <w:highlight w:val="none"/>
                <w:lang w:val="en-US" w:eastAsia="zh-CN"/>
              </w:rPr>
            </w:pPr>
            <w:r>
              <w:rPr>
                <w:rFonts w:hint="eastAsia" w:ascii="Times New Roman" w:hAnsi="Times New Roman" w:eastAsia="宋体" w:cs="Times New Roman"/>
                <w:caps w:val="0"/>
                <w:smallCaps w:val="0"/>
                <w:color w:val="auto"/>
                <w:sz w:val="24"/>
                <w:highlight w:val="none"/>
                <w:lang w:val="en-US" w:eastAsia="zh-CN"/>
              </w:rPr>
              <w:t>采石场</w:t>
            </w:r>
            <w:r>
              <w:rPr>
                <w:rFonts w:hint="default" w:ascii="Times New Roman" w:hAnsi="Times New Roman" w:eastAsia="宋体" w:cs="Times New Roman"/>
                <w:caps w:val="0"/>
                <w:smallCaps w:val="0"/>
                <w:color w:val="auto"/>
                <w:sz w:val="24"/>
                <w:highlight w:val="none"/>
                <w:lang w:val="en-US" w:eastAsia="zh-CN"/>
              </w:rPr>
              <w:t>物</w:t>
            </w:r>
            <w:r>
              <w:rPr>
                <w:rFonts w:hint="eastAsia" w:ascii="Times New Roman" w:hAnsi="Times New Roman" w:eastAsia="宋体" w:cs="Times New Roman"/>
                <w:caps w:val="0"/>
                <w:smallCaps w:val="0"/>
                <w:color w:val="auto"/>
                <w:sz w:val="24"/>
                <w:highlight w:val="none"/>
                <w:lang w:val="en-US" w:eastAsia="zh-CN"/>
              </w:rPr>
              <w:t>料运</w:t>
            </w:r>
            <w:r>
              <w:rPr>
                <w:rFonts w:hint="default" w:ascii="Times New Roman" w:hAnsi="Times New Roman" w:eastAsia="宋体" w:cs="Times New Roman"/>
                <w:caps w:val="0"/>
                <w:smallCaps w:val="0"/>
                <w:color w:val="auto"/>
                <w:sz w:val="24"/>
                <w:highlight w:val="none"/>
                <w:lang w:val="en-US" w:eastAsia="zh-CN"/>
              </w:rPr>
              <w:t>输</w:t>
            </w:r>
            <w:r>
              <w:rPr>
                <w:rFonts w:hint="eastAsia" w:ascii="Times New Roman" w:hAnsi="Times New Roman" w:eastAsia="宋体" w:cs="Times New Roman"/>
                <w:caps w:val="0"/>
                <w:smallCaps w:val="0"/>
                <w:color w:val="auto"/>
                <w:sz w:val="24"/>
                <w:highlight w:val="none"/>
                <w:lang w:val="en-US" w:eastAsia="zh-CN"/>
              </w:rPr>
              <w:t>主要为开采出的物料运至破碎站、产品由厂内运出及废土石转运，</w:t>
            </w:r>
            <w:r>
              <w:rPr>
                <w:rFonts w:hint="default" w:ascii="Times New Roman" w:hAnsi="Times New Roman" w:eastAsia="宋体" w:cs="Times New Roman"/>
                <w:caps w:val="0"/>
                <w:smallCaps w:val="0"/>
                <w:color w:val="auto"/>
                <w:sz w:val="24"/>
                <w:highlight w:val="none"/>
                <w:lang w:val="en-US" w:eastAsia="zh-CN"/>
              </w:rPr>
              <w:t>物</w:t>
            </w:r>
            <w:r>
              <w:rPr>
                <w:rFonts w:hint="eastAsia" w:ascii="Times New Roman" w:hAnsi="Times New Roman" w:eastAsia="宋体" w:cs="Times New Roman"/>
                <w:caps w:val="0"/>
                <w:smallCaps w:val="0"/>
                <w:color w:val="auto"/>
                <w:sz w:val="24"/>
                <w:highlight w:val="none"/>
                <w:lang w:val="en-US" w:eastAsia="zh-CN"/>
              </w:rPr>
              <w:t>料运</w:t>
            </w:r>
            <w:r>
              <w:rPr>
                <w:rFonts w:hint="default" w:ascii="Times New Roman" w:hAnsi="Times New Roman" w:eastAsia="宋体" w:cs="Times New Roman"/>
                <w:caps w:val="0"/>
                <w:smallCaps w:val="0"/>
                <w:color w:val="auto"/>
                <w:sz w:val="24"/>
                <w:highlight w:val="none"/>
                <w:lang w:val="en-US" w:eastAsia="zh-CN"/>
              </w:rPr>
              <w:t>输量为</w:t>
            </w:r>
            <w:r>
              <w:rPr>
                <w:rFonts w:hint="eastAsia" w:cs="Times New Roman"/>
                <w:caps w:val="0"/>
                <w:smallCaps w:val="0"/>
                <w:color w:val="auto"/>
                <w:sz w:val="24"/>
                <w:highlight w:val="none"/>
                <w:lang w:val="en-US" w:eastAsia="zh-CN"/>
              </w:rPr>
              <w:t>50</w:t>
            </w:r>
            <w:r>
              <w:rPr>
                <w:rFonts w:hint="eastAsia" w:ascii="Times New Roman" w:hAnsi="Times New Roman" w:eastAsia="宋体" w:cs="Times New Roman"/>
                <w:caps w:val="0"/>
                <w:smallCaps w:val="0"/>
                <w:color w:val="auto"/>
                <w:sz w:val="24"/>
                <w:highlight w:val="none"/>
                <w:lang w:val="en-US" w:eastAsia="zh-CN"/>
              </w:rPr>
              <w:t>万</w:t>
            </w:r>
            <w:r>
              <w:rPr>
                <w:rFonts w:hint="default" w:ascii="Times New Roman" w:hAnsi="Times New Roman" w:eastAsia="宋体" w:cs="Times New Roman"/>
                <w:caps w:val="0"/>
                <w:smallCaps w:val="0"/>
                <w:color w:val="auto"/>
                <w:sz w:val="24"/>
                <w:highlight w:val="none"/>
                <w:lang w:val="en-US" w:eastAsia="zh-CN"/>
              </w:rPr>
              <w:t>t/a，运输车辆平均载重</w:t>
            </w:r>
            <w:r>
              <w:rPr>
                <w:rFonts w:hint="eastAsia" w:ascii="Times New Roman" w:hAnsi="Times New Roman" w:eastAsia="宋体" w:cs="Times New Roman"/>
                <w:caps w:val="0"/>
                <w:smallCaps w:val="0"/>
                <w:color w:val="auto"/>
                <w:sz w:val="24"/>
                <w:highlight w:val="none"/>
                <w:lang w:val="en-US" w:eastAsia="zh-CN"/>
              </w:rPr>
              <w:t>约</w:t>
            </w:r>
            <w:r>
              <w:rPr>
                <w:rFonts w:hint="default" w:ascii="Times New Roman" w:hAnsi="Times New Roman" w:eastAsia="宋体" w:cs="Times New Roman"/>
                <w:caps w:val="0"/>
                <w:smallCaps w:val="0"/>
                <w:color w:val="auto"/>
                <w:sz w:val="24"/>
                <w:highlight w:val="none"/>
                <w:lang w:val="en-US" w:eastAsia="zh-CN"/>
              </w:rPr>
              <w:t>2</w:t>
            </w:r>
            <w:r>
              <w:rPr>
                <w:rFonts w:hint="eastAsia" w:cs="Times New Roman"/>
                <w:caps w:val="0"/>
                <w:smallCaps w:val="0"/>
                <w:color w:val="auto"/>
                <w:sz w:val="24"/>
                <w:highlight w:val="none"/>
                <w:lang w:val="en-US" w:eastAsia="zh-CN"/>
              </w:rPr>
              <w:t>5</w:t>
            </w:r>
            <w:r>
              <w:rPr>
                <w:rFonts w:hint="default" w:ascii="Times New Roman" w:hAnsi="Times New Roman" w:eastAsia="宋体" w:cs="Times New Roman"/>
                <w:caps w:val="0"/>
                <w:smallCaps w:val="0"/>
                <w:color w:val="auto"/>
                <w:sz w:val="24"/>
                <w:highlight w:val="none"/>
                <w:lang w:val="en-US" w:eastAsia="zh-CN"/>
              </w:rPr>
              <w:t>t，则共运输</w:t>
            </w:r>
            <w:r>
              <w:rPr>
                <w:rFonts w:hint="eastAsia" w:cs="Times New Roman"/>
                <w:caps w:val="0"/>
                <w:smallCaps w:val="0"/>
                <w:color w:val="auto"/>
                <w:sz w:val="24"/>
                <w:highlight w:val="none"/>
                <w:lang w:val="en-US" w:eastAsia="zh-CN"/>
              </w:rPr>
              <w:t>2</w:t>
            </w:r>
            <w:r>
              <w:rPr>
                <w:rFonts w:hint="eastAsia" w:ascii="Times New Roman" w:hAnsi="Times New Roman" w:eastAsia="宋体" w:cs="Times New Roman"/>
                <w:caps w:val="0"/>
                <w:smallCaps w:val="0"/>
                <w:color w:val="auto"/>
                <w:sz w:val="24"/>
                <w:highlight w:val="none"/>
                <w:lang w:val="en-US" w:eastAsia="zh-CN"/>
              </w:rPr>
              <w:t>0000</w:t>
            </w:r>
            <w:r>
              <w:rPr>
                <w:rFonts w:hint="default" w:ascii="Times New Roman" w:hAnsi="Times New Roman" w:eastAsia="宋体" w:cs="Times New Roman"/>
                <w:caps w:val="0"/>
                <w:smallCaps w:val="0"/>
                <w:color w:val="auto"/>
                <w:sz w:val="24"/>
                <w:highlight w:val="none"/>
                <w:lang w:val="en-US" w:eastAsia="zh-CN"/>
              </w:rPr>
              <w:t>车次/a。</w:t>
            </w:r>
            <w:r>
              <w:rPr>
                <w:rFonts w:hint="eastAsia" w:ascii="Times New Roman" w:hAnsi="Times New Roman" w:eastAsia="宋体" w:cs="Times New Roman"/>
                <w:caps w:val="0"/>
                <w:smallCaps w:val="0"/>
                <w:color w:val="auto"/>
                <w:sz w:val="24"/>
                <w:highlight w:val="none"/>
                <w:lang w:val="en-US" w:eastAsia="zh-CN"/>
              </w:rPr>
              <w:t>根据《云南省地方标准 用水定额》（DT53/T168-2026）清洗服务（洗车）中手动洗车（中型车）</w:t>
            </w:r>
            <w:r>
              <w:rPr>
                <w:rFonts w:hint="default" w:ascii="Times New Roman" w:hAnsi="Times New Roman" w:eastAsia="宋体" w:cs="Times New Roman"/>
                <w:caps w:val="0"/>
                <w:smallCaps w:val="0"/>
                <w:color w:val="auto"/>
                <w:sz w:val="24"/>
                <w:highlight w:val="none"/>
                <w:lang w:val="en-US" w:eastAsia="zh-CN"/>
              </w:rPr>
              <w:t>清洗用水量按0.0</w:t>
            </w:r>
            <w:r>
              <w:rPr>
                <w:rFonts w:hint="eastAsia" w:ascii="Times New Roman" w:hAnsi="Times New Roman" w:eastAsia="宋体" w:cs="Times New Roman"/>
                <w:caps w:val="0"/>
                <w:smallCaps w:val="0"/>
                <w:color w:val="auto"/>
                <w:sz w:val="24"/>
                <w:highlight w:val="none"/>
                <w:lang w:val="en-US" w:eastAsia="zh-CN"/>
              </w:rPr>
              <w:t>38</w:t>
            </w:r>
            <w:r>
              <w:rPr>
                <w:rFonts w:hint="default" w:ascii="Times New Roman" w:hAnsi="Times New Roman" w:eastAsia="宋体" w:cs="Times New Roman"/>
                <w:caps w:val="0"/>
                <w:smallCaps w:val="0"/>
                <w:color w:val="auto"/>
                <w:sz w:val="24"/>
                <w:highlight w:val="none"/>
                <w:lang w:val="en-US" w:eastAsia="zh-CN"/>
              </w:rPr>
              <w:t>m</w:t>
            </w:r>
            <w:r>
              <w:rPr>
                <w:rFonts w:hint="default" w:ascii="Times New Roman" w:hAnsi="Times New Roman" w:eastAsia="宋体" w:cs="Times New Roman"/>
                <w:caps w:val="0"/>
                <w:smallCaps w:val="0"/>
                <w:color w:val="auto"/>
                <w:sz w:val="24"/>
                <w:highlight w:val="none"/>
                <w:vertAlign w:val="superscript"/>
                <w:lang w:val="en-US" w:eastAsia="zh-CN"/>
              </w:rPr>
              <w:t>3</w:t>
            </w:r>
            <w:r>
              <w:rPr>
                <w:rFonts w:hint="default" w:ascii="Times New Roman" w:hAnsi="Times New Roman" w:eastAsia="宋体" w:cs="Times New Roman"/>
                <w:caps w:val="0"/>
                <w:smallCaps w:val="0"/>
                <w:color w:val="auto"/>
                <w:sz w:val="24"/>
                <w:highlight w:val="none"/>
                <w:lang w:val="en-US" w:eastAsia="zh-CN"/>
              </w:rPr>
              <w:t>/</w:t>
            </w:r>
            <w:r>
              <w:rPr>
                <w:rFonts w:hint="eastAsia" w:ascii="Times New Roman" w:hAnsi="Times New Roman" w:eastAsia="宋体" w:cs="Times New Roman"/>
                <w:caps w:val="0"/>
                <w:smallCaps w:val="0"/>
                <w:color w:val="auto"/>
                <w:sz w:val="24"/>
                <w:highlight w:val="none"/>
                <w:lang w:val="en-US" w:eastAsia="zh-CN"/>
              </w:rPr>
              <w:t>辆</w:t>
            </w:r>
            <w:r>
              <w:rPr>
                <w:rFonts w:hint="default" w:ascii="Times New Roman" w:hAnsi="Times New Roman" w:eastAsia="宋体" w:cs="Times New Roman"/>
                <w:caps w:val="0"/>
                <w:smallCaps w:val="0"/>
                <w:color w:val="auto"/>
                <w:sz w:val="24"/>
                <w:highlight w:val="none"/>
                <w:lang w:val="en-US" w:eastAsia="zh-CN"/>
              </w:rPr>
              <w:t>·次计，则清洗用水量为</w:t>
            </w:r>
            <w:r>
              <w:rPr>
                <w:rFonts w:hint="eastAsia" w:cs="Times New Roman"/>
                <w:caps w:val="0"/>
                <w:smallCaps w:val="0"/>
                <w:color w:val="auto"/>
                <w:sz w:val="24"/>
                <w:highlight w:val="none"/>
                <w:lang w:val="en-US" w:eastAsia="zh-CN"/>
              </w:rPr>
              <w:t>2.533</w:t>
            </w:r>
            <w:r>
              <w:rPr>
                <w:rFonts w:hint="default" w:ascii="Times New Roman" w:hAnsi="Times New Roman" w:eastAsia="宋体" w:cs="Times New Roman"/>
                <w:caps w:val="0"/>
                <w:smallCaps w:val="0"/>
                <w:color w:val="auto"/>
                <w:sz w:val="24"/>
                <w:highlight w:val="none"/>
                <w:lang w:val="en-US" w:eastAsia="zh-CN"/>
              </w:rPr>
              <w:t>m</w:t>
            </w:r>
            <w:r>
              <w:rPr>
                <w:rFonts w:hint="default" w:ascii="Times New Roman" w:hAnsi="Times New Roman" w:eastAsia="宋体" w:cs="Times New Roman"/>
                <w:caps w:val="0"/>
                <w:smallCaps w:val="0"/>
                <w:color w:val="auto"/>
                <w:sz w:val="24"/>
                <w:highlight w:val="none"/>
                <w:vertAlign w:val="superscript"/>
                <w:lang w:val="en-US" w:eastAsia="zh-CN"/>
              </w:rPr>
              <w:t>3</w:t>
            </w:r>
            <w:r>
              <w:rPr>
                <w:rFonts w:hint="default" w:ascii="Times New Roman" w:hAnsi="Times New Roman" w:eastAsia="宋体" w:cs="Times New Roman"/>
                <w:caps w:val="0"/>
                <w:smallCaps w:val="0"/>
                <w:color w:val="auto"/>
                <w:sz w:val="24"/>
                <w:highlight w:val="none"/>
                <w:lang w:val="en-US" w:eastAsia="zh-CN"/>
              </w:rPr>
              <w:t>/d（</w:t>
            </w:r>
            <w:r>
              <w:rPr>
                <w:rFonts w:hint="eastAsia" w:cs="Times New Roman"/>
                <w:caps w:val="0"/>
                <w:smallCaps w:val="0"/>
                <w:color w:val="auto"/>
                <w:sz w:val="24"/>
                <w:highlight w:val="none"/>
                <w:lang w:val="en-US" w:eastAsia="zh-CN"/>
              </w:rPr>
              <w:t>760</w:t>
            </w:r>
            <w:r>
              <w:rPr>
                <w:rFonts w:hint="default" w:ascii="Times New Roman" w:hAnsi="Times New Roman" w:eastAsia="宋体" w:cs="Times New Roman"/>
                <w:caps w:val="0"/>
                <w:smallCaps w:val="0"/>
                <w:color w:val="auto"/>
                <w:sz w:val="24"/>
                <w:highlight w:val="none"/>
                <w:lang w:val="en-US" w:eastAsia="zh-CN"/>
              </w:rPr>
              <w:t>m</w:t>
            </w:r>
            <w:r>
              <w:rPr>
                <w:rFonts w:hint="default" w:ascii="Times New Roman" w:hAnsi="Times New Roman" w:eastAsia="宋体" w:cs="Times New Roman"/>
                <w:caps w:val="0"/>
                <w:smallCaps w:val="0"/>
                <w:color w:val="auto"/>
                <w:sz w:val="24"/>
                <w:highlight w:val="none"/>
                <w:vertAlign w:val="superscript"/>
                <w:lang w:val="en-US" w:eastAsia="zh-CN"/>
              </w:rPr>
              <w:t>3</w:t>
            </w:r>
            <w:r>
              <w:rPr>
                <w:rFonts w:hint="default" w:ascii="Times New Roman" w:hAnsi="Times New Roman" w:eastAsia="宋体" w:cs="Times New Roman"/>
                <w:caps w:val="0"/>
                <w:smallCaps w:val="0"/>
                <w:color w:val="auto"/>
                <w:sz w:val="24"/>
                <w:highlight w:val="none"/>
                <w:lang w:val="en-US" w:eastAsia="zh-CN"/>
              </w:rPr>
              <w:t>/a），产污系数按</w:t>
            </w:r>
            <w:r>
              <w:rPr>
                <w:rFonts w:hint="eastAsia" w:ascii="Times New Roman" w:hAnsi="Times New Roman" w:eastAsia="宋体" w:cs="Times New Roman"/>
                <w:caps w:val="0"/>
                <w:smallCaps w:val="0"/>
                <w:color w:val="auto"/>
                <w:sz w:val="24"/>
                <w:highlight w:val="none"/>
                <w:lang w:val="en-US" w:eastAsia="zh-CN"/>
              </w:rPr>
              <w:t>0.8</w:t>
            </w:r>
            <w:r>
              <w:rPr>
                <w:rFonts w:hint="default" w:ascii="Times New Roman" w:hAnsi="Times New Roman" w:eastAsia="宋体" w:cs="Times New Roman"/>
                <w:caps w:val="0"/>
                <w:smallCaps w:val="0"/>
                <w:color w:val="auto"/>
                <w:sz w:val="24"/>
                <w:highlight w:val="none"/>
                <w:lang w:val="en-US" w:eastAsia="zh-CN"/>
              </w:rPr>
              <w:t>计，运输车</w:t>
            </w:r>
            <w:r>
              <w:rPr>
                <w:rFonts w:hint="eastAsia" w:ascii="Times New Roman" w:hAnsi="Times New Roman" w:eastAsia="宋体" w:cs="Times New Roman"/>
                <w:caps w:val="0"/>
                <w:smallCaps w:val="0"/>
                <w:color w:val="auto"/>
                <w:sz w:val="24"/>
                <w:highlight w:val="none"/>
                <w:lang w:val="en-US" w:eastAsia="zh-CN"/>
              </w:rPr>
              <w:t>辆</w:t>
            </w:r>
            <w:r>
              <w:rPr>
                <w:rFonts w:hint="default" w:ascii="Times New Roman" w:hAnsi="Times New Roman" w:eastAsia="宋体" w:cs="Times New Roman"/>
                <w:caps w:val="0"/>
                <w:smallCaps w:val="0"/>
                <w:color w:val="auto"/>
                <w:sz w:val="24"/>
                <w:highlight w:val="none"/>
                <w:lang w:val="en-US" w:eastAsia="zh-CN"/>
              </w:rPr>
              <w:t>清洗废水产生量为</w:t>
            </w:r>
            <w:r>
              <w:rPr>
                <w:rFonts w:hint="eastAsia" w:cs="Times New Roman"/>
                <w:caps w:val="0"/>
                <w:smallCaps w:val="0"/>
                <w:color w:val="auto"/>
                <w:sz w:val="24"/>
                <w:highlight w:val="none"/>
                <w:lang w:val="en-US" w:eastAsia="zh-CN"/>
              </w:rPr>
              <w:t>2.027</w:t>
            </w:r>
            <w:r>
              <w:rPr>
                <w:rFonts w:hint="default" w:ascii="Times New Roman" w:hAnsi="Times New Roman" w:eastAsia="宋体" w:cs="Times New Roman"/>
                <w:caps w:val="0"/>
                <w:smallCaps w:val="0"/>
                <w:color w:val="auto"/>
                <w:sz w:val="24"/>
                <w:highlight w:val="none"/>
                <w:lang w:val="en-US" w:eastAsia="zh-CN"/>
              </w:rPr>
              <w:t>m</w:t>
            </w:r>
            <w:r>
              <w:rPr>
                <w:rFonts w:hint="default" w:ascii="Times New Roman" w:hAnsi="Times New Roman" w:eastAsia="宋体" w:cs="Times New Roman"/>
                <w:caps w:val="0"/>
                <w:smallCaps w:val="0"/>
                <w:color w:val="auto"/>
                <w:sz w:val="24"/>
                <w:highlight w:val="none"/>
                <w:vertAlign w:val="superscript"/>
                <w:lang w:val="en-US" w:eastAsia="zh-CN"/>
              </w:rPr>
              <w:t>3</w:t>
            </w:r>
            <w:r>
              <w:rPr>
                <w:rFonts w:hint="default" w:ascii="Times New Roman" w:hAnsi="Times New Roman" w:eastAsia="宋体" w:cs="Times New Roman"/>
                <w:caps w:val="0"/>
                <w:smallCaps w:val="0"/>
                <w:color w:val="auto"/>
                <w:sz w:val="24"/>
                <w:highlight w:val="none"/>
                <w:lang w:val="en-US" w:eastAsia="zh-CN"/>
              </w:rPr>
              <w:t>/d（</w:t>
            </w:r>
            <w:r>
              <w:rPr>
                <w:rFonts w:hint="eastAsia" w:cs="Times New Roman"/>
                <w:caps w:val="0"/>
                <w:smallCaps w:val="0"/>
                <w:color w:val="auto"/>
                <w:sz w:val="24"/>
                <w:highlight w:val="none"/>
                <w:lang w:val="en-US" w:eastAsia="zh-CN"/>
              </w:rPr>
              <w:t>608</w:t>
            </w:r>
            <w:r>
              <w:rPr>
                <w:rFonts w:hint="default" w:ascii="Times New Roman" w:hAnsi="Times New Roman" w:eastAsia="宋体" w:cs="Times New Roman"/>
                <w:caps w:val="0"/>
                <w:smallCaps w:val="0"/>
                <w:color w:val="auto"/>
                <w:sz w:val="24"/>
                <w:highlight w:val="none"/>
                <w:lang w:val="en-US" w:eastAsia="zh-CN"/>
              </w:rPr>
              <w:t>m</w:t>
            </w:r>
            <w:r>
              <w:rPr>
                <w:rFonts w:hint="default" w:ascii="Times New Roman" w:hAnsi="Times New Roman" w:eastAsia="宋体" w:cs="Times New Roman"/>
                <w:caps w:val="0"/>
                <w:smallCaps w:val="0"/>
                <w:color w:val="auto"/>
                <w:sz w:val="24"/>
                <w:highlight w:val="none"/>
                <w:vertAlign w:val="superscript"/>
                <w:lang w:val="en-US" w:eastAsia="zh-CN"/>
              </w:rPr>
              <w:t>3</w:t>
            </w:r>
            <w:r>
              <w:rPr>
                <w:rFonts w:hint="default" w:ascii="Times New Roman" w:hAnsi="Times New Roman" w:eastAsia="宋体" w:cs="Times New Roman"/>
                <w:caps w:val="0"/>
                <w:smallCaps w:val="0"/>
                <w:color w:val="auto"/>
                <w:sz w:val="24"/>
                <w:highlight w:val="none"/>
                <w:lang w:val="en-US" w:eastAsia="zh-CN"/>
              </w:rPr>
              <w:t>/a），在</w:t>
            </w:r>
            <w:r>
              <w:rPr>
                <w:rFonts w:hint="eastAsia" w:ascii="Times New Roman" w:hAnsi="Times New Roman" w:eastAsia="宋体" w:cs="Times New Roman"/>
                <w:caps w:val="0"/>
                <w:smallCaps w:val="0"/>
                <w:color w:val="auto"/>
                <w:sz w:val="24"/>
                <w:highlight w:val="none"/>
                <w:lang w:val="en-US" w:eastAsia="zh-CN"/>
              </w:rPr>
              <w:t>项目</w:t>
            </w:r>
            <w:r>
              <w:rPr>
                <w:rFonts w:hint="default" w:ascii="Times New Roman" w:hAnsi="Times New Roman" w:eastAsia="宋体" w:cs="Times New Roman"/>
                <w:caps w:val="0"/>
                <w:smallCaps w:val="0"/>
                <w:color w:val="auto"/>
                <w:sz w:val="24"/>
                <w:highlight w:val="none"/>
                <w:lang w:val="en-US" w:eastAsia="zh-CN"/>
              </w:rPr>
              <w:t>进出口处设置1个容积为</w:t>
            </w:r>
            <w:r>
              <w:rPr>
                <w:rFonts w:hint="eastAsia" w:cs="Times New Roman"/>
                <w:caps w:val="0"/>
                <w:smallCaps w:val="0"/>
                <w:color w:val="auto"/>
                <w:sz w:val="24"/>
                <w:highlight w:val="none"/>
                <w:lang w:val="en-US" w:eastAsia="zh-CN"/>
              </w:rPr>
              <w:t>5</w:t>
            </w:r>
            <w:r>
              <w:rPr>
                <w:rFonts w:hint="default" w:ascii="Times New Roman" w:hAnsi="Times New Roman" w:eastAsia="宋体" w:cs="Times New Roman"/>
                <w:caps w:val="0"/>
                <w:smallCaps w:val="0"/>
                <w:color w:val="auto"/>
                <w:sz w:val="24"/>
                <w:highlight w:val="none"/>
                <w:lang w:val="en-US" w:eastAsia="zh-CN"/>
              </w:rPr>
              <w:t>m</w:t>
            </w:r>
            <w:r>
              <w:rPr>
                <w:rFonts w:hint="default" w:ascii="Times New Roman" w:hAnsi="Times New Roman" w:eastAsia="宋体" w:cs="Times New Roman"/>
                <w:caps w:val="0"/>
                <w:smallCaps w:val="0"/>
                <w:color w:val="auto"/>
                <w:sz w:val="24"/>
                <w:highlight w:val="none"/>
                <w:vertAlign w:val="superscript"/>
                <w:lang w:val="en-US" w:eastAsia="zh-CN"/>
              </w:rPr>
              <w:t>3</w:t>
            </w:r>
            <w:r>
              <w:rPr>
                <w:rFonts w:hint="default" w:ascii="Times New Roman" w:hAnsi="Times New Roman" w:eastAsia="宋体" w:cs="Times New Roman"/>
                <w:caps w:val="0"/>
                <w:smallCaps w:val="0"/>
                <w:color w:val="auto"/>
                <w:sz w:val="24"/>
                <w:highlight w:val="none"/>
                <w:lang w:val="en-US" w:eastAsia="zh-CN"/>
              </w:rPr>
              <w:t>洗车池</w:t>
            </w:r>
            <w:r>
              <w:rPr>
                <w:rFonts w:hint="eastAsia" w:ascii="Times New Roman" w:hAnsi="Times New Roman" w:eastAsia="宋体" w:cs="Times New Roman"/>
                <w:caps w:val="0"/>
                <w:smallCaps w:val="0"/>
                <w:color w:val="auto"/>
                <w:sz w:val="24"/>
                <w:highlight w:val="none"/>
                <w:lang w:val="en-US" w:eastAsia="zh-CN"/>
              </w:rPr>
              <w:t>收集运输车辆清洗废水</w:t>
            </w:r>
            <w:r>
              <w:rPr>
                <w:rFonts w:hint="default" w:ascii="Times New Roman" w:hAnsi="Times New Roman" w:eastAsia="宋体" w:cs="Times New Roman"/>
                <w:caps w:val="0"/>
                <w:smallCaps w:val="0"/>
                <w:color w:val="auto"/>
                <w:sz w:val="24"/>
                <w:highlight w:val="none"/>
                <w:lang w:val="en-US" w:eastAsia="zh-CN"/>
              </w:rPr>
              <w:t>，</w:t>
            </w:r>
            <w:r>
              <w:rPr>
                <w:rFonts w:hint="eastAsia" w:ascii="Times New Roman" w:hAnsi="Times New Roman" w:eastAsia="宋体" w:cs="Times New Roman"/>
                <w:caps w:val="0"/>
                <w:smallCaps w:val="0"/>
                <w:color w:val="auto"/>
                <w:sz w:val="24"/>
                <w:highlight w:val="none"/>
                <w:lang w:val="en-US" w:eastAsia="zh-CN"/>
              </w:rPr>
              <w:t>清洗废水循环使用，不外排，清洗过程中存在一定损耗，损耗约20％，每天定期补充损耗，补充量为</w:t>
            </w:r>
            <w:r>
              <w:rPr>
                <w:rFonts w:hint="eastAsia" w:cs="Times New Roman"/>
                <w:caps w:val="0"/>
                <w:smallCaps w:val="0"/>
                <w:color w:val="auto"/>
                <w:sz w:val="24"/>
                <w:highlight w:val="none"/>
                <w:lang w:val="en-US" w:eastAsia="zh-CN"/>
              </w:rPr>
              <w:t>0.506</w:t>
            </w:r>
            <w:r>
              <w:rPr>
                <w:rFonts w:hint="default" w:ascii="Times New Roman" w:hAnsi="Times New Roman" w:eastAsia="宋体" w:cs="Times New Roman"/>
                <w:caps w:val="0"/>
                <w:smallCaps w:val="0"/>
                <w:color w:val="auto"/>
                <w:sz w:val="24"/>
                <w:highlight w:val="none"/>
                <w:lang w:val="en-US" w:eastAsia="zh-CN"/>
              </w:rPr>
              <w:t>m</w:t>
            </w:r>
            <w:r>
              <w:rPr>
                <w:rFonts w:hint="default" w:ascii="Times New Roman" w:hAnsi="Times New Roman" w:eastAsia="宋体" w:cs="Times New Roman"/>
                <w:caps w:val="0"/>
                <w:smallCaps w:val="0"/>
                <w:color w:val="auto"/>
                <w:sz w:val="24"/>
                <w:highlight w:val="none"/>
                <w:vertAlign w:val="superscript"/>
                <w:lang w:val="en-US" w:eastAsia="zh-CN"/>
              </w:rPr>
              <w:t>3</w:t>
            </w:r>
            <w:r>
              <w:rPr>
                <w:rFonts w:hint="default" w:ascii="Times New Roman" w:hAnsi="Times New Roman" w:eastAsia="宋体" w:cs="Times New Roman"/>
                <w:caps w:val="0"/>
                <w:smallCaps w:val="0"/>
                <w:color w:val="auto"/>
                <w:sz w:val="24"/>
                <w:highlight w:val="none"/>
                <w:lang w:val="en-US" w:eastAsia="zh-CN"/>
              </w:rPr>
              <w:t>/d（</w:t>
            </w:r>
            <w:r>
              <w:rPr>
                <w:rFonts w:hint="eastAsia" w:cs="Times New Roman"/>
                <w:caps w:val="0"/>
                <w:smallCaps w:val="0"/>
                <w:color w:val="auto"/>
                <w:sz w:val="24"/>
                <w:highlight w:val="none"/>
                <w:lang w:val="en-US" w:eastAsia="zh-CN"/>
              </w:rPr>
              <w:t>152</w:t>
            </w:r>
            <w:r>
              <w:rPr>
                <w:rFonts w:hint="default" w:ascii="Times New Roman" w:hAnsi="Times New Roman" w:eastAsia="宋体" w:cs="Times New Roman"/>
                <w:caps w:val="0"/>
                <w:smallCaps w:val="0"/>
                <w:color w:val="auto"/>
                <w:sz w:val="24"/>
                <w:highlight w:val="none"/>
                <w:lang w:val="en-US" w:eastAsia="zh-CN"/>
              </w:rPr>
              <w:t>m</w:t>
            </w:r>
            <w:r>
              <w:rPr>
                <w:rFonts w:hint="default" w:ascii="Times New Roman" w:hAnsi="Times New Roman" w:eastAsia="宋体" w:cs="Times New Roman"/>
                <w:caps w:val="0"/>
                <w:smallCaps w:val="0"/>
                <w:color w:val="auto"/>
                <w:sz w:val="24"/>
                <w:highlight w:val="none"/>
                <w:vertAlign w:val="superscript"/>
                <w:lang w:val="en-US" w:eastAsia="zh-CN"/>
              </w:rPr>
              <w:t>3</w:t>
            </w:r>
            <w:r>
              <w:rPr>
                <w:rFonts w:hint="default" w:ascii="Times New Roman" w:hAnsi="Times New Roman" w:eastAsia="宋体" w:cs="Times New Roman"/>
                <w:caps w:val="0"/>
                <w:smallCaps w:val="0"/>
                <w:color w:val="auto"/>
                <w:sz w:val="24"/>
                <w:highlight w:val="none"/>
                <w:lang w:val="en-US" w:eastAsia="zh-CN"/>
              </w:rPr>
              <w:t>/a）。</w:t>
            </w:r>
          </w:p>
          <w:p w14:paraId="6D3E433F">
            <w:pPr>
              <w:autoSpaceDE w:val="0"/>
              <w:autoSpaceDN w:val="0"/>
              <w:adjustRightInd w:val="0"/>
              <w:ind w:firstLine="480"/>
              <w:rPr>
                <w:rFonts w:hint="default" w:ascii="Times New Roman" w:hAnsi="Times New Roman" w:eastAsia="宋体" w:cs="Times New Roman"/>
                <w:b/>
                <w:bCs/>
                <w:color w:val="auto"/>
                <w:highlight w:val="none"/>
                <w:lang w:eastAsia="zh-CN"/>
              </w:rPr>
            </w:pPr>
            <w:r>
              <w:rPr>
                <w:rFonts w:hint="eastAsia" w:cs="Times New Roman"/>
                <w:b/>
                <w:bCs/>
                <w:color w:val="auto"/>
                <w:highlight w:val="none"/>
                <w:lang w:val="en-US" w:eastAsia="zh-CN"/>
              </w:rPr>
              <w:t>D</w:t>
            </w:r>
            <w:r>
              <w:rPr>
                <w:rFonts w:hint="default" w:ascii="Times New Roman" w:hAnsi="Times New Roman" w:cs="Times New Roman"/>
                <w:b/>
                <w:bCs/>
                <w:color w:val="auto"/>
                <w:highlight w:val="none"/>
                <w:lang w:val="en-US" w:eastAsia="zh-CN"/>
              </w:rPr>
              <w:t>、露天开采区淋滤水</w:t>
            </w:r>
          </w:p>
          <w:p w14:paraId="56686FD6">
            <w:pPr>
              <w:adjustRightInd w:val="0"/>
              <w:ind w:firstLine="482"/>
              <w:rPr>
                <w:rFonts w:hint="default" w:ascii="Times New Roman" w:hAnsi="Times New Roman" w:cs="Times New Roman"/>
                <w:color w:val="auto"/>
                <w:szCs w:val="21"/>
                <w:highlight w:val="none"/>
              </w:rPr>
            </w:pPr>
            <w:r>
              <w:rPr>
                <w:rFonts w:hint="default" w:ascii="Times New Roman" w:hAnsi="Times New Roman" w:eastAsia="宋体" w:cs="Times New Roman"/>
                <w:color w:val="auto"/>
                <w:highlight w:val="none"/>
                <w:lang w:val="zh-TW" w:eastAsia="zh-TW"/>
              </w:rPr>
              <w:t>矿山为山坡露天开采，区内地下水位较深，最低开采标高为</w:t>
            </w:r>
            <w:r>
              <w:rPr>
                <w:rFonts w:hint="default" w:ascii="Times New Roman" w:hAnsi="Times New Roman" w:eastAsia="宋体" w:cs="Times New Roman"/>
                <w:color w:val="auto"/>
                <w:highlight w:val="none"/>
                <w:lang w:val="zh-TW" w:eastAsia="zh-CN"/>
              </w:rPr>
              <w:t>2160m</w:t>
            </w:r>
            <w:r>
              <w:rPr>
                <w:rFonts w:hint="default" w:ascii="Times New Roman" w:hAnsi="Times New Roman" w:eastAsia="宋体" w:cs="Times New Roman"/>
                <w:color w:val="auto"/>
                <w:highlight w:val="none"/>
                <w:lang w:val="zh-TW" w:eastAsia="zh-TW"/>
              </w:rPr>
              <w:t>，均位于矿区侵蚀基准面标高</w:t>
            </w:r>
            <w:r>
              <w:rPr>
                <w:rFonts w:hint="default" w:ascii="Times New Roman" w:hAnsi="Times New Roman" w:eastAsia="宋体" w:cs="Times New Roman"/>
                <w:color w:val="auto"/>
                <w:highlight w:val="none"/>
                <w:lang w:val="en-US" w:eastAsia="zh-CN"/>
              </w:rPr>
              <w:t>2100</w:t>
            </w:r>
            <w:r>
              <w:rPr>
                <w:rFonts w:hint="default" w:ascii="Times New Roman" w:hAnsi="Times New Roman" w:eastAsia="宋体" w:cs="Times New Roman"/>
                <w:color w:val="auto"/>
                <w:highlight w:val="none"/>
                <w:lang w:val="zh-TW" w:eastAsia="zh-TW"/>
              </w:rPr>
              <w:t>m之上</w:t>
            </w:r>
            <w:r>
              <w:rPr>
                <w:rFonts w:hint="default" w:ascii="Times New Roman" w:hAnsi="Times New Roman" w:eastAsia="宋体" w:cs="Times New Roman"/>
                <w:color w:val="auto"/>
                <w:highlight w:val="none"/>
                <w:lang w:val="zh-TW" w:eastAsia="zh-CN"/>
              </w:rPr>
              <w:t>，</w:t>
            </w:r>
            <w:r>
              <w:rPr>
                <w:rFonts w:hint="default" w:ascii="Times New Roman" w:hAnsi="Times New Roman" w:eastAsia="宋体" w:cs="Times New Roman"/>
                <w:caps w:val="0"/>
                <w:smallCaps w:val="0"/>
                <w:color w:val="auto"/>
                <w:highlight w:val="none"/>
              </w:rPr>
              <w:t>开采过程中不会产生涌水</w:t>
            </w:r>
            <w:r>
              <w:rPr>
                <w:rFonts w:hint="default" w:ascii="Times New Roman" w:hAnsi="Times New Roman" w:eastAsia="宋体" w:cs="Times New Roman"/>
                <w:color w:val="auto"/>
                <w:highlight w:val="none"/>
                <w:lang w:val="zh-TW" w:eastAsia="zh-CN"/>
              </w:rPr>
              <w:t>。</w:t>
            </w:r>
            <w:r>
              <w:rPr>
                <w:rFonts w:hint="default" w:ascii="Times New Roman" w:hAnsi="Times New Roman" w:cs="Times New Roman"/>
                <w:color w:val="auto"/>
                <w:szCs w:val="21"/>
                <w:highlight w:val="none"/>
              </w:rPr>
              <w:t>由于项目区大多为裸露的地表，场地淋滤水中含有大量的SS，产生浓度可以达到500mg/L</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项目露天开采区汇水面积3.99hm</w:t>
            </w:r>
            <w:r>
              <w:rPr>
                <w:rFonts w:hint="default" w:ascii="Times New Roman" w:hAnsi="Times New Roman" w:cs="Times New Roman"/>
                <w:color w:val="auto"/>
                <w:szCs w:val="21"/>
                <w:highlight w:val="none"/>
                <w:vertAlign w:val="superscript"/>
                <w:lang w:val="en-US" w:eastAsia="zh-CN"/>
              </w:rPr>
              <w:t>2</w:t>
            </w:r>
            <w:r>
              <w:rPr>
                <w:rFonts w:hint="default" w:ascii="Times New Roman" w:hAnsi="Times New Roman" w:cs="Times New Roman"/>
                <w:color w:val="auto"/>
                <w:szCs w:val="21"/>
                <w:highlight w:val="none"/>
                <w:vertAlign w:val="baseline"/>
                <w:lang w:val="en-US" w:eastAsia="zh-CN"/>
              </w:rPr>
              <w:t>，本次评价采用年平均降水量法来计算采区淋滤水产生量，计算公式如下：</w:t>
            </w:r>
          </w:p>
          <w:p w14:paraId="7F97585A">
            <w:pPr>
              <w:adjustRightInd w:val="0"/>
              <w:ind w:firstLine="48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Q=A·φ·F·</w:t>
            </w:r>
            <w:r>
              <w:rPr>
                <w:rFonts w:hint="default" w:ascii="Times New Roman" w:hAnsi="Times New Roman" w:cs="Times New Roman"/>
                <w:color w:val="auto"/>
                <w:szCs w:val="21"/>
                <w:highlight w:val="none"/>
                <w:lang w:val="en-US" w:eastAsia="zh-CN"/>
              </w:rPr>
              <w:t>10</w:t>
            </w:r>
            <w:r>
              <w:rPr>
                <w:rFonts w:hint="default" w:ascii="Times New Roman" w:hAnsi="Times New Roman" w:cs="Times New Roman"/>
                <w:color w:val="auto"/>
                <w:szCs w:val="21"/>
                <w:highlight w:val="none"/>
                <w:vertAlign w:val="superscript"/>
                <w:lang w:val="en-US" w:eastAsia="zh-CN"/>
              </w:rPr>
              <w:t>-3</w:t>
            </w:r>
          </w:p>
          <w:p w14:paraId="0211821C">
            <w:pPr>
              <w:adjustRightInd w:val="0"/>
              <w:ind w:firstLine="480"/>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式中：</w:t>
            </w:r>
            <w:r>
              <w:rPr>
                <w:rFonts w:hint="default" w:ascii="Times New Roman" w:hAnsi="Times New Roman" w:cs="Times New Roman"/>
                <w:color w:val="auto"/>
                <w:szCs w:val="21"/>
                <w:highlight w:val="none"/>
                <w:lang w:val="en-US" w:eastAsia="zh-CN"/>
              </w:rPr>
              <w:t>Q—汇集雨水产生量（</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lang w:val="en-US" w:eastAsia="zh-CN"/>
              </w:rPr>
              <w:t>）</w:t>
            </w:r>
          </w:p>
          <w:p w14:paraId="6C257F4F">
            <w:pPr>
              <w:adjustRightInd w:val="0"/>
              <w:ind w:firstLine="1200" w:firstLineChars="5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rPr>
              <w:t>A—日降雨量（</w:t>
            </w:r>
            <w:r>
              <w:rPr>
                <w:rFonts w:hint="eastAsia" w:cs="Times New Roman"/>
                <w:color w:val="auto"/>
                <w:szCs w:val="21"/>
                <w:highlight w:val="none"/>
                <w:lang w:val="en-US" w:eastAsia="zh-CN"/>
              </w:rPr>
              <w:t>m</w:t>
            </w:r>
            <w:r>
              <w:rPr>
                <w:rFonts w:hint="default" w:ascii="Times New Roman" w:hAnsi="Times New Roman" w:eastAsia="宋体" w:cs="Times New Roman"/>
                <w:color w:val="auto"/>
                <w:szCs w:val="21"/>
                <w:highlight w:val="none"/>
              </w:rPr>
              <w:t>m/d）</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寻甸县</w:t>
            </w:r>
            <w:r>
              <w:rPr>
                <w:rFonts w:hint="default" w:ascii="Times New Roman" w:hAnsi="Times New Roman" w:eastAsia="宋体" w:cs="Times New Roman"/>
                <w:color w:val="auto"/>
                <w:szCs w:val="21"/>
                <w:highlight w:val="none"/>
                <w:lang w:val="en-US" w:eastAsia="zh-CN"/>
              </w:rPr>
              <w:t>柯渡镇</w:t>
            </w:r>
            <w:r>
              <w:rPr>
                <w:rFonts w:hint="default" w:ascii="Times New Roman" w:hAnsi="Times New Roman" w:eastAsia="宋体" w:cs="Times New Roman"/>
                <w:color w:val="auto"/>
                <w:szCs w:val="21"/>
                <w:highlight w:val="none"/>
              </w:rPr>
              <w:t>多年平均降水量</w:t>
            </w:r>
            <w:r>
              <w:rPr>
                <w:rFonts w:hint="default" w:ascii="Times New Roman" w:hAnsi="Times New Roman" w:eastAsia="宋体" w:cs="Times New Roman"/>
                <w:color w:val="auto"/>
                <w:szCs w:val="21"/>
                <w:highlight w:val="none"/>
                <w:lang w:val="en-US" w:eastAsia="zh-CN"/>
              </w:rPr>
              <w:t>为1034毫米/年，降雨天数以</w:t>
            </w:r>
            <w:r>
              <w:rPr>
                <w:rFonts w:hint="eastAsia" w:cs="Times New Roman"/>
                <w:color w:val="auto"/>
                <w:szCs w:val="21"/>
                <w:highlight w:val="none"/>
                <w:lang w:val="en-US" w:eastAsia="zh-CN"/>
              </w:rPr>
              <w:t>145</w:t>
            </w:r>
            <w:r>
              <w:rPr>
                <w:rFonts w:hint="default" w:ascii="Times New Roman" w:hAnsi="Times New Roman" w:eastAsia="宋体" w:cs="Times New Roman"/>
                <w:color w:val="auto"/>
                <w:szCs w:val="21"/>
                <w:highlight w:val="none"/>
                <w:lang w:val="en-US" w:eastAsia="zh-CN"/>
              </w:rPr>
              <w:t>天计，则降雨日平均降雨量约</w:t>
            </w:r>
            <w:r>
              <w:rPr>
                <w:rFonts w:hint="eastAsia" w:cs="Times New Roman"/>
                <w:color w:val="auto"/>
                <w:szCs w:val="21"/>
                <w:highlight w:val="none"/>
                <w:lang w:val="en-US" w:eastAsia="zh-CN"/>
              </w:rPr>
              <w:t>7.13</w:t>
            </w:r>
            <w:r>
              <w:rPr>
                <w:rFonts w:hint="default" w:ascii="Times New Roman" w:hAnsi="Times New Roman" w:eastAsia="宋体" w:cs="Times New Roman"/>
                <w:color w:val="auto"/>
                <w:szCs w:val="21"/>
                <w:highlight w:val="none"/>
                <w:lang w:val="en-US" w:eastAsia="zh-CN"/>
              </w:rPr>
              <w:t>mm；</w:t>
            </w:r>
          </w:p>
          <w:p w14:paraId="7591FB66">
            <w:pPr>
              <w:adjustRightInd w:val="0"/>
              <w:ind w:firstLine="1200" w:firstLineChars="500"/>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F—汇水面积（m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highlight w:val="none"/>
              </w:rPr>
              <w:t>项目</w:t>
            </w:r>
            <w:r>
              <w:rPr>
                <w:rFonts w:hint="default" w:ascii="Times New Roman" w:hAnsi="Times New Roman" w:cs="Times New Roman"/>
                <w:color w:val="auto"/>
                <w:highlight w:val="none"/>
                <w:lang w:eastAsia="zh-CN"/>
              </w:rPr>
              <w:t>露天开采区</w:t>
            </w:r>
            <w:r>
              <w:rPr>
                <w:rFonts w:hint="default" w:ascii="Times New Roman" w:hAnsi="Times New Roman" w:cs="Times New Roman"/>
                <w:color w:val="auto"/>
                <w:highlight w:val="none"/>
              </w:rPr>
              <w:t>分台阶边开采边复垦，最大作业场面积为</w:t>
            </w:r>
            <w:r>
              <w:rPr>
                <w:rFonts w:hint="default" w:ascii="Times New Roman" w:hAnsi="Times New Roman" w:cs="Times New Roman"/>
                <w:color w:val="auto"/>
                <w:highlight w:val="none"/>
                <w:lang w:val="en-US" w:eastAsia="zh-CN"/>
              </w:rPr>
              <w:t>39900</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vertAlign w:val="baseline"/>
                <w:lang w:eastAsia="zh-CN"/>
              </w:rPr>
              <w:t>；</w:t>
            </w:r>
          </w:p>
          <w:p w14:paraId="7C666213">
            <w:pPr>
              <w:adjustRightInd w:val="0"/>
              <w:ind w:firstLine="1200" w:firstLineChars="5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φ—地表径流系数，根据《煤炭工业露天矿疏干排水设计规范》（GB51173-2016）表4.1.7径流系数泥岩、砂质泥岩、凝灰岩、砂岩、石灰岩径流系数0.6~0.7，本项目属于石灰岩，露天采场径流系数取大值0.7；此外表4.1.7注1：表中1~7类岩土的径流系数，当用于长历时暴雨径流量计算时，其值应减去0.1-0.2；因此计算年淋滤水产生量时，露天采场径流系数为0.6。</w:t>
            </w:r>
          </w:p>
          <w:p w14:paraId="2AE82301">
            <w:pPr>
              <w:adjustRightInd w:val="0"/>
              <w:ind w:firstLine="480"/>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项目露天采区最大工作面积</w:t>
            </w:r>
            <w:r>
              <w:rPr>
                <w:rFonts w:hint="default" w:ascii="Times New Roman" w:hAnsi="Times New Roman" w:cs="Times New Roman"/>
                <w:bCs/>
                <w:color w:val="auto"/>
                <w:szCs w:val="21"/>
                <w:highlight w:val="none"/>
                <w:lang w:val="en-US" w:eastAsia="zh-CN"/>
              </w:rPr>
              <w:t>39900</w:t>
            </w:r>
            <w:r>
              <w:rPr>
                <w:rFonts w:hint="default" w:ascii="Times New Roman" w:hAnsi="Times New Roman" w:cs="Times New Roman"/>
                <w:bCs/>
                <w:color w:val="auto"/>
                <w:szCs w:val="21"/>
                <w:highlight w:val="none"/>
              </w:rPr>
              <w:t>m</w:t>
            </w:r>
            <w:r>
              <w:rPr>
                <w:rFonts w:hint="default" w:ascii="Times New Roman" w:hAnsi="Times New Roman" w:cs="Times New Roman"/>
                <w:bCs/>
                <w:color w:val="auto"/>
                <w:szCs w:val="21"/>
                <w:highlight w:val="none"/>
                <w:vertAlign w:val="superscript"/>
              </w:rPr>
              <w:t>2</w:t>
            </w:r>
            <w:r>
              <w:rPr>
                <w:rFonts w:hint="default" w:ascii="Times New Roman" w:hAnsi="Times New Roman" w:cs="Times New Roman"/>
                <w:bCs/>
                <w:color w:val="auto"/>
                <w:szCs w:val="21"/>
                <w:highlight w:val="none"/>
              </w:rPr>
              <w:t>，</w:t>
            </w:r>
            <w:r>
              <w:rPr>
                <w:rFonts w:hint="default" w:ascii="Times New Roman" w:hAnsi="Times New Roman" w:cs="Times New Roman"/>
                <w:color w:val="auto"/>
                <w:szCs w:val="21"/>
                <w:highlight w:val="none"/>
              </w:rPr>
              <w:t>经计算，正常降雨情况下，露天采区淋滤水产生量约为</w:t>
            </w:r>
            <w:r>
              <w:rPr>
                <w:rFonts w:hint="eastAsia" w:cs="Times New Roman"/>
                <w:color w:val="auto"/>
                <w:szCs w:val="21"/>
                <w:highlight w:val="none"/>
                <w:lang w:val="en-US" w:eastAsia="zh-CN"/>
              </w:rPr>
              <w:t>170.692</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/d，</w:t>
            </w:r>
            <w:r>
              <w:rPr>
                <w:rFonts w:hint="default" w:ascii="Times New Roman" w:hAnsi="Times New Roman" w:cs="Times New Roman"/>
                <w:color w:val="auto"/>
                <w:szCs w:val="21"/>
                <w:highlight w:val="none"/>
                <w:lang w:val="en-US" w:eastAsia="zh-CN"/>
              </w:rPr>
              <w:t>247</w:t>
            </w:r>
            <w:r>
              <w:rPr>
                <w:rFonts w:hint="eastAsia" w:cs="Times New Roman"/>
                <w:color w:val="auto"/>
                <w:szCs w:val="21"/>
                <w:highlight w:val="none"/>
                <w:lang w:val="en-US" w:eastAsia="zh-CN"/>
              </w:rPr>
              <w:t>50</w:t>
            </w:r>
            <w:r>
              <w:rPr>
                <w:rFonts w:hint="default" w:ascii="Times New Roman" w:hAnsi="Times New Roman" w:cs="Times New Roman"/>
                <w:color w:val="auto"/>
                <w:szCs w:val="21"/>
                <w:highlight w:val="none"/>
                <w:lang w:val="en-US" w:eastAsia="zh-CN"/>
              </w:rPr>
              <w:t>.</w:t>
            </w:r>
            <w:r>
              <w:rPr>
                <w:rFonts w:hint="eastAsia" w:cs="Times New Roman"/>
                <w:color w:val="auto"/>
                <w:szCs w:val="21"/>
                <w:highlight w:val="none"/>
                <w:lang w:val="en-US" w:eastAsia="zh-CN"/>
              </w:rPr>
              <w:t>34</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a</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露天开采区淋滤水通过采区最底部平台排水沟收集到采区</w:t>
            </w:r>
            <w:r>
              <w:rPr>
                <w:rFonts w:hint="default" w:ascii="Times New Roman" w:hAnsi="Times New Roman" w:cs="Times New Roman"/>
                <w:color w:val="auto"/>
                <w:szCs w:val="21"/>
                <w:highlight w:val="none"/>
              </w:rPr>
              <w:t>下游</w:t>
            </w:r>
            <w:r>
              <w:rPr>
                <w:rFonts w:hint="default" w:ascii="Times New Roman" w:hAnsi="Times New Roman" w:cs="Times New Roman"/>
                <w:color w:val="auto"/>
                <w:szCs w:val="21"/>
                <w:highlight w:val="none"/>
                <w:lang w:val="en-US" w:eastAsia="zh-CN"/>
              </w:rPr>
              <w:t>沉砂池，</w:t>
            </w:r>
            <w:r>
              <w:rPr>
                <w:rFonts w:hint="default" w:ascii="Times New Roman" w:hAnsi="Times New Roman" w:cs="Times New Roman"/>
                <w:color w:val="auto"/>
                <w:szCs w:val="21"/>
                <w:highlight w:val="none"/>
                <w:lang w:eastAsia="zh-CN"/>
              </w:rPr>
              <w:t>沉砂池</w:t>
            </w:r>
            <w:r>
              <w:rPr>
                <w:rFonts w:hint="default" w:ascii="Times New Roman" w:hAnsi="Times New Roman" w:cs="Times New Roman"/>
                <w:color w:val="auto"/>
                <w:szCs w:val="21"/>
                <w:highlight w:val="none"/>
              </w:rPr>
              <w:t>容积按淋滤水产生量1.2的安全系数考虑，容积为</w:t>
            </w:r>
            <w:r>
              <w:rPr>
                <w:rFonts w:hint="eastAsia" w:cs="Times New Roman"/>
                <w:color w:val="auto"/>
                <w:szCs w:val="21"/>
                <w:highlight w:val="none"/>
                <w:lang w:val="en-US" w:eastAsia="zh-CN"/>
              </w:rPr>
              <w:t>205</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lang w:val="en-US" w:eastAsia="zh-CN"/>
              </w:rPr>
              <w:t>，</w:t>
            </w:r>
            <w:r>
              <w:rPr>
                <w:rFonts w:hint="default" w:ascii="Times New Roman" w:hAnsi="Times New Roman" w:cs="Times New Roman"/>
                <w:color w:val="auto"/>
                <w:szCs w:val="21"/>
                <w:highlight w:val="none"/>
                <w:lang w:eastAsia="zh-CN"/>
              </w:rPr>
              <w:t>沉砂池</w:t>
            </w:r>
            <w:r>
              <w:rPr>
                <w:rFonts w:hint="default" w:ascii="Times New Roman" w:hAnsi="Times New Roman" w:cs="Times New Roman"/>
                <w:color w:val="auto"/>
                <w:szCs w:val="21"/>
                <w:highlight w:val="none"/>
              </w:rPr>
              <w:t>对</w:t>
            </w:r>
            <w:r>
              <w:rPr>
                <w:rFonts w:hint="default" w:ascii="Times New Roman" w:hAnsi="Times New Roman" w:cs="Times New Roman"/>
                <w:color w:val="auto"/>
                <w:szCs w:val="21"/>
                <w:highlight w:val="none"/>
                <w:lang w:val="en-US" w:eastAsia="zh-CN"/>
              </w:rPr>
              <w:t>淋滤水</w:t>
            </w:r>
            <w:r>
              <w:rPr>
                <w:rFonts w:hint="default" w:ascii="Times New Roman" w:hAnsi="Times New Roman" w:cs="Times New Roman"/>
                <w:color w:val="auto"/>
                <w:szCs w:val="21"/>
                <w:highlight w:val="none"/>
              </w:rPr>
              <w:t>进行沉淀后晴天回用于洒水降尘。</w:t>
            </w:r>
          </w:p>
          <w:p w14:paraId="167C1E5D">
            <w:pPr>
              <w:autoSpaceDE w:val="0"/>
              <w:autoSpaceDN w:val="0"/>
              <w:adjustRightInd w:val="0"/>
              <w:ind w:firstLine="480"/>
              <w:rPr>
                <w:rFonts w:hint="eastAsia" w:cs="Times New Roman"/>
                <w:color w:val="auto"/>
                <w:highlight w:val="none"/>
                <w:lang w:val="en-US" w:eastAsia="zh-CN"/>
              </w:rPr>
            </w:pPr>
            <w:r>
              <w:rPr>
                <w:rFonts w:hint="eastAsia" w:ascii="Times New Roman" w:hAnsi="Times New Roman" w:cs="Times New Roman"/>
                <w:b/>
                <w:bCs/>
                <w:color w:val="auto"/>
                <w:highlight w:val="none"/>
                <w:lang w:val="en-US" w:eastAsia="zh-CN"/>
              </w:rPr>
              <w:t>D、临时表土堆场淋滤水</w:t>
            </w:r>
          </w:p>
          <w:p w14:paraId="226BC481">
            <w:pPr>
              <w:adjustRightInd w:val="0"/>
              <w:ind w:firstLine="480"/>
              <w:rPr>
                <w:rFonts w:hint="eastAsia" w:cs="Times New Roman"/>
                <w:bCs/>
                <w:color w:val="auto"/>
                <w:szCs w:val="21"/>
                <w:highlight w:val="none"/>
                <w:lang w:eastAsia="zh-CN"/>
              </w:rPr>
            </w:pPr>
            <w:r>
              <w:rPr>
                <w:rFonts w:hint="eastAsia" w:ascii="Times New Roman" w:hAnsi="Times New Roman" w:cs="Times New Roman"/>
                <w:bCs/>
                <w:color w:val="auto"/>
                <w:szCs w:val="21"/>
                <w:highlight w:val="none"/>
                <w:lang w:val="en-US" w:eastAsia="zh-CN"/>
              </w:rPr>
              <w:t>临时表土堆场面积</w:t>
            </w:r>
            <w:r>
              <w:rPr>
                <w:rFonts w:hint="eastAsia" w:cs="Times New Roman"/>
                <w:bCs/>
                <w:color w:val="auto"/>
                <w:szCs w:val="21"/>
                <w:highlight w:val="none"/>
                <w:lang w:val="en-US" w:eastAsia="zh-CN"/>
              </w:rPr>
              <w:t>3000</w:t>
            </w:r>
            <w:r>
              <w:rPr>
                <w:rFonts w:hint="eastAsia" w:ascii="Times New Roman" w:hAnsi="Times New Roman" w:cs="Times New Roman"/>
                <w:bCs/>
                <w:color w:val="auto"/>
                <w:szCs w:val="21"/>
                <w:highlight w:val="none"/>
                <w:lang w:val="en-US" w:eastAsia="zh-CN"/>
              </w:rPr>
              <w:t>m</w:t>
            </w:r>
            <w:r>
              <w:rPr>
                <w:rFonts w:hint="eastAsia" w:ascii="Times New Roman" w:hAnsi="Times New Roman" w:cs="Times New Roman"/>
                <w:bCs/>
                <w:color w:val="auto"/>
                <w:szCs w:val="21"/>
                <w:highlight w:val="none"/>
                <w:vertAlign w:val="superscript"/>
                <w:lang w:val="en-US" w:eastAsia="zh-CN"/>
              </w:rPr>
              <w:t>2</w:t>
            </w:r>
            <w:r>
              <w:rPr>
                <w:rFonts w:hint="eastAsia" w:ascii="宋体" w:hAnsi="宋体" w:eastAsia="宋体" w:cs="宋体"/>
                <w:bCs/>
                <w:color w:val="auto"/>
                <w:szCs w:val="21"/>
                <w:highlight w:val="none"/>
                <w:lang w:val="en-US" w:eastAsia="zh-CN"/>
              </w:rPr>
              <w:t>，其淋滤水</w:t>
            </w:r>
            <w:r>
              <w:rPr>
                <w:rFonts w:hint="eastAsia" w:ascii="Times New Roman" w:hAnsi="Times New Roman" w:cs="Times New Roman"/>
                <w:bCs/>
                <w:color w:val="auto"/>
                <w:szCs w:val="21"/>
                <w:highlight w:val="none"/>
                <w:lang w:val="en-US" w:eastAsia="zh-CN"/>
              </w:rPr>
              <w:t>计算方法同露天开采区，</w:t>
            </w:r>
            <w:r>
              <w:rPr>
                <w:rFonts w:hint="eastAsia" w:ascii="Times New Roman" w:hAnsi="Times New Roman" w:cs="Times New Roman"/>
                <w:bCs/>
                <w:color w:val="auto"/>
                <w:szCs w:val="21"/>
                <w:highlight w:val="none"/>
              </w:rPr>
              <w:t>根据《煤炭工业露天矿疏干排水设计规范》（GB51173-2016）表4.1.7以土壤为主的排土场，径流系数为0.2</w:t>
            </w:r>
            <w:r>
              <w:rPr>
                <w:rFonts w:hint="eastAsia" w:cs="Times New Roman"/>
                <w:bCs/>
                <w:color w:val="auto"/>
                <w:szCs w:val="21"/>
                <w:highlight w:val="none"/>
                <w:lang w:eastAsia="zh-CN"/>
              </w:rPr>
              <w:t>。</w:t>
            </w:r>
          </w:p>
          <w:p w14:paraId="49E278CC">
            <w:pPr>
              <w:adjustRightInd w:val="0"/>
              <w:ind w:firstLine="480"/>
              <w:rPr>
                <w:rFonts w:hint="default" w:cs="Times New Roman"/>
                <w:bCs/>
                <w:color w:val="auto"/>
                <w:szCs w:val="21"/>
                <w:highlight w:val="none"/>
                <w:lang w:val="en-US" w:eastAsia="zh-CN"/>
              </w:rPr>
            </w:pPr>
            <w:r>
              <w:rPr>
                <w:rFonts w:hint="eastAsia" w:cs="Times New Roman"/>
                <w:bCs/>
                <w:color w:val="auto"/>
                <w:szCs w:val="21"/>
                <w:highlight w:val="none"/>
                <w:lang w:val="en-US" w:eastAsia="zh-CN"/>
              </w:rPr>
              <w:t>经计算，淋滤水产生量为4.278m</w:t>
            </w:r>
            <w:r>
              <w:rPr>
                <w:rFonts w:hint="eastAsia" w:cs="Times New Roman"/>
                <w:bCs/>
                <w:color w:val="auto"/>
                <w:szCs w:val="21"/>
                <w:highlight w:val="none"/>
                <w:vertAlign w:val="superscript"/>
                <w:lang w:val="en-US" w:eastAsia="zh-CN"/>
              </w:rPr>
              <w:t>3</w:t>
            </w:r>
            <w:r>
              <w:rPr>
                <w:rFonts w:hint="eastAsia" w:cs="Times New Roman"/>
                <w:bCs/>
                <w:color w:val="auto"/>
                <w:szCs w:val="21"/>
                <w:highlight w:val="none"/>
                <w:lang w:val="en-US" w:eastAsia="zh-CN"/>
              </w:rPr>
              <w:t>/d、620.31m</w:t>
            </w:r>
            <w:r>
              <w:rPr>
                <w:rFonts w:hint="eastAsia" w:cs="Times New Roman"/>
                <w:bCs/>
                <w:color w:val="auto"/>
                <w:szCs w:val="21"/>
                <w:highlight w:val="none"/>
                <w:vertAlign w:val="superscript"/>
                <w:lang w:val="en-US" w:eastAsia="zh-CN"/>
              </w:rPr>
              <w:t>3</w:t>
            </w:r>
            <w:r>
              <w:rPr>
                <w:rFonts w:hint="eastAsia" w:cs="Times New Roman"/>
                <w:bCs/>
                <w:color w:val="auto"/>
                <w:szCs w:val="21"/>
                <w:highlight w:val="none"/>
                <w:lang w:val="en-US" w:eastAsia="zh-CN"/>
              </w:rPr>
              <w:t>/a，沉砂池容积考虑1.2的富余系数，在临时表土堆场地势最低处建设1个容积为6m</w:t>
            </w:r>
            <w:r>
              <w:rPr>
                <w:rFonts w:hint="eastAsia" w:cs="Times New Roman"/>
                <w:bCs/>
                <w:color w:val="auto"/>
                <w:szCs w:val="21"/>
                <w:highlight w:val="none"/>
                <w:vertAlign w:val="superscript"/>
                <w:lang w:val="en-US" w:eastAsia="zh-CN"/>
              </w:rPr>
              <w:t>3</w:t>
            </w:r>
            <w:r>
              <w:rPr>
                <w:rFonts w:hint="eastAsia" w:cs="Times New Roman"/>
                <w:bCs/>
                <w:color w:val="auto"/>
                <w:szCs w:val="21"/>
                <w:highlight w:val="none"/>
                <w:lang w:val="en-US" w:eastAsia="zh-CN"/>
              </w:rPr>
              <w:t>的沉砂池。</w:t>
            </w:r>
          </w:p>
          <w:p w14:paraId="3387CFE1">
            <w:pPr>
              <w:autoSpaceDE w:val="0"/>
              <w:autoSpaceDN w:val="0"/>
              <w:adjustRightInd w:val="0"/>
              <w:ind w:firstLine="480"/>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E</w:t>
            </w:r>
            <w:r>
              <w:rPr>
                <w:rFonts w:hint="default" w:ascii="Times New Roman" w:hAnsi="Times New Roman" w:cs="Times New Roman"/>
                <w:b/>
                <w:bCs/>
                <w:color w:val="auto"/>
                <w:highlight w:val="none"/>
                <w:lang w:val="en-US" w:eastAsia="zh-CN"/>
              </w:rPr>
              <w:t>、工业场地</w:t>
            </w:r>
            <w:r>
              <w:rPr>
                <w:rFonts w:hint="eastAsia" w:ascii="Times New Roman" w:hAnsi="Times New Roman" w:cs="Times New Roman"/>
                <w:b/>
                <w:bCs/>
                <w:color w:val="auto"/>
                <w:highlight w:val="none"/>
                <w:lang w:val="en-US" w:eastAsia="zh-CN"/>
              </w:rPr>
              <w:t>区</w:t>
            </w:r>
            <w:r>
              <w:rPr>
                <w:rFonts w:hint="default" w:ascii="Times New Roman" w:hAnsi="Times New Roman" w:cs="Times New Roman"/>
                <w:b/>
                <w:bCs/>
                <w:color w:val="auto"/>
                <w:highlight w:val="none"/>
                <w:lang w:val="en-US" w:eastAsia="zh-CN"/>
              </w:rPr>
              <w:t>初期雨水</w:t>
            </w:r>
          </w:p>
          <w:p w14:paraId="2E285343">
            <w:pPr>
              <w:adjustRightInd w:val="0"/>
              <w:ind w:firstLine="480"/>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lang w:val="en-US" w:eastAsia="zh-CN"/>
              </w:rPr>
              <w:t>工业场地区初期雨水</w:t>
            </w:r>
            <w:r>
              <w:rPr>
                <w:rFonts w:hint="default" w:ascii="Times New Roman" w:hAnsi="Times New Roman" w:cs="Times New Roman"/>
                <w:bCs/>
                <w:color w:val="auto"/>
                <w:szCs w:val="21"/>
                <w:highlight w:val="none"/>
              </w:rPr>
              <w:t>产生情况</w:t>
            </w:r>
            <w:r>
              <w:rPr>
                <w:rFonts w:hint="default" w:ascii="Times New Roman" w:hAnsi="Times New Roman" w:cs="Times New Roman"/>
                <w:color w:val="auto"/>
                <w:szCs w:val="21"/>
                <w:highlight w:val="none"/>
              </w:rPr>
              <w:t>采用暴雨强度公式及参数进行核算：</w:t>
            </w:r>
          </w:p>
          <w:p w14:paraId="7193D110">
            <w:pPr>
              <w:adjustRightInd w:val="0"/>
              <w:ind w:left="0" w:leftChars="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Q=ψ·q·F</w:t>
            </w:r>
          </w:p>
          <w:p w14:paraId="3CAA2730">
            <w:pPr>
              <w:adjustRightInd w:val="0"/>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式中：Q—雨水流量（L/s）；</w:t>
            </w:r>
          </w:p>
          <w:p w14:paraId="4071235E">
            <w:pPr>
              <w:adjustRightInd w:val="0"/>
              <w:ind w:firstLine="1200" w:firstLineChars="5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ψ—径流系数，</w:t>
            </w:r>
            <w:r>
              <w:rPr>
                <w:rFonts w:hint="default" w:ascii="Times New Roman" w:hAnsi="Times New Roman" w:cs="Times New Roman"/>
                <w:color w:val="auto"/>
                <w:szCs w:val="21"/>
                <w:highlight w:val="none"/>
                <w:lang w:val="en-US" w:eastAsia="zh-CN"/>
              </w:rPr>
              <w:t>非铺砌土路面</w:t>
            </w:r>
            <w:r>
              <w:rPr>
                <w:rFonts w:hint="default" w:ascii="Times New Roman" w:hAnsi="Times New Roman" w:cs="Times New Roman"/>
                <w:color w:val="auto"/>
                <w:szCs w:val="21"/>
                <w:highlight w:val="none"/>
              </w:rPr>
              <w:t>取0.</w:t>
            </w: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w:t>
            </w:r>
          </w:p>
          <w:p w14:paraId="3EDB2689">
            <w:pPr>
              <w:adjustRightInd w:val="0"/>
              <w:ind w:firstLine="1200" w:firstLineChars="5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q—设计暴雨强度，L/s·hm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w:t>
            </w:r>
          </w:p>
          <w:p w14:paraId="02088453">
            <w:pPr>
              <w:adjustRightInd w:val="0"/>
              <w:ind w:left="1440" w:leftChars="500" w:hanging="240" w:hangingChars="1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F—汇水面积（hm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w:t>
            </w:r>
          </w:p>
          <w:p w14:paraId="117805F1">
            <w:pPr>
              <w:adjustRightInd w:val="0"/>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降雨强度按昆明地区暴雨强度公式计算：</w:t>
            </w:r>
          </w:p>
          <w:p w14:paraId="562EF78B">
            <w:pPr>
              <w:adjustRightInd w:val="0"/>
              <w:ind w:left="0" w:leftChars="0"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q=700（1+0.775lgP）/t</w:t>
            </w:r>
            <w:r>
              <w:rPr>
                <w:rFonts w:hint="default" w:ascii="Times New Roman" w:hAnsi="Times New Roman" w:cs="Times New Roman"/>
                <w:color w:val="auto"/>
                <w:szCs w:val="21"/>
                <w:highlight w:val="none"/>
                <w:vertAlign w:val="superscript"/>
              </w:rPr>
              <w:t>0.496</w:t>
            </w:r>
          </w:p>
          <w:p w14:paraId="4C861FCF">
            <w:pPr>
              <w:adjustRightInd w:val="0"/>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式中：P—设计降雨重现期10a，</w:t>
            </w:r>
          </w:p>
          <w:p w14:paraId="269CF1FE">
            <w:pPr>
              <w:adjustRightInd w:val="0"/>
              <w:ind w:firstLine="1200" w:firstLineChars="5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t—降雨历时（取30min）。</w:t>
            </w:r>
          </w:p>
          <w:p w14:paraId="760E6BDC">
            <w:pPr>
              <w:adjustRightInd w:val="0"/>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计算得降雨强度q为229.96L/s·hm</w:t>
            </w:r>
            <w:r>
              <w:rPr>
                <w:rFonts w:hint="default" w:ascii="Times New Roman" w:hAnsi="Times New Roman" w:cs="Times New Roman"/>
                <w:color w:val="auto"/>
                <w:szCs w:val="21"/>
                <w:highlight w:val="none"/>
                <w:vertAlign w:val="superscript"/>
              </w:rPr>
              <w:t>2</w:t>
            </w:r>
            <w:r>
              <w:rPr>
                <w:rFonts w:hint="default" w:ascii="Times New Roman" w:hAnsi="Times New Roman" w:cs="Times New Roman"/>
                <w:color w:val="auto"/>
                <w:szCs w:val="21"/>
                <w:highlight w:val="none"/>
              </w:rPr>
              <w:t>。</w:t>
            </w:r>
          </w:p>
          <w:p w14:paraId="34EA0BBA">
            <w:pPr>
              <w:adjustRightInd w:val="0"/>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bCs/>
                <w:color w:val="auto"/>
                <w:szCs w:val="21"/>
                <w:highlight w:val="none"/>
              </w:rPr>
              <w:t>项目</w:t>
            </w:r>
            <w:r>
              <w:rPr>
                <w:rFonts w:hint="default" w:ascii="Times New Roman" w:hAnsi="Times New Roman" w:cs="Times New Roman"/>
                <w:bCs/>
                <w:color w:val="auto"/>
                <w:szCs w:val="21"/>
                <w:highlight w:val="none"/>
                <w:lang w:val="en-US" w:eastAsia="zh-CN"/>
              </w:rPr>
              <w:t>工业场地区</w:t>
            </w:r>
            <w:r>
              <w:rPr>
                <w:rFonts w:hint="default" w:ascii="Times New Roman" w:hAnsi="Times New Roman" w:cs="Times New Roman"/>
                <w:bCs/>
                <w:color w:val="auto"/>
                <w:szCs w:val="21"/>
                <w:highlight w:val="none"/>
              </w:rPr>
              <w:t>最大工作面积</w:t>
            </w:r>
            <w:r>
              <w:rPr>
                <w:rFonts w:hint="default" w:ascii="Times New Roman" w:hAnsi="Times New Roman" w:cs="Times New Roman"/>
                <w:bCs/>
                <w:color w:val="auto"/>
                <w:szCs w:val="21"/>
                <w:highlight w:val="none"/>
                <w:lang w:val="en-US" w:eastAsia="zh-CN"/>
              </w:rPr>
              <w:t>1.09h</w:t>
            </w:r>
            <w:r>
              <w:rPr>
                <w:rFonts w:hint="default" w:ascii="Times New Roman" w:hAnsi="Times New Roman" w:cs="Times New Roman"/>
                <w:bCs/>
                <w:color w:val="auto"/>
                <w:szCs w:val="21"/>
                <w:highlight w:val="none"/>
              </w:rPr>
              <w:t>m</w:t>
            </w:r>
            <w:r>
              <w:rPr>
                <w:rFonts w:hint="default" w:ascii="Times New Roman" w:hAnsi="Times New Roman" w:cs="Times New Roman"/>
                <w:bCs/>
                <w:color w:val="auto"/>
                <w:szCs w:val="21"/>
                <w:highlight w:val="none"/>
                <w:vertAlign w:val="superscript"/>
              </w:rPr>
              <w:t>2</w:t>
            </w: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lang w:val="en-US" w:eastAsia="zh-CN"/>
              </w:rPr>
              <w:t>经计算工业场地区</w:t>
            </w:r>
            <w:r>
              <w:rPr>
                <w:rFonts w:hint="default" w:ascii="Times New Roman" w:hAnsi="Times New Roman" w:cs="Times New Roman"/>
                <w:bCs/>
                <w:color w:val="auto"/>
                <w:szCs w:val="21"/>
                <w:highlight w:val="none"/>
              </w:rPr>
              <w:t>雨水流量</w:t>
            </w:r>
            <w:r>
              <w:rPr>
                <w:rFonts w:hint="default" w:ascii="Times New Roman" w:hAnsi="Times New Roman" w:cs="Times New Roman"/>
                <w:bCs/>
                <w:color w:val="auto"/>
                <w:szCs w:val="21"/>
                <w:highlight w:val="none"/>
                <w:lang w:val="en-US" w:eastAsia="zh-CN"/>
              </w:rPr>
              <w:t>75.20</w:t>
            </w:r>
            <w:r>
              <w:rPr>
                <w:rFonts w:hint="default" w:ascii="Times New Roman" w:hAnsi="Times New Roman" w:cs="Times New Roman"/>
                <w:bCs/>
                <w:color w:val="auto"/>
                <w:szCs w:val="21"/>
                <w:highlight w:val="none"/>
              </w:rPr>
              <w:t>L/s</w:t>
            </w:r>
            <w:r>
              <w:rPr>
                <w:rFonts w:hint="default" w:ascii="Times New Roman" w:hAnsi="Times New Roman" w:cs="Times New Roman"/>
                <w:color w:val="auto"/>
                <w:szCs w:val="21"/>
                <w:highlight w:val="none"/>
              </w:rPr>
              <w:t>。项目对暴雨条件下前</w:t>
            </w:r>
            <w:r>
              <w:rPr>
                <w:rFonts w:hint="default" w:ascii="Times New Roman" w:hAnsi="Times New Roman" w:cs="Times New Roman"/>
                <w:color w:val="auto"/>
                <w:szCs w:val="21"/>
                <w:highlight w:val="none"/>
                <w:lang w:val="en-US" w:eastAsia="zh-CN"/>
              </w:rPr>
              <w:t>15</w:t>
            </w:r>
            <w:r>
              <w:rPr>
                <w:rFonts w:hint="default" w:ascii="Times New Roman" w:hAnsi="Times New Roman" w:cs="Times New Roman"/>
                <w:color w:val="auto"/>
                <w:szCs w:val="21"/>
                <w:highlight w:val="none"/>
              </w:rPr>
              <w:t>分钟雨水进行收集处理，暴雨条件下</w:t>
            </w:r>
            <w:r>
              <w:rPr>
                <w:rFonts w:hint="default" w:ascii="Times New Roman" w:hAnsi="Times New Roman" w:cs="Times New Roman"/>
                <w:color w:val="auto"/>
                <w:szCs w:val="21"/>
                <w:highlight w:val="none"/>
                <w:lang w:val="en-US" w:eastAsia="zh-CN"/>
              </w:rPr>
              <w:t>15</w:t>
            </w:r>
            <w:r>
              <w:rPr>
                <w:rFonts w:hint="default" w:ascii="Times New Roman" w:hAnsi="Times New Roman" w:cs="Times New Roman"/>
                <w:color w:val="auto"/>
                <w:szCs w:val="21"/>
                <w:highlight w:val="none"/>
              </w:rPr>
              <w:t>分钟内最大雨水产生量为</w:t>
            </w:r>
            <w:r>
              <w:rPr>
                <w:rFonts w:hint="default" w:ascii="Times New Roman" w:hAnsi="Times New Roman" w:cs="Times New Roman"/>
                <w:color w:val="auto"/>
                <w:szCs w:val="21"/>
                <w:highlight w:val="none"/>
                <w:lang w:val="en-US" w:eastAsia="zh-CN"/>
              </w:rPr>
              <w:t>67.68</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vertAlign w:val="baseline"/>
                <w:lang w:val="en-US" w:eastAsia="zh-CN"/>
              </w:rPr>
              <w:t>/次</w:t>
            </w:r>
            <w:r>
              <w:rPr>
                <w:rFonts w:hint="default" w:ascii="Times New Roman" w:hAnsi="Times New Roman" w:cs="Times New Roman"/>
                <w:color w:val="auto"/>
                <w:szCs w:val="21"/>
                <w:highlight w:val="none"/>
                <w:vertAlign w:val="baseline"/>
                <w:lang w:eastAsia="zh-CN"/>
              </w:rPr>
              <w:t>，</w:t>
            </w:r>
            <w:r>
              <w:rPr>
                <w:rFonts w:hint="eastAsia" w:cs="Times New Roman"/>
                <w:color w:val="auto"/>
                <w:szCs w:val="21"/>
                <w:highlight w:val="none"/>
                <w:vertAlign w:val="baseline"/>
                <w:lang w:val="en-US" w:eastAsia="zh-CN"/>
              </w:rPr>
              <w:t>9813.6</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vertAlign w:val="baseline"/>
                <w:lang w:val="en-US" w:eastAsia="zh-CN"/>
              </w:rPr>
              <w:t>/a（</w:t>
            </w:r>
            <w:r>
              <w:rPr>
                <w:rFonts w:hint="default" w:ascii="Times New Roman" w:hAnsi="Times New Roman" w:eastAsia="宋体" w:cs="Times New Roman"/>
                <w:color w:val="auto"/>
                <w:szCs w:val="21"/>
                <w:highlight w:val="none"/>
                <w:lang w:val="en-US" w:eastAsia="zh-CN"/>
              </w:rPr>
              <w:t>降雨天数以1</w:t>
            </w:r>
            <w:r>
              <w:rPr>
                <w:rFonts w:hint="eastAsia" w:cs="Times New Roman"/>
                <w:color w:val="auto"/>
                <w:szCs w:val="21"/>
                <w:highlight w:val="none"/>
                <w:lang w:val="en-US" w:eastAsia="zh-CN"/>
              </w:rPr>
              <w:t>45</w:t>
            </w:r>
            <w:r>
              <w:rPr>
                <w:rFonts w:hint="default" w:ascii="Times New Roman" w:hAnsi="Times New Roman" w:eastAsia="宋体" w:cs="Times New Roman"/>
                <w:color w:val="auto"/>
                <w:szCs w:val="21"/>
                <w:highlight w:val="none"/>
                <w:lang w:val="en-US" w:eastAsia="zh-CN"/>
              </w:rPr>
              <w:t>天计</w:t>
            </w:r>
            <w:r>
              <w:rPr>
                <w:rFonts w:hint="default" w:ascii="Times New Roman" w:hAnsi="Times New Roman" w:cs="Times New Roman"/>
                <w:color w:val="auto"/>
                <w:szCs w:val="21"/>
                <w:highlight w:val="none"/>
                <w:vertAlign w:val="baseline"/>
                <w:lang w:val="en-US" w:eastAsia="zh-CN"/>
              </w:rPr>
              <w:t>）。</w:t>
            </w:r>
          </w:p>
          <w:p w14:paraId="247A44A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在工业场地</w:t>
            </w:r>
            <w:r>
              <w:rPr>
                <w:rFonts w:hint="default" w:ascii="Times New Roman" w:hAnsi="Times New Roman" w:cs="Times New Roman"/>
                <w:color w:val="auto"/>
                <w:highlight w:val="none"/>
                <w:lang w:val="en-US" w:eastAsia="zh-CN"/>
              </w:rPr>
              <w:t>南侧</w:t>
            </w:r>
            <w:r>
              <w:rPr>
                <w:rFonts w:hint="default" w:ascii="Times New Roman" w:hAnsi="Times New Roman" w:cs="Times New Roman"/>
                <w:color w:val="auto"/>
                <w:highlight w:val="none"/>
              </w:rPr>
              <w:t>布置</w:t>
            </w:r>
            <w:r>
              <w:rPr>
                <w:rFonts w:hint="default" w:ascii="Times New Roman" w:hAnsi="Times New Roman" w:cs="Times New Roman"/>
                <w:color w:val="auto"/>
                <w:highlight w:val="none"/>
                <w:lang w:val="en-US" w:eastAsia="zh-CN"/>
              </w:rPr>
              <w:t>排</w:t>
            </w:r>
            <w:r>
              <w:rPr>
                <w:rFonts w:hint="default" w:ascii="Times New Roman" w:hAnsi="Times New Roman" w:cs="Times New Roman"/>
                <w:color w:val="auto"/>
                <w:highlight w:val="none"/>
              </w:rPr>
              <w:t>水沟，降水时大部分雨水可通过排水</w:t>
            </w:r>
            <w:r>
              <w:rPr>
                <w:rFonts w:hint="default" w:ascii="Times New Roman" w:hAnsi="Times New Roman" w:cs="Times New Roman"/>
                <w:color w:val="auto"/>
                <w:highlight w:val="none"/>
                <w:lang w:val="en-US" w:eastAsia="zh-CN"/>
              </w:rPr>
              <w:t>沟</w:t>
            </w:r>
            <w:r>
              <w:rPr>
                <w:rFonts w:hint="default" w:ascii="Times New Roman" w:hAnsi="Times New Roman" w:cs="Times New Roman"/>
                <w:color w:val="auto"/>
                <w:highlight w:val="none"/>
              </w:rPr>
              <w:t>排入</w:t>
            </w:r>
            <w:r>
              <w:rPr>
                <w:rFonts w:hint="default" w:ascii="Times New Roman" w:hAnsi="Times New Roman" w:cs="Times New Roman"/>
                <w:color w:val="auto"/>
                <w:highlight w:val="none"/>
                <w:lang w:val="en-US" w:eastAsia="zh-CN"/>
              </w:rPr>
              <w:t>沉砂池</w:t>
            </w:r>
            <w:r>
              <w:rPr>
                <w:rFonts w:hint="default" w:ascii="Times New Roman" w:hAnsi="Times New Roman" w:cs="Times New Roman"/>
                <w:color w:val="auto"/>
                <w:highlight w:val="none"/>
              </w:rPr>
              <w:t>，经</w:t>
            </w:r>
            <w:r>
              <w:rPr>
                <w:rFonts w:hint="default" w:ascii="Times New Roman" w:hAnsi="Times New Roman" w:cs="Times New Roman"/>
                <w:color w:val="auto"/>
                <w:highlight w:val="none"/>
                <w:lang w:val="en-US" w:eastAsia="zh-CN"/>
              </w:rPr>
              <w:t>沉砂池</w:t>
            </w:r>
            <w:r>
              <w:rPr>
                <w:rFonts w:hint="default" w:ascii="Times New Roman" w:hAnsi="Times New Roman" w:cs="Times New Roman"/>
                <w:color w:val="auto"/>
                <w:highlight w:val="none"/>
              </w:rPr>
              <w:t>处理后</w:t>
            </w:r>
            <w:r>
              <w:rPr>
                <w:rFonts w:hint="default" w:ascii="Times New Roman" w:hAnsi="Times New Roman" w:cs="Times New Roman"/>
                <w:color w:val="auto"/>
                <w:szCs w:val="21"/>
                <w:highlight w:val="none"/>
              </w:rPr>
              <w:t>晴天回用于洒水降尘</w:t>
            </w:r>
            <w:r>
              <w:rPr>
                <w:rFonts w:hint="default" w:ascii="Times New Roman" w:hAnsi="Times New Roman" w:cs="Times New Roman"/>
                <w:color w:val="auto"/>
                <w:highlight w:val="none"/>
              </w:rPr>
              <w:t>。本</w:t>
            </w:r>
            <w:r>
              <w:rPr>
                <w:rFonts w:hint="default" w:ascii="Times New Roman" w:hAnsi="Times New Roman" w:cs="Times New Roman"/>
                <w:color w:val="auto"/>
                <w:highlight w:val="none"/>
                <w:lang w:val="en-US" w:eastAsia="zh-CN"/>
              </w:rPr>
              <w:t>项目</w:t>
            </w:r>
            <w:r>
              <w:rPr>
                <w:rFonts w:hint="default" w:ascii="Times New Roman" w:hAnsi="Times New Roman" w:cs="Times New Roman"/>
                <w:color w:val="auto"/>
                <w:highlight w:val="none"/>
              </w:rPr>
              <w:t>在工业场地</w:t>
            </w:r>
            <w:r>
              <w:rPr>
                <w:rFonts w:hint="default" w:ascii="Times New Roman" w:hAnsi="Times New Roman" w:cs="Times New Roman"/>
                <w:color w:val="auto"/>
                <w:highlight w:val="none"/>
                <w:lang w:val="en-US" w:eastAsia="zh-CN"/>
              </w:rPr>
              <w:t>南侧</w:t>
            </w:r>
            <w:r>
              <w:rPr>
                <w:rFonts w:hint="default" w:ascii="Times New Roman" w:hAnsi="Times New Roman" w:cs="Times New Roman"/>
                <w:color w:val="auto"/>
                <w:highlight w:val="none"/>
              </w:rPr>
              <w:t>设置</w:t>
            </w:r>
            <w:r>
              <w:rPr>
                <w:rFonts w:hint="default" w:ascii="Times New Roman" w:hAnsi="Times New Roman" w:cs="Times New Roman"/>
                <w:color w:val="auto"/>
                <w:highlight w:val="none"/>
                <w:lang w:eastAsia="zh-CN"/>
              </w:rPr>
              <w:t>沉砂池</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沉砂池</w:t>
            </w:r>
            <w:r>
              <w:rPr>
                <w:rFonts w:hint="default" w:ascii="Times New Roman" w:hAnsi="Times New Roman" w:cs="Times New Roman"/>
                <w:color w:val="auto"/>
                <w:highlight w:val="none"/>
              </w:rPr>
              <w:t>容积按</w:t>
            </w:r>
            <w:r>
              <w:rPr>
                <w:rFonts w:hint="default" w:ascii="Times New Roman" w:hAnsi="Times New Roman" w:cs="Times New Roman"/>
                <w:color w:val="auto"/>
                <w:highlight w:val="none"/>
                <w:lang w:val="en-US" w:eastAsia="zh-CN"/>
              </w:rPr>
              <w:t>初期雨水</w:t>
            </w:r>
            <w:r>
              <w:rPr>
                <w:rFonts w:hint="default" w:ascii="Times New Roman" w:hAnsi="Times New Roman" w:cs="Times New Roman"/>
                <w:color w:val="auto"/>
                <w:highlight w:val="none"/>
              </w:rPr>
              <w:t>产生量1.2的安全系数考虑，容积为</w:t>
            </w:r>
            <w:r>
              <w:rPr>
                <w:rFonts w:hint="default" w:ascii="Times New Roman" w:hAnsi="Times New Roman" w:cs="Times New Roman"/>
                <w:color w:val="auto"/>
                <w:highlight w:val="none"/>
                <w:lang w:val="en-US" w:eastAsia="zh-CN"/>
              </w:rPr>
              <w:t>82</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，工业场地</w:t>
            </w:r>
            <w:r>
              <w:rPr>
                <w:rFonts w:hint="default" w:ascii="Times New Roman" w:hAnsi="Times New Roman" w:cs="Times New Roman"/>
                <w:color w:val="auto"/>
                <w:highlight w:val="none"/>
                <w:lang w:val="en-US" w:eastAsia="zh-CN"/>
              </w:rPr>
              <w:t>区</w:t>
            </w:r>
            <w:r>
              <w:rPr>
                <w:rFonts w:hint="default" w:ascii="Times New Roman" w:hAnsi="Times New Roman" w:cs="Times New Roman"/>
                <w:color w:val="auto"/>
                <w:highlight w:val="none"/>
              </w:rPr>
              <w:t>初期雨水经沉淀后回用于洒水降尘。</w:t>
            </w:r>
          </w:p>
          <w:p w14:paraId="731DDBDC">
            <w:pPr>
              <w:numPr>
                <w:ilvl w:val="0"/>
                <w:numId w:val="0"/>
              </w:numPr>
              <w:ind w:firstLine="482" w:firstLineChars="200"/>
              <w:rPr>
                <w:rFonts w:hint="eastAsia" w:cs="Times New Roman"/>
                <w:b/>
                <w:bCs/>
                <w:color w:val="auto"/>
                <w:highlight w:val="none"/>
                <w:lang w:val="en-US" w:eastAsia="zh-CN"/>
              </w:rPr>
            </w:pPr>
            <w:r>
              <w:rPr>
                <w:rFonts w:hint="eastAsia" w:ascii="Times New Roman" w:hAnsi="Times New Roman" w:eastAsia="宋体" w:cs="Times New Roman"/>
                <w:b/>
                <w:bCs/>
                <w:color w:val="auto"/>
                <w:kern w:val="2"/>
                <w:sz w:val="24"/>
                <w:szCs w:val="22"/>
                <w:lang w:val="en-US" w:eastAsia="zh-CN" w:bidi="ar-SA"/>
              </w:rPr>
              <w:t>F、</w:t>
            </w:r>
            <w:r>
              <w:rPr>
                <w:rFonts w:hint="eastAsia" w:cs="Times New Roman"/>
                <w:b/>
                <w:bCs/>
                <w:color w:val="auto"/>
                <w:highlight w:val="none"/>
                <w:lang w:val="en-US" w:eastAsia="zh-CN"/>
              </w:rPr>
              <w:t>办公生活区初期雨水</w:t>
            </w:r>
          </w:p>
          <w:p w14:paraId="171824C1">
            <w:pPr>
              <w:adjustRightInd w:val="0"/>
              <w:ind w:firstLine="480"/>
              <w:rPr>
                <w:rFonts w:hint="default" w:ascii="Times New Roman" w:hAnsi="Times New Roman" w:cs="Times New Roman"/>
                <w:color w:val="auto"/>
                <w:szCs w:val="21"/>
                <w:highlight w:val="none"/>
                <w:vertAlign w:val="baseline"/>
                <w:lang w:val="en-US" w:eastAsia="zh-CN"/>
              </w:rPr>
            </w:pPr>
            <w:r>
              <w:rPr>
                <w:rFonts w:hint="eastAsia" w:ascii="Times New Roman" w:hAnsi="Times New Roman" w:cs="Times New Roman"/>
                <w:bCs/>
                <w:color w:val="auto"/>
                <w:szCs w:val="21"/>
                <w:highlight w:val="none"/>
                <w:lang w:val="en-US" w:eastAsia="zh-CN"/>
              </w:rPr>
              <w:t>项目办公生活区面积为0.25</w:t>
            </w:r>
            <w:r>
              <w:rPr>
                <w:rFonts w:hint="default" w:ascii="Times New Roman" w:hAnsi="Times New Roman" w:cs="Times New Roman"/>
                <w:bCs/>
                <w:color w:val="auto"/>
                <w:szCs w:val="21"/>
                <w:highlight w:val="none"/>
                <w:lang w:val="en-US" w:eastAsia="zh-CN"/>
              </w:rPr>
              <w:t>h</w:t>
            </w:r>
            <w:r>
              <w:rPr>
                <w:rFonts w:hint="default" w:ascii="Times New Roman" w:hAnsi="Times New Roman" w:cs="Times New Roman"/>
                <w:bCs/>
                <w:color w:val="auto"/>
                <w:szCs w:val="21"/>
                <w:highlight w:val="none"/>
              </w:rPr>
              <w:t>m</w:t>
            </w:r>
            <w:r>
              <w:rPr>
                <w:rFonts w:hint="default" w:ascii="Times New Roman" w:hAnsi="Times New Roman" w:cs="Times New Roman"/>
                <w:bCs/>
                <w:color w:val="auto"/>
                <w:szCs w:val="21"/>
                <w:highlight w:val="none"/>
                <w:vertAlign w:val="superscript"/>
              </w:rPr>
              <w:t>2</w:t>
            </w:r>
            <w:r>
              <w:rPr>
                <w:rFonts w:hint="eastAsia" w:cs="Times New Roman"/>
                <w:bCs/>
                <w:color w:val="auto"/>
                <w:szCs w:val="21"/>
                <w:highlight w:val="none"/>
                <w:vertAlign w:val="baseline"/>
                <w:lang w:eastAsia="zh-CN"/>
              </w:rPr>
              <w:t>，</w:t>
            </w:r>
            <w:r>
              <w:rPr>
                <w:rFonts w:hint="eastAsia" w:cs="Times New Roman"/>
                <w:bCs/>
                <w:color w:val="auto"/>
                <w:szCs w:val="21"/>
                <w:highlight w:val="none"/>
                <w:vertAlign w:val="baseline"/>
                <w:lang w:val="en-US" w:eastAsia="zh-CN"/>
              </w:rPr>
              <w:t>其初期雨水计算方法同工业场地区，地面混凝土硬化径流系数取0.85，经计算办公生活区雨水流量为48.87</w:t>
            </w:r>
            <w:r>
              <w:rPr>
                <w:rFonts w:hint="default" w:ascii="Times New Roman" w:hAnsi="Times New Roman" w:cs="Times New Roman"/>
                <w:bCs/>
                <w:color w:val="auto"/>
                <w:szCs w:val="21"/>
                <w:highlight w:val="none"/>
              </w:rPr>
              <w:t>L/s</w:t>
            </w:r>
            <w:r>
              <w:rPr>
                <w:rFonts w:hint="eastAsia" w:cs="Times New Roman"/>
                <w:bCs/>
                <w:color w:val="auto"/>
                <w:szCs w:val="21"/>
                <w:highlight w:val="none"/>
                <w:lang w:eastAsia="zh-CN"/>
              </w:rPr>
              <w:t>。</w:t>
            </w:r>
            <w:r>
              <w:rPr>
                <w:rFonts w:hint="default" w:ascii="Times New Roman" w:hAnsi="Times New Roman" w:cs="Times New Roman"/>
                <w:color w:val="auto"/>
                <w:szCs w:val="21"/>
                <w:highlight w:val="none"/>
              </w:rPr>
              <w:t>项目对暴雨条件下前</w:t>
            </w:r>
            <w:r>
              <w:rPr>
                <w:rFonts w:hint="default" w:ascii="Times New Roman" w:hAnsi="Times New Roman" w:cs="Times New Roman"/>
                <w:color w:val="auto"/>
                <w:szCs w:val="21"/>
                <w:highlight w:val="none"/>
                <w:lang w:val="en-US" w:eastAsia="zh-CN"/>
              </w:rPr>
              <w:t>15</w:t>
            </w:r>
            <w:r>
              <w:rPr>
                <w:rFonts w:hint="default" w:ascii="Times New Roman" w:hAnsi="Times New Roman" w:cs="Times New Roman"/>
                <w:color w:val="auto"/>
                <w:szCs w:val="21"/>
                <w:highlight w:val="none"/>
              </w:rPr>
              <w:t>分钟雨水进行收集处理，暴雨条件下</w:t>
            </w:r>
            <w:r>
              <w:rPr>
                <w:rFonts w:hint="default" w:ascii="Times New Roman" w:hAnsi="Times New Roman" w:cs="Times New Roman"/>
                <w:color w:val="auto"/>
                <w:szCs w:val="21"/>
                <w:highlight w:val="none"/>
                <w:lang w:val="en-US" w:eastAsia="zh-CN"/>
              </w:rPr>
              <w:t>15</w:t>
            </w:r>
            <w:r>
              <w:rPr>
                <w:rFonts w:hint="default" w:ascii="Times New Roman" w:hAnsi="Times New Roman" w:cs="Times New Roman"/>
                <w:color w:val="auto"/>
                <w:szCs w:val="21"/>
                <w:highlight w:val="none"/>
              </w:rPr>
              <w:t>分钟内最大雨水产生量为</w:t>
            </w:r>
            <w:r>
              <w:rPr>
                <w:rFonts w:hint="eastAsia" w:cs="Times New Roman"/>
                <w:color w:val="auto"/>
                <w:szCs w:val="21"/>
                <w:highlight w:val="none"/>
                <w:lang w:val="en-US" w:eastAsia="zh-CN"/>
              </w:rPr>
              <w:t>43.983</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vertAlign w:val="baseline"/>
                <w:lang w:val="en-US" w:eastAsia="zh-CN"/>
              </w:rPr>
              <w:t>/次</w:t>
            </w:r>
            <w:r>
              <w:rPr>
                <w:rFonts w:hint="default" w:ascii="Times New Roman" w:hAnsi="Times New Roman" w:cs="Times New Roman"/>
                <w:color w:val="auto"/>
                <w:szCs w:val="21"/>
                <w:highlight w:val="none"/>
                <w:vertAlign w:val="baseline"/>
                <w:lang w:eastAsia="zh-CN"/>
              </w:rPr>
              <w:t>，</w:t>
            </w:r>
            <w:r>
              <w:rPr>
                <w:rFonts w:hint="eastAsia" w:cs="Times New Roman"/>
                <w:color w:val="auto"/>
                <w:szCs w:val="21"/>
                <w:highlight w:val="none"/>
                <w:vertAlign w:val="baseline"/>
                <w:lang w:val="en-US" w:eastAsia="zh-CN"/>
              </w:rPr>
              <w:t>6377.535</w:t>
            </w:r>
            <w:r>
              <w:rPr>
                <w:rFonts w:hint="default" w:ascii="Times New Roman" w:hAnsi="Times New Roman" w:cs="Times New Roman"/>
                <w:color w:val="auto"/>
                <w:szCs w:val="21"/>
                <w:highlight w:val="none"/>
              </w:rPr>
              <w:t>m</w:t>
            </w:r>
            <w:r>
              <w:rPr>
                <w:rFonts w:hint="default" w:ascii="Times New Roman" w:hAnsi="Times New Roman" w:cs="Times New Roman"/>
                <w:color w:val="auto"/>
                <w:szCs w:val="21"/>
                <w:highlight w:val="none"/>
                <w:vertAlign w:val="superscript"/>
              </w:rPr>
              <w:t>3</w:t>
            </w:r>
            <w:r>
              <w:rPr>
                <w:rFonts w:hint="default" w:ascii="Times New Roman" w:hAnsi="Times New Roman" w:cs="Times New Roman"/>
                <w:color w:val="auto"/>
                <w:szCs w:val="21"/>
                <w:highlight w:val="none"/>
                <w:vertAlign w:val="baseline"/>
                <w:lang w:val="en-US" w:eastAsia="zh-CN"/>
              </w:rPr>
              <w:t>/a（</w:t>
            </w:r>
            <w:r>
              <w:rPr>
                <w:rFonts w:hint="default" w:ascii="Times New Roman" w:hAnsi="Times New Roman" w:eastAsia="宋体" w:cs="Times New Roman"/>
                <w:color w:val="auto"/>
                <w:szCs w:val="21"/>
                <w:highlight w:val="none"/>
                <w:lang w:val="en-US" w:eastAsia="zh-CN"/>
              </w:rPr>
              <w:t>降雨天数以1</w:t>
            </w:r>
            <w:r>
              <w:rPr>
                <w:rFonts w:hint="eastAsia" w:cs="Times New Roman"/>
                <w:color w:val="auto"/>
                <w:szCs w:val="21"/>
                <w:highlight w:val="none"/>
                <w:lang w:val="en-US" w:eastAsia="zh-CN"/>
              </w:rPr>
              <w:t>45</w:t>
            </w:r>
            <w:r>
              <w:rPr>
                <w:rFonts w:hint="default" w:ascii="Times New Roman" w:hAnsi="Times New Roman" w:eastAsia="宋体" w:cs="Times New Roman"/>
                <w:color w:val="auto"/>
                <w:szCs w:val="21"/>
                <w:highlight w:val="none"/>
                <w:lang w:val="en-US" w:eastAsia="zh-CN"/>
              </w:rPr>
              <w:t>天计</w:t>
            </w:r>
            <w:r>
              <w:rPr>
                <w:rFonts w:hint="default" w:ascii="Times New Roman" w:hAnsi="Times New Roman" w:cs="Times New Roman"/>
                <w:color w:val="auto"/>
                <w:szCs w:val="21"/>
                <w:highlight w:val="none"/>
                <w:vertAlign w:val="baseline"/>
                <w:lang w:val="en-US" w:eastAsia="zh-CN"/>
              </w:rPr>
              <w:t>）。</w:t>
            </w:r>
          </w:p>
          <w:p w14:paraId="5DEC3196">
            <w:pPr>
              <w:adjustRightInd w:val="0"/>
              <w:ind w:firstLine="480"/>
              <w:rPr>
                <w:rFonts w:hint="eastAsia" w:ascii="Times New Roman" w:hAnsi="Times New Roman" w:cs="Times New Roman"/>
                <w:color w:val="auto"/>
                <w:szCs w:val="21"/>
                <w:highlight w:val="none"/>
                <w:vertAlign w:val="baseline"/>
                <w:lang w:val="en-US" w:eastAsia="zh-CN"/>
              </w:rPr>
            </w:pPr>
            <w:r>
              <w:rPr>
                <w:rFonts w:hint="eastAsia" w:ascii="Times New Roman" w:hAnsi="Times New Roman" w:cs="Times New Roman"/>
                <w:color w:val="auto"/>
                <w:szCs w:val="21"/>
                <w:highlight w:val="none"/>
                <w:vertAlign w:val="baseline"/>
                <w:lang w:val="en-US" w:eastAsia="zh-CN"/>
              </w:rPr>
              <w:t>在</w:t>
            </w:r>
            <w:r>
              <w:rPr>
                <w:rFonts w:hint="eastAsia" w:cs="Times New Roman"/>
                <w:color w:val="auto"/>
                <w:szCs w:val="21"/>
                <w:highlight w:val="none"/>
                <w:vertAlign w:val="baseline"/>
                <w:lang w:val="en-US" w:eastAsia="zh-CN"/>
              </w:rPr>
              <w:t>办公生活区</w:t>
            </w:r>
            <w:r>
              <w:rPr>
                <w:rFonts w:hint="eastAsia" w:ascii="Times New Roman" w:hAnsi="Times New Roman" w:cs="Times New Roman"/>
                <w:color w:val="auto"/>
                <w:szCs w:val="21"/>
                <w:highlight w:val="none"/>
                <w:vertAlign w:val="baseline"/>
                <w:lang w:val="en-US" w:eastAsia="zh-CN"/>
              </w:rPr>
              <w:t>南侧布置排水沟，降水时大部分雨水可通过排水沟排入沉砂池，经沉砂池处理后晴天回用于洒水降尘。本项目在</w:t>
            </w:r>
            <w:r>
              <w:rPr>
                <w:rFonts w:hint="eastAsia" w:cs="Times New Roman"/>
                <w:color w:val="auto"/>
                <w:szCs w:val="21"/>
                <w:highlight w:val="none"/>
                <w:vertAlign w:val="baseline"/>
                <w:lang w:val="en-US" w:eastAsia="zh-CN"/>
              </w:rPr>
              <w:t>办公生活区</w:t>
            </w:r>
            <w:r>
              <w:rPr>
                <w:rFonts w:hint="eastAsia" w:ascii="Times New Roman" w:hAnsi="Times New Roman" w:cs="Times New Roman"/>
                <w:color w:val="auto"/>
                <w:szCs w:val="21"/>
                <w:highlight w:val="none"/>
                <w:vertAlign w:val="baseline"/>
                <w:lang w:val="en-US" w:eastAsia="zh-CN"/>
              </w:rPr>
              <w:t>南侧设置沉砂池，沉砂池容积按初期雨水产生量1.2的安全系数考虑，容积为</w:t>
            </w:r>
            <w:r>
              <w:rPr>
                <w:rFonts w:hint="eastAsia" w:cs="Times New Roman"/>
                <w:color w:val="auto"/>
                <w:szCs w:val="21"/>
                <w:highlight w:val="none"/>
                <w:vertAlign w:val="baseline"/>
                <w:lang w:val="en-US" w:eastAsia="zh-CN"/>
              </w:rPr>
              <w:t>53</w:t>
            </w:r>
            <w:r>
              <w:rPr>
                <w:rFonts w:hint="eastAsia" w:ascii="Times New Roman" w:hAnsi="Times New Roman" w:cs="Times New Roman"/>
                <w:color w:val="auto"/>
                <w:szCs w:val="21"/>
                <w:highlight w:val="none"/>
                <w:vertAlign w:val="baseline"/>
                <w:lang w:val="en-US" w:eastAsia="zh-CN"/>
              </w:rPr>
              <w:t>m</w:t>
            </w:r>
            <w:r>
              <w:rPr>
                <w:rFonts w:hint="eastAsia" w:ascii="Times New Roman" w:hAnsi="Times New Roman" w:cs="Times New Roman"/>
                <w:color w:val="auto"/>
                <w:szCs w:val="21"/>
                <w:highlight w:val="none"/>
                <w:vertAlign w:val="superscript"/>
                <w:lang w:val="en-US" w:eastAsia="zh-CN"/>
              </w:rPr>
              <w:t>3</w:t>
            </w:r>
            <w:r>
              <w:rPr>
                <w:rFonts w:hint="eastAsia" w:ascii="Times New Roman" w:hAnsi="Times New Roman" w:cs="Times New Roman"/>
                <w:color w:val="auto"/>
                <w:szCs w:val="21"/>
                <w:highlight w:val="none"/>
                <w:vertAlign w:val="baseline"/>
                <w:lang w:val="en-US" w:eastAsia="zh-CN"/>
              </w:rPr>
              <w:t>，</w:t>
            </w:r>
            <w:r>
              <w:rPr>
                <w:rFonts w:hint="eastAsia" w:cs="Times New Roman"/>
                <w:color w:val="auto"/>
                <w:szCs w:val="21"/>
                <w:highlight w:val="none"/>
                <w:vertAlign w:val="baseline"/>
                <w:lang w:val="en-US" w:eastAsia="zh-CN"/>
              </w:rPr>
              <w:t>办公生活区</w:t>
            </w:r>
            <w:r>
              <w:rPr>
                <w:rFonts w:hint="eastAsia" w:ascii="Times New Roman" w:hAnsi="Times New Roman" w:cs="Times New Roman"/>
                <w:color w:val="auto"/>
                <w:szCs w:val="21"/>
                <w:highlight w:val="none"/>
                <w:vertAlign w:val="baseline"/>
                <w:lang w:val="en-US" w:eastAsia="zh-CN"/>
              </w:rPr>
              <w:t>初期雨水经沉淀后回用于洒水降尘。</w:t>
            </w:r>
          </w:p>
          <w:p w14:paraId="2693B2B5">
            <w:pPr>
              <w:adjustRightInd w:val="0"/>
              <w:ind w:firstLine="482"/>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2、项目用水及废水情况</w:t>
            </w:r>
          </w:p>
          <w:p w14:paraId="0B3B9F53">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项目用水量及废水产生量情况：</w:t>
            </w:r>
          </w:p>
          <w:p w14:paraId="095BF744">
            <w:pPr>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表4-</w:t>
            </w:r>
            <w:r>
              <w:rPr>
                <w:rFonts w:hint="default" w:ascii="Times New Roman" w:hAnsi="Times New Roman" w:cs="Times New Roman"/>
                <w:b/>
                <w:bCs/>
                <w:color w:val="auto"/>
                <w:kern w:val="0"/>
                <w:sz w:val="21"/>
                <w:szCs w:val="21"/>
                <w:highlight w:val="none"/>
                <w:lang w:val="en-US" w:eastAsia="zh-CN"/>
              </w:rPr>
              <w:t>1</w:t>
            </w:r>
            <w:r>
              <w:rPr>
                <w:rFonts w:hint="eastAsia" w:cs="Times New Roman"/>
                <w:b/>
                <w:bCs/>
                <w:color w:val="auto"/>
                <w:kern w:val="0"/>
                <w:sz w:val="21"/>
                <w:szCs w:val="21"/>
                <w:highlight w:val="none"/>
                <w:lang w:val="en-US" w:eastAsia="zh-CN"/>
              </w:rPr>
              <w:t>9</w:t>
            </w:r>
            <w:r>
              <w:rPr>
                <w:rFonts w:hint="default" w:ascii="Times New Roman" w:hAnsi="Times New Roman" w:cs="Times New Roman"/>
                <w:b/>
                <w:bCs/>
                <w:color w:val="auto"/>
                <w:kern w:val="0"/>
                <w:sz w:val="21"/>
                <w:szCs w:val="21"/>
                <w:highlight w:val="none"/>
              </w:rPr>
              <w:t xml:space="preserve"> 项目用水量及废水产生量情况一览表</w:t>
            </w:r>
          </w:p>
          <w:tbl>
            <w:tblPr>
              <w:tblStyle w:val="30"/>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1365"/>
              <w:gridCol w:w="945"/>
              <w:gridCol w:w="930"/>
              <w:gridCol w:w="975"/>
              <w:gridCol w:w="945"/>
              <w:gridCol w:w="1020"/>
              <w:gridCol w:w="1320"/>
            </w:tblGrid>
            <w:tr w14:paraId="1AD30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803" w:type="dxa"/>
                  <w:gridSpan w:val="2"/>
                  <w:vMerge w:val="restart"/>
                  <w:tcMar>
                    <w:left w:w="57" w:type="dxa"/>
                    <w:right w:w="57" w:type="dxa"/>
                  </w:tcMar>
                  <w:vAlign w:val="center"/>
                </w:tcPr>
                <w:p w14:paraId="74C45DE8">
                  <w:pPr>
                    <w:adjustRightInd w:val="0"/>
                    <w:snapToGri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用水来源</w:t>
                  </w:r>
                </w:p>
              </w:tc>
              <w:tc>
                <w:tcPr>
                  <w:tcW w:w="1875" w:type="dxa"/>
                  <w:gridSpan w:val="2"/>
                  <w:tcMar>
                    <w:left w:w="57" w:type="dxa"/>
                    <w:right w:w="57" w:type="dxa"/>
                  </w:tcMar>
                  <w:vAlign w:val="center"/>
                </w:tcPr>
                <w:p w14:paraId="60705202">
                  <w:pPr>
                    <w:adjustRightInd w:val="0"/>
                    <w:snapToGrid w:val="0"/>
                    <w:spacing w:line="240" w:lineRule="auto"/>
                    <w:ind w:firstLine="0" w:firstLineChars="0"/>
                    <w:jc w:val="center"/>
                    <w:rPr>
                      <w:rFonts w:hint="eastAsia" w:ascii="Times New Roman" w:hAnsi="Times New Roman" w:eastAsia="宋体" w:cs="Times New Roman"/>
                      <w:b/>
                      <w:bCs/>
                      <w:color w:val="auto"/>
                      <w:kern w:val="0"/>
                      <w:sz w:val="21"/>
                      <w:szCs w:val="21"/>
                      <w:highlight w:val="none"/>
                      <w:lang w:val="en-US" w:eastAsia="zh-CN"/>
                    </w:rPr>
                  </w:pPr>
                  <w:r>
                    <w:rPr>
                      <w:rFonts w:hint="default" w:ascii="Times New Roman" w:hAnsi="Times New Roman" w:cs="Times New Roman"/>
                      <w:b/>
                      <w:bCs/>
                      <w:color w:val="auto"/>
                      <w:kern w:val="0"/>
                      <w:sz w:val="21"/>
                      <w:szCs w:val="21"/>
                      <w:highlight w:val="none"/>
                    </w:rPr>
                    <w:t>用水量</w:t>
                  </w:r>
                  <w:r>
                    <w:rPr>
                      <w:rFonts w:hint="eastAsia" w:cs="Times New Roman"/>
                      <w:b/>
                      <w:bCs/>
                      <w:color w:val="auto"/>
                      <w:kern w:val="0"/>
                      <w:sz w:val="21"/>
                      <w:szCs w:val="21"/>
                      <w:highlight w:val="none"/>
                      <w:lang w:eastAsia="zh-CN"/>
                    </w:rPr>
                    <w:t>（</w:t>
                  </w:r>
                  <w:r>
                    <w:rPr>
                      <w:rFonts w:hint="eastAsia" w:cs="Times New Roman"/>
                      <w:b/>
                      <w:bCs/>
                      <w:color w:val="auto"/>
                      <w:kern w:val="0"/>
                      <w:sz w:val="21"/>
                      <w:szCs w:val="21"/>
                      <w:highlight w:val="none"/>
                      <w:lang w:val="en-US" w:eastAsia="zh-CN"/>
                    </w:rPr>
                    <w:t>补水量</w:t>
                  </w:r>
                  <w:r>
                    <w:rPr>
                      <w:rFonts w:hint="eastAsia" w:cs="Times New Roman"/>
                      <w:b/>
                      <w:bCs/>
                      <w:color w:val="auto"/>
                      <w:kern w:val="0"/>
                      <w:sz w:val="21"/>
                      <w:szCs w:val="21"/>
                      <w:highlight w:val="none"/>
                      <w:lang w:eastAsia="zh-CN"/>
                    </w:rPr>
                    <w:t>）</w:t>
                  </w:r>
                </w:p>
              </w:tc>
              <w:tc>
                <w:tcPr>
                  <w:tcW w:w="975" w:type="dxa"/>
                  <w:tcMar>
                    <w:left w:w="57" w:type="dxa"/>
                    <w:right w:w="57" w:type="dxa"/>
                  </w:tcMar>
                  <w:vAlign w:val="center"/>
                </w:tcPr>
                <w:p w14:paraId="500711C2">
                  <w:pPr>
                    <w:adjustRightInd w:val="0"/>
                    <w:snapToGri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损耗量</w:t>
                  </w:r>
                </w:p>
              </w:tc>
              <w:tc>
                <w:tcPr>
                  <w:tcW w:w="1965" w:type="dxa"/>
                  <w:gridSpan w:val="2"/>
                  <w:tcMar>
                    <w:left w:w="57" w:type="dxa"/>
                    <w:right w:w="57" w:type="dxa"/>
                  </w:tcMar>
                  <w:vAlign w:val="center"/>
                </w:tcPr>
                <w:p w14:paraId="53AF1CB3">
                  <w:pPr>
                    <w:adjustRightInd w:val="0"/>
                    <w:snapToGri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废水产生量</w:t>
                  </w:r>
                </w:p>
              </w:tc>
              <w:tc>
                <w:tcPr>
                  <w:tcW w:w="1320" w:type="dxa"/>
                  <w:vMerge w:val="restart"/>
                  <w:tcMar>
                    <w:left w:w="57" w:type="dxa"/>
                    <w:right w:w="57" w:type="dxa"/>
                  </w:tcMar>
                  <w:vAlign w:val="center"/>
                </w:tcPr>
                <w:p w14:paraId="6FEAB948">
                  <w:pPr>
                    <w:adjustRightInd w:val="0"/>
                    <w:snapToGri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处置情况</w:t>
                  </w:r>
                </w:p>
              </w:tc>
            </w:tr>
            <w:tr w14:paraId="4213F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803" w:type="dxa"/>
                  <w:gridSpan w:val="2"/>
                  <w:vMerge w:val="continue"/>
                  <w:tcMar>
                    <w:left w:w="57" w:type="dxa"/>
                    <w:right w:w="57" w:type="dxa"/>
                  </w:tcMar>
                  <w:vAlign w:val="center"/>
                </w:tcPr>
                <w:p w14:paraId="0B741016">
                  <w:pPr>
                    <w:adjustRightInd w:val="0"/>
                    <w:snapToGrid w:val="0"/>
                    <w:spacing w:line="240" w:lineRule="auto"/>
                    <w:ind w:firstLine="0" w:firstLineChars="0"/>
                    <w:jc w:val="center"/>
                    <w:rPr>
                      <w:rFonts w:hint="default" w:ascii="Times New Roman" w:hAnsi="Times New Roman" w:cs="Times New Roman"/>
                      <w:b/>
                      <w:bCs/>
                      <w:color w:val="auto"/>
                      <w:kern w:val="0"/>
                      <w:sz w:val="21"/>
                      <w:szCs w:val="21"/>
                      <w:highlight w:val="none"/>
                    </w:rPr>
                  </w:pPr>
                </w:p>
              </w:tc>
              <w:tc>
                <w:tcPr>
                  <w:tcW w:w="945" w:type="dxa"/>
                  <w:tcMar>
                    <w:left w:w="57" w:type="dxa"/>
                    <w:right w:w="57" w:type="dxa"/>
                  </w:tcMar>
                  <w:vAlign w:val="center"/>
                </w:tcPr>
                <w:p w14:paraId="54F00142">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rPr>
                    <w:t>m</w:t>
                  </w:r>
                  <w:r>
                    <w:rPr>
                      <w:rFonts w:hint="default" w:ascii="Times New Roman" w:hAnsi="Times New Roman" w:cs="Times New Roman"/>
                      <w:b/>
                      <w:bCs/>
                      <w:color w:val="auto"/>
                      <w:kern w:val="0"/>
                      <w:sz w:val="21"/>
                      <w:szCs w:val="21"/>
                      <w:highlight w:val="none"/>
                      <w:vertAlign w:val="superscript"/>
                    </w:rPr>
                    <w:t>3</w:t>
                  </w:r>
                  <w:r>
                    <w:rPr>
                      <w:rFonts w:hint="default" w:ascii="Times New Roman" w:hAnsi="Times New Roman" w:cs="Times New Roman"/>
                      <w:b/>
                      <w:bCs/>
                      <w:color w:val="auto"/>
                      <w:kern w:val="0"/>
                      <w:sz w:val="21"/>
                      <w:szCs w:val="21"/>
                      <w:highlight w:val="none"/>
                    </w:rPr>
                    <w:t>/</w:t>
                  </w:r>
                  <w:r>
                    <w:rPr>
                      <w:rFonts w:hint="default" w:ascii="Times New Roman" w:hAnsi="Times New Roman" w:cs="Times New Roman"/>
                      <w:b/>
                      <w:bCs/>
                      <w:color w:val="auto"/>
                      <w:kern w:val="0"/>
                      <w:sz w:val="21"/>
                      <w:szCs w:val="21"/>
                      <w:highlight w:val="none"/>
                      <w:lang w:val="en-US" w:eastAsia="zh-CN"/>
                    </w:rPr>
                    <w:t>d</w:t>
                  </w:r>
                </w:p>
              </w:tc>
              <w:tc>
                <w:tcPr>
                  <w:tcW w:w="930" w:type="dxa"/>
                  <w:tcMar>
                    <w:left w:w="57" w:type="dxa"/>
                    <w:right w:w="57" w:type="dxa"/>
                  </w:tcMar>
                  <w:vAlign w:val="center"/>
                </w:tcPr>
                <w:p w14:paraId="28F9CEAB">
                  <w:pPr>
                    <w:adjustRightInd w:val="0"/>
                    <w:snapToGri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m</w:t>
                  </w:r>
                  <w:r>
                    <w:rPr>
                      <w:rFonts w:hint="default" w:ascii="Times New Roman" w:hAnsi="Times New Roman" w:cs="Times New Roman"/>
                      <w:b/>
                      <w:bCs/>
                      <w:color w:val="auto"/>
                      <w:kern w:val="0"/>
                      <w:sz w:val="21"/>
                      <w:szCs w:val="21"/>
                      <w:highlight w:val="none"/>
                      <w:vertAlign w:val="superscript"/>
                    </w:rPr>
                    <w:t>3</w:t>
                  </w:r>
                  <w:r>
                    <w:rPr>
                      <w:rFonts w:hint="default" w:ascii="Times New Roman" w:hAnsi="Times New Roman" w:cs="Times New Roman"/>
                      <w:b/>
                      <w:bCs/>
                      <w:color w:val="auto"/>
                      <w:kern w:val="0"/>
                      <w:sz w:val="21"/>
                      <w:szCs w:val="21"/>
                      <w:highlight w:val="none"/>
                    </w:rPr>
                    <w:t>/a</w:t>
                  </w:r>
                </w:p>
              </w:tc>
              <w:tc>
                <w:tcPr>
                  <w:tcW w:w="975" w:type="dxa"/>
                  <w:tcMar>
                    <w:left w:w="57" w:type="dxa"/>
                    <w:right w:w="57" w:type="dxa"/>
                  </w:tcMar>
                  <w:vAlign w:val="center"/>
                </w:tcPr>
                <w:p w14:paraId="127A44B9">
                  <w:pPr>
                    <w:adjustRightInd w:val="0"/>
                    <w:snapToGri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m</w:t>
                  </w:r>
                  <w:r>
                    <w:rPr>
                      <w:rFonts w:hint="default" w:ascii="Times New Roman" w:hAnsi="Times New Roman" w:cs="Times New Roman"/>
                      <w:b/>
                      <w:bCs/>
                      <w:color w:val="auto"/>
                      <w:kern w:val="0"/>
                      <w:sz w:val="21"/>
                      <w:szCs w:val="21"/>
                      <w:highlight w:val="none"/>
                      <w:vertAlign w:val="superscript"/>
                    </w:rPr>
                    <w:t>3</w:t>
                  </w:r>
                  <w:r>
                    <w:rPr>
                      <w:rFonts w:hint="default" w:ascii="Times New Roman" w:hAnsi="Times New Roman" w:cs="Times New Roman"/>
                      <w:b/>
                      <w:bCs/>
                      <w:color w:val="auto"/>
                      <w:kern w:val="0"/>
                      <w:sz w:val="21"/>
                      <w:szCs w:val="21"/>
                      <w:highlight w:val="none"/>
                    </w:rPr>
                    <w:t>/a</w:t>
                  </w:r>
                </w:p>
              </w:tc>
              <w:tc>
                <w:tcPr>
                  <w:tcW w:w="945" w:type="dxa"/>
                  <w:tcMar>
                    <w:left w:w="57" w:type="dxa"/>
                    <w:right w:w="57" w:type="dxa"/>
                  </w:tcMar>
                  <w:vAlign w:val="center"/>
                </w:tcPr>
                <w:p w14:paraId="77AB356F">
                  <w:pPr>
                    <w:adjustRightInd w:val="0"/>
                    <w:snapToGri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m</w:t>
                  </w:r>
                  <w:r>
                    <w:rPr>
                      <w:rFonts w:hint="default" w:ascii="Times New Roman" w:hAnsi="Times New Roman" w:cs="Times New Roman"/>
                      <w:b/>
                      <w:bCs/>
                      <w:color w:val="auto"/>
                      <w:kern w:val="0"/>
                      <w:sz w:val="21"/>
                      <w:szCs w:val="21"/>
                      <w:highlight w:val="none"/>
                      <w:vertAlign w:val="superscript"/>
                    </w:rPr>
                    <w:t>3</w:t>
                  </w:r>
                  <w:r>
                    <w:rPr>
                      <w:rFonts w:hint="default" w:ascii="Times New Roman" w:hAnsi="Times New Roman" w:cs="Times New Roman"/>
                      <w:b/>
                      <w:bCs/>
                      <w:color w:val="auto"/>
                      <w:kern w:val="0"/>
                      <w:sz w:val="21"/>
                      <w:szCs w:val="21"/>
                      <w:highlight w:val="none"/>
                    </w:rPr>
                    <w:t>/</w:t>
                  </w:r>
                  <w:r>
                    <w:rPr>
                      <w:rFonts w:hint="default" w:ascii="Times New Roman" w:hAnsi="Times New Roman" w:cs="Times New Roman"/>
                      <w:b/>
                      <w:bCs/>
                      <w:color w:val="auto"/>
                      <w:kern w:val="0"/>
                      <w:sz w:val="21"/>
                      <w:szCs w:val="21"/>
                      <w:highlight w:val="none"/>
                      <w:lang w:val="en-US" w:eastAsia="zh-CN"/>
                    </w:rPr>
                    <w:t>d</w:t>
                  </w:r>
                </w:p>
              </w:tc>
              <w:tc>
                <w:tcPr>
                  <w:tcW w:w="1020" w:type="dxa"/>
                  <w:tcMar>
                    <w:left w:w="57" w:type="dxa"/>
                    <w:right w:w="57" w:type="dxa"/>
                  </w:tcMar>
                  <w:vAlign w:val="center"/>
                </w:tcPr>
                <w:p w14:paraId="7E61B418">
                  <w:pPr>
                    <w:adjustRightInd w:val="0"/>
                    <w:snapToGri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m</w:t>
                  </w:r>
                  <w:r>
                    <w:rPr>
                      <w:rFonts w:hint="default" w:ascii="Times New Roman" w:hAnsi="Times New Roman" w:cs="Times New Roman"/>
                      <w:b/>
                      <w:bCs/>
                      <w:color w:val="auto"/>
                      <w:kern w:val="0"/>
                      <w:sz w:val="21"/>
                      <w:szCs w:val="21"/>
                      <w:highlight w:val="none"/>
                      <w:vertAlign w:val="superscript"/>
                    </w:rPr>
                    <w:t>3</w:t>
                  </w:r>
                  <w:r>
                    <w:rPr>
                      <w:rFonts w:hint="default" w:ascii="Times New Roman" w:hAnsi="Times New Roman" w:cs="Times New Roman"/>
                      <w:b/>
                      <w:bCs/>
                      <w:color w:val="auto"/>
                      <w:kern w:val="0"/>
                      <w:sz w:val="21"/>
                      <w:szCs w:val="21"/>
                      <w:highlight w:val="none"/>
                    </w:rPr>
                    <w:t>/a</w:t>
                  </w:r>
                </w:p>
              </w:tc>
              <w:tc>
                <w:tcPr>
                  <w:tcW w:w="1320" w:type="dxa"/>
                  <w:vMerge w:val="continue"/>
                  <w:tcMar>
                    <w:left w:w="57" w:type="dxa"/>
                    <w:right w:w="57" w:type="dxa"/>
                  </w:tcMar>
                  <w:vAlign w:val="center"/>
                </w:tcPr>
                <w:p w14:paraId="2E285014">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p>
              </w:tc>
            </w:tr>
            <w:tr w14:paraId="4214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38" w:type="dxa"/>
                  <w:vMerge w:val="restart"/>
                  <w:tcMar>
                    <w:left w:w="57" w:type="dxa"/>
                    <w:right w:w="57" w:type="dxa"/>
                  </w:tcMar>
                  <w:vAlign w:val="center"/>
                </w:tcPr>
                <w:p w14:paraId="13E03F22">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洒水降尘用水</w:t>
                  </w:r>
                </w:p>
              </w:tc>
              <w:tc>
                <w:tcPr>
                  <w:tcW w:w="1365" w:type="dxa"/>
                  <w:tcMar>
                    <w:left w:w="57" w:type="dxa"/>
                    <w:right w:w="57" w:type="dxa"/>
                  </w:tcMar>
                  <w:vAlign w:val="center"/>
                </w:tcPr>
                <w:p w14:paraId="5370A795">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凿岩钻孔用水</w:t>
                  </w:r>
                </w:p>
              </w:tc>
              <w:tc>
                <w:tcPr>
                  <w:tcW w:w="945" w:type="dxa"/>
                  <w:tcMar>
                    <w:left w:w="57" w:type="dxa"/>
                    <w:right w:w="57" w:type="dxa"/>
                  </w:tcMar>
                  <w:vAlign w:val="center"/>
                </w:tcPr>
                <w:p w14:paraId="279096CC">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8.33</w:t>
                  </w:r>
                </w:p>
              </w:tc>
              <w:tc>
                <w:tcPr>
                  <w:tcW w:w="930" w:type="dxa"/>
                  <w:tcMar>
                    <w:left w:w="57" w:type="dxa"/>
                    <w:right w:w="57" w:type="dxa"/>
                  </w:tcMar>
                  <w:vAlign w:val="center"/>
                </w:tcPr>
                <w:p w14:paraId="1CE2B98B">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2500</w:t>
                  </w:r>
                </w:p>
              </w:tc>
              <w:tc>
                <w:tcPr>
                  <w:tcW w:w="975" w:type="dxa"/>
                  <w:tcMar>
                    <w:left w:w="57" w:type="dxa"/>
                    <w:right w:w="57" w:type="dxa"/>
                  </w:tcMar>
                  <w:vAlign w:val="center"/>
                </w:tcPr>
                <w:p w14:paraId="40F4DA32">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2500</w:t>
                  </w:r>
                </w:p>
              </w:tc>
              <w:tc>
                <w:tcPr>
                  <w:tcW w:w="945" w:type="dxa"/>
                  <w:tcMar>
                    <w:left w:w="57" w:type="dxa"/>
                    <w:right w:w="57" w:type="dxa"/>
                  </w:tcMar>
                  <w:vAlign w:val="center"/>
                </w:tcPr>
                <w:p w14:paraId="0C637BB2">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w:t>
                  </w:r>
                </w:p>
              </w:tc>
              <w:tc>
                <w:tcPr>
                  <w:tcW w:w="1020" w:type="dxa"/>
                  <w:tcMar>
                    <w:left w:w="57" w:type="dxa"/>
                    <w:right w:w="57" w:type="dxa"/>
                  </w:tcMar>
                  <w:vAlign w:val="center"/>
                </w:tcPr>
                <w:p w14:paraId="38F31698">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w:t>
                  </w:r>
                </w:p>
              </w:tc>
              <w:tc>
                <w:tcPr>
                  <w:tcW w:w="1320" w:type="dxa"/>
                  <w:vMerge w:val="restart"/>
                  <w:tcMar>
                    <w:left w:w="57" w:type="dxa"/>
                    <w:right w:w="57" w:type="dxa"/>
                  </w:tcMar>
                  <w:vAlign w:val="center"/>
                </w:tcPr>
                <w:p w14:paraId="5F8D12BC">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蒸发损耗</w:t>
                  </w:r>
                </w:p>
              </w:tc>
            </w:tr>
            <w:tr w14:paraId="2124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438" w:type="dxa"/>
                  <w:vMerge w:val="continue"/>
                  <w:tcMar>
                    <w:left w:w="57" w:type="dxa"/>
                    <w:right w:w="57" w:type="dxa"/>
                  </w:tcMar>
                  <w:vAlign w:val="center"/>
                </w:tcPr>
                <w:p w14:paraId="2CD2DEE5">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p>
              </w:tc>
              <w:tc>
                <w:tcPr>
                  <w:tcW w:w="1365" w:type="dxa"/>
                  <w:tcMar>
                    <w:left w:w="57" w:type="dxa"/>
                    <w:right w:w="57" w:type="dxa"/>
                  </w:tcMar>
                  <w:vAlign w:val="center"/>
                </w:tcPr>
                <w:p w14:paraId="7798C1E2">
                  <w:pPr>
                    <w:adjustRightInd w:val="0"/>
                    <w:snapToGrid w:val="0"/>
                    <w:spacing w:line="240" w:lineRule="auto"/>
                    <w:ind w:firstLine="0" w:firstLineChars="0"/>
                    <w:jc w:val="center"/>
                    <w:rPr>
                      <w:rFonts w:hint="eastAsia"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露天</w:t>
                  </w:r>
                  <w:r>
                    <w:rPr>
                      <w:rFonts w:hint="default" w:ascii="Times New Roman" w:hAnsi="Times New Roman" w:cs="Times New Roman"/>
                      <w:color w:val="auto"/>
                      <w:kern w:val="0"/>
                      <w:sz w:val="21"/>
                      <w:szCs w:val="21"/>
                      <w:highlight w:val="none"/>
                      <w:lang w:val="en-US" w:eastAsia="zh-CN"/>
                    </w:rPr>
                    <w:t>开采区</w:t>
                  </w:r>
                  <w:r>
                    <w:rPr>
                      <w:rFonts w:hint="default" w:ascii="Times New Roman" w:hAnsi="Times New Roman" w:cs="Times New Roman"/>
                      <w:color w:val="auto"/>
                      <w:kern w:val="0"/>
                      <w:sz w:val="21"/>
                      <w:szCs w:val="21"/>
                      <w:highlight w:val="none"/>
                    </w:rPr>
                    <w:t>降尘用水</w:t>
                  </w:r>
                </w:p>
              </w:tc>
              <w:tc>
                <w:tcPr>
                  <w:tcW w:w="945" w:type="dxa"/>
                  <w:tcMar>
                    <w:left w:w="57" w:type="dxa"/>
                    <w:right w:w="57" w:type="dxa"/>
                  </w:tcMar>
                  <w:vAlign w:val="center"/>
                </w:tcPr>
                <w:p w14:paraId="473D2EB9">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159.6</w:t>
                  </w:r>
                </w:p>
              </w:tc>
              <w:tc>
                <w:tcPr>
                  <w:tcW w:w="930" w:type="dxa"/>
                  <w:tcMar>
                    <w:left w:w="57" w:type="dxa"/>
                    <w:right w:w="57" w:type="dxa"/>
                  </w:tcMar>
                  <w:vAlign w:val="center"/>
                </w:tcPr>
                <w:p w14:paraId="30BDB10A">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28408.8</w:t>
                  </w:r>
                </w:p>
              </w:tc>
              <w:tc>
                <w:tcPr>
                  <w:tcW w:w="975" w:type="dxa"/>
                  <w:tcMar>
                    <w:left w:w="57" w:type="dxa"/>
                    <w:right w:w="57" w:type="dxa"/>
                  </w:tcMar>
                  <w:vAlign w:val="center"/>
                </w:tcPr>
                <w:p w14:paraId="783D88CC">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28408.8</w:t>
                  </w:r>
                </w:p>
              </w:tc>
              <w:tc>
                <w:tcPr>
                  <w:tcW w:w="945" w:type="dxa"/>
                  <w:tcMar>
                    <w:left w:w="57" w:type="dxa"/>
                    <w:right w:w="57" w:type="dxa"/>
                  </w:tcMar>
                  <w:vAlign w:val="center"/>
                </w:tcPr>
                <w:p w14:paraId="6BB5F4D7">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w:t>
                  </w:r>
                </w:p>
              </w:tc>
              <w:tc>
                <w:tcPr>
                  <w:tcW w:w="1020" w:type="dxa"/>
                  <w:tcMar>
                    <w:left w:w="57" w:type="dxa"/>
                    <w:right w:w="57" w:type="dxa"/>
                  </w:tcMar>
                  <w:vAlign w:val="center"/>
                </w:tcPr>
                <w:p w14:paraId="3D73F44B">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w:t>
                  </w:r>
                </w:p>
              </w:tc>
              <w:tc>
                <w:tcPr>
                  <w:tcW w:w="1320" w:type="dxa"/>
                  <w:vMerge w:val="continue"/>
                  <w:tcMar>
                    <w:left w:w="57" w:type="dxa"/>
                    <w:right w:w="57" w:type="dxa"/>
                  </w:tcMar>
                  <w:vAlign w:val="center"/>
                </w:tcPr>
                <w:p w14:paraId="4FD36E77">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p>
              </w:tc>
            </w:tr>
            <w:tr w14:paraId="32E3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438" w:type="dxa"/>
                  <w:vMerge w:val="continue"/>
                  <w:tcMar>
                    <w:left w:w="57" w:type="dxa"/>
                    <w:right w:w="57" w:type="dxa"/>
                  </w:tcMar>
                  <w:vAlign w:val="center"/>
                </w:tcPr>
                <w:p w14:paraId="34B3C665">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p>
              </w:tc>
              <w:tc>
                <w:tcPr>
                  <w:tcW w:w="1365" w:type="dxa"/>
                  <w:shd w:val="clear" w:color="auto" w:fill="auto"/>
                  <w:tcMar>
                    <w:left w:w="57" w:type="dxa"/>
                    <w:right w:w="57" w:type="dxa"/>
                  </w:tcMar>
                  <w:vAlign w:val="center"/>
                </w:tcPr>
                <w:p w14:paraId="40FD368D">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工业场地区降尘用水</w:t>
                  </w:r>
                </w:p>
              </w:tc>
              <w:tc>
                <w:tcPr>
                  <w:tcW w:w="945" w:type="dxa"/>
                  <w:shd w:val="clear" w:color="auto" w:fill="auto"/>
                  <w:tcMar>
                    <w:left w:w="57" w:type="dxa"/>
                    <w:right w:w="57" w:type="dxa"/>
                  </w:tcMar>
                  <w:vAlign w:val="center"/>
                </w:tcPr>
                <w:p w14:paraId="243CAADA">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43.2</w:t>
                  </w:r>
                </w:p>
              </w:tc>
              <w:tc>
                <w:tcPr>
                  <w:tcW w:w="930" w:type="dxa"/>
                  <w:shd w:val="clear" w:color="auto" w:fill="auto"/>
                  <w:tcMar>
                    <w:left w:w="57" w:type="dxa"/>
                    <w:right w:w="57" w:type="dxa"/>
                  </w:tcMar>
                  <w:vAlign w:val="center"/>
                </w:tcPr>
                <w:p w14:paraId="210AEE04">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12960</w:t>
                  </w:r>
                </w:p>
              </w:tc>
              <w:tc>
                <w:tcPr>
                  <w:tcW w:w="975" w:type="dxa"/>
                  <w:tcMar>
                    <w:left w:w="57" w:type="dxa"/>
                    <w:right w:w="57" w:type="dxa"/>
                  </w:tcMar>
                  <w:vAlign w:val="center"/>
                </w:tcPr>
                <w:p w14:paraId="61925DC1">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12960</w:t>
                  </w:r>
                </w:p>
              </w:tc>
              <w:tc>
                <w:tcPr>
                  <w:tcW w:w="945" w:type="dxa"/>
                  <w:tcMar>
                    <w:left w:w="57" w:type="dxa"/>
                    <w:right w:w="57" w:type="dxa"/>
                  </w:tcMar>
                  <w:vAlign w:val="center"/>
                </w:tcPr>
                <w:p w14:paraId="676DD04E">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w:t>
                  </w:r>
                </w:p>
              </w:tc>
              <w:tc>
                <w:tcPr>
                  <w:tcW w:w="1020" w:type="dxa"/>
                  <w:tcMar>
                    <w:left w:w="57" w:type="dxa"/>
                    <w:right w:w="57" w:type="dxa"/>
                  </w:tcMar>
                  <w:vAlign w:val="center"/>
                </w:tcPr>
                <w:p w14:paraId="0AF7269A">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w:t>
                  </w:r>
                </w:p>
              </w:tc>
              <w:tc>
                <w:tcPr>
                  <w:tcW w:w="1320" w:type="dxa"/>
                  <w:vMerge w:val="continue"/>
                  <w:tcMar>
                    <w:left w:w="57" w:type="dxa"/>
                    <w:right w:w="57" w:type="dxa"/>
                  </w:tcMar>
                  <w:vAlign w:val="center"/>
                </w:tcPr>
                <w:p w14:paraId="68625D37">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p>
              </w:tc>
            </w:tr>
            <w:tr w14:paraId="2EC55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5" w:hRule="atLeast"/>
                <w:jc w:val="center"/>
              </w:trPr>
              <w:tc>
                <w:tcPr>
                  <w:tcW w:w="438" w:type="dxa"/>
                  <w:vMerge w:val="continue"/>
                  <w:tcMar>
                    <w:left w:w="57" w:type="dxa"/>
                    <w:right w:w="57" w:type="dxa"/>
                  </w:tcMar>
                  <w:vAlign w:val="center"/>
                </w:tcPr>
                <w:p w14:paraId="74FA187F">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p>
              </w:tc>
              <w:tc>
                <w:tcPr>
                  <w:tcW w:w="1365" w:type="dxa"/>
                  <w:tcMar>
                    <w:left w:w="57" w:type="dxa"/>
                    <w:right w:w="57" w:type="dxa"/>
                  </w:tcMar>
                  <w:vAlign w:val="center"/>
                </w:tcPr>
                <w:p w14:paraId="0CC1439D">
                  <w:pPr>
                    <w:adjustRightInd w:val="0"/>
                    <w:snapToGrid w:val="0"/>
                    <w:spacing w:line="240" w:lineRule="auto"/>
                    <w:ind w:firstLine="0" w:firstLineChars="0"/>
                    <w:jc w:val="center"/>
                    <w:rPr>
                      <w:rFonts w:hint="eastAsia"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运输道路降尘用水</w:t>
                  </w:r>
                </w:p>
              </w:tc>
              <w:tc>
                <w:tcPr>
                  <w:tcW w:w="945" w:type="dxa"/>
                  <w:tcMar>
                    <w:left w:w="57" w:type="dxa"/>
                    <w:right w:w="57" w:type="dxa"/>
                  </w:tcMar>
                  <w:vAlign w:val="center"/>
                </w:tcPr>
                <w:p w14:paraId="619C77BC">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16.17</w:t>
                  </w:r>
                </w:p>
              </w:tc>
              <w:tc>
                <w:tcPr>
                  <w:tcW w:w="930" w:type="dxa"/>
                  <w:tcMar>
                    <w:left w:w="57" w:type="dxa"/>
                    <w:right w:w="57" w:type="dxa"/>
                  </w:tcMar>
                  <w:vAlign w:val="center"/>
                </w:tcPr>
                <w:p w14:paraId="1CCF757A">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2878.26</w:t>
                  </w:r>
                </w:p>
              </w:tc>
              <w:tc>
                <w:tcPr>
                  <w:tcW w:w="975" w:type="dxa"/>
                  <w:tcMar>
                    <w:left w:w="57" w:type="dxa"/>
                    <w:right w:w="57" w:type="dxa"/>
                  </w:tcMar>
                  <w:vAlign w:val="center"/>
                </w:tcPr>
                <w:p w14:paraId="7061B3D1">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rPr>
                  </w:pPr>
                  <w:r>
                    <w:rPr>
                      <w:rFonts w:hint="eastAsia" w:cs="Times New Roman"/>
                      <w:color w:val="auto"/>
                      <w:kern w:val="0"/>
                      <w:sz w:val="21"/>
                      <w:szCs w:val="21"/>
                      <w:highlight w:val="none"/>
                      <w:lang w:val="en-US" w:eastAsia="zh-CN"/>
                    </w:rPr>
                    <w:t>2878.26</w:t>
                  </w:r>
                </w:p>
              </w:tc>
              <w:tc>
                <w:tcPr>
                  <w:tcW w:w="945" w:type="dxa"/>
                  <w:tcMar>
                    <w:left w:w="57" w:type="dxa"/>
                    <w:right w:w="57" w:type="dxa"/>
                  </w:tcMar>
                  <w:vAlign w:val="center"/>
                </w:tcPr>
                <w:p w14:paraId="6DC8D659">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w:t>
                  </w:r>
                </w:p>
              </w:tc>
              <w:tc>
                <w:tcPr>
                  <w:tcW w:w="1020" w:type="dxa"/>
                  <w:tcMar>
                    <w:left w:w="57" w:type="dxa"/>
                    <w:right w:w="57" w:type="dxa"/>
                  </w:tcMar>
                  <w:vAlign w:val="center"/>
                </w:tcPr>
                <w:p w14:paraId="656230F2">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w:t>
                  </w:r>
                </w:p>
              </w:tc>
              <w:tc>
                <w:tcPr>
                  <w:tcW w:w="1320" w:type="dxa"/>
                  <w:vMerge w:val="continue"/>
                  <w:tcMar>
                    <w:left w:w="57" w:type="dxa"/>
                    <w:right w:w="57" w:type="dxa"/>
                  </w:tcMar>
                  <w:vAlign w:val="center"/>
                </w:tcPr>
                <w:p w14:paraId="37A34A7E">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p>
              </w:tc>
            </w:tr>
            <w:tr w14:paraId="426D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38" w:type="dxa"/>
                  <w:vMerge w:val="continue"/>
                  <w:tcMar>
                    <w:left w:w="57" w:type="dxa"/>
                    <w:right w:w="57" w:type="dxa"/>
                  </w:tcMar>
                  <w:vAlign w:val="center"/>
                </w:tcPr>
                <w:p w14:paraId="676B7D11">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p>
              </w:tc>
              <w:tc>
                <w:tcPr>
                  <w:tcW w:w="1365" w:type="dxa"/>
                  <w:tcMar>
                    <w:left w:w="57" w:type="dxa"/>
                    <w:right w:w="57" w:type="dxa"/>
                  </w:tcMar>
                  <w:vAlign w:val="center"/>
                </w:tcPr>
                <w:p w14:paraId="195421A9">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临时表土堆场降尘用水</w:t>
                  </w:r>
                </w:p>
              </w:tc>
              <w:tc>
                <w:tcPr>
                  <w:tcW w:w="945" w:type="dxa"/>
                  <w:tcMar>
                    <w:left w:w="57" w:type="dxa"/>
                    <w:right w:w="57" w:type="dxa"/>
                  </w:tcMar>
                  <w:vAlign w:val="center"/>
                </w:tcPr>
                <w:p w14:paraId="584FEA2B">
                  <w:pPr>
                    <w:adjustRightInd w:val="0"/>
                    <w:snapToGrid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12</w:t>
                  </w:r>
                </w:p>
              </w:tc>
              <w:tc>
                <w:tcPr>
                  <w:tcW w:w="930" w:type="dxa"/>
                  <w:tcMar>
                    <w:left w:w="57" w:type="dxa"/>
                    <w:right w:w="57" w:type="dxa"/>
                  </w:tcMar>
                  <w:vAlign w:val="center"/>
                </w:tcPr>
                <w:p w14:paraId="3709F085">
                  <w:pPr>
                    <w:adjustRightInd w:val="0"/>
                    <w:snapToGrid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2136</w:t>
                  </w:r>
                </w:p>
              </w:tc>
              <w:tc>
                <w:tcPr>
                  <w:tcW w:w="975" w:type="dxa"/>
                  <w:tcMar>
                    <w:left w:w="57" w:type="dxa"/>
                    <w:right w:w="57" w:type="dxa"/>
                  </w:tcMar>
                  <w:vAlign w:val="center"/>
                </w:tcPr>
                <w:p w14:paraId="4254C5B0">
                  <w:pPr>
                    <w:adjustRightInd w:val="0"/>
                    <w:snapToGrid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2136</w:t>
                  </w:r>
                </w:p>
              </w:tc>
              <w:tc>
                <w:tcPr>
                  <w:tcW w:w="945" w:type="dxa"/>
                  <w:tcMar>
                    <w:left w:w="57" w:type="dxa"/>
                    <w:right w:w="57" w:type="dxa"/>
                  </w:tcMar>
                  <w:vAlign w:val="center"/>
                </w:tcPr>
                <w:p w14:paraId="78B5BC37">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w:t>
                  </w:r>
                </w:p>
              </w:tc>
              <w:tc>
                <w:tcPr>
                  <w:tcW w:w="1020" w:type="dxa"/>
                  <w:tcMar>
                    <w:left w:w="57" w:type="dxa"/>
                    <w:right w:w="57" w:type="dxa"/>
                  </w:tcMar>
                  <w:vAlign w:val="center"/>
                </w:tcPr>
                <w:p w14:paraId="5BE4FC31">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w:t>
                  </w:r>
                </w:p>
              </w:tc>
              <w:tc>
                <w:tcPr>
                  <w:tcW w:w="1320" w:type="dxa"/>
                  <w:vMerge w:val="continue"/>
                  <w:tcMar>
                    <w:left w:w="57" w:type="dxa"/>
                    <w:right w:w="57" w:type="dxa"/>
                  </w:tcMar>
                  <w:vAlign w:val="center"/>
                </w:tcPr>
                <w:p w14:paraId="11794F0D">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p>
              </w:tc>
            </w:tr>
            <w:tr w14:paraId="054E1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38" w:type="dxa"/>
                  <w:vMerge w:val="continue"/>
                  <w:tcMar>
                    <w:left w:w="57" w:type="dxa"/>
                    <w:right w:w="57" w:type="dxa"/>
                  </w:tcMar>
                  <w:vAlign w:val="center"/>
                </w:tcPr>
                <w:p w14:paraId="1A83A307">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p>
              </w:tc>
              <w:tc>
                <w:tcPr>
                  <w:tcW w:w="1365" w:type="dxa"/>
                  <w:tcMar>
                    <w:left w:w="57" w:type="dxa"/>
                    <w:right w:w="57" w:type="dxa"/>
                  </w:tcMar>
                  <w:vAlign w:val="center"/>
                </w:tcPr>
                <w:p w14:paraId="02BEC6C1">
                  <w:pPr>
                    <w:adjustRightInd w:val="0"/>
                    <w:snapToGrid w:val="0"/>
                    <w:spacing w:line="240" w:lineRule="auto"/>
                    <w:ind w:firstLine="0" w:firstLineChars="0"/>
                    <w:jc w:val="center"/>
                    <w:rPr>
                      <w:rFonts w:hint="default" w:ascii="Times New Roman" w:hAnsi="Times New Roman"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小计</w:t>
                  </w:r>
                </w:p>
              </w:tc>
              <w:tc>
                <w:tcPr>
                  <w:tcW w:w="945" w:type="dxa"/>
                  <w:tcMar>
                    <w:left w:w="57" w:type="dxa"/>
                    <w:right w:w="57" w:type="dxa"/>
                  </w:tcMar>
                  <w:vAlign w:val="center"/>
                </w:tcPr>
                <w:p w14:paraId="37B277C1">
                  <w:pPr>
                    <w:adjustRightInd w:val="0"/>
                    <w:snapToGrid w:val="0"/>
                    <w:spacing w:line="240" w:lineRule="auto"/>
                    <w:ind w:firstLine="0" w:firstLineChars="0"/>
                    <w:jc w:val="center"/>
                    <w:rPr>
                      <w:rFonts w:hint="default"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239.3</w:t>
                  </w:r>
                </w:p>
              </w:tc>
              <w:tc>
                <w:tcPr>
                  <w:tcW w:w="930" w:type="dxa"/>
                  <w:tcMar>
                    <w:left w:w="57" w:type="dxa"/>
                    <w:right w:w="57" w:type="dxa"/>
                  </w:tcMar>
                  <w:vAlign w:val="center"/>
                </w:tcPr>
                <w:p w14:paraId="4E7C6635">
                  <w:pPr>
                    <w:adjustRightInd w:val="0"/>
                    <w:snapToGrid w:val="0"/>
                    <w:spacing w:line="240" w:lineRule="auto"/>
                    <w:ind w:firstLine="0" w:firstLineChars="0"/>
                    <w:jc w:val="center"/>
                    <w:rPr>
                      <w:rFonts w:hint="eastAsia"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48883.06</w:t>
                  </w:r>
                </w:p>
              </w:tc>
              <w:tc>
                <w:tcPr>
                  <w:tcW w:w="975" w:type="dxa"/>
                  <w:tcMar>
                    <w:left w:w="57" w:type="dxa"/>
                    <w:right w:w="57" w:type="dxa"/>
                  </w:tcMar>
                  <w:vAlign w:val="center"/>
                </w:tcPr>
                <w:p w14:paraId="1E9BDADB">
                  <w:pPr>
                    <w:adjustRightInd w:val="0"/>
                    <w:snapToGrid w:val="0"/>
                    <w:spacing w:line="240" w:lineRule="auto"/>
                    <w:ind w:firstLine="0" w:firstLineChars="0"/>
                    <w:jc w:val="center"/>
                    <w:rPr>
                      <w:rFonts w:hint="default"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48883.06</w:t>
                  </w:r>
                </w:p>
              </w:tc>
              <w:tc>
                <w:tcPr>
                  <w:tcW w:w="945" w:type="dxa"/>
                  <w:tcMar>
                    <w:left w:w="57" w:type="dxa"/>
                    <w:right w:w="57" w:type="dxa"/>
                  </w:tcMar>
                  <w:vAlign w:val="center"/>
                </w:tcPr>
                <w:p w14:paraId="7389797F">
                  <w:pPr>
                    <w:adjustRightInd w:val="0"/>
                    <w:snapToGrid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w:t>
                  </w:r>
                </w:p>
              </w:tc>
              <w:tc>
                <w:tcPr>
                  <w:tcW w:w="1020" w:type="dxa"/>
                  <w:tcMar>
                    <w:left w:w="57" w:type="dxa"/>
                    <w:right w:w="57" w:type="dxa"/>
                  </w:tcMar>
                  <w:vAlign w:val="center"/>
                </w:tcPr>
                <w:p w14:paraId="2344A3E8">
                  <w:pPr>
                    <w:adjustRightInd w:val="0"/>
                    <w:snapToGrid w:val="0"/>
                    <w:spacing w:line="240" w:lineRule="auto"/>
                    <w:ind w:firstLine="0" w:firstLineChars="0"/>
                    <w:jc w:val="center"/>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w:t>
                  </w:r>
                </w:p>
              </w:tc>
              <w:tc>
                <w:tcPr>
                  <w:tcW w:w="1320" w:type="dxa"/>
                  <w:vMerge w:val="continue"/>
                  <w:tcMar>
                    <w:left w:w="57" w:type="dxa"/>
                    <w:right w:w="57" w:type="dxa"/>
                  </w:tcMar>
                  <w:vAlign w:val="center"/>
                </w:tcPr>
                <w:p w14:paraId="7C1C4507">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p>
              </w:tc>
            </w:tr>
            <w:tr w14:paraId="0B37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1803" w:type="dxa"/>
                  <w:gridSpan w:val="2"/>
                  <w:tcMar>
                    <w:left w:w="57" w:type="dxa"/>
                    <w:right w:w="57" w:type="dxa"/>
                  </w:tcMar>
                  <w:vAlign w:val="center"/>
                </w:tcPr>
                <w:p w14:paraId="323A6057">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rPr>
                    <w:t>生活用水</w:t>
                  </w:r>
                </w:p>
              </w:tc>
              <w:tc>
                <w:tcPr>
                  <w:tcW w:w="945" w:type="dxa"/>
                  <w:tcMar>
                    <w:left w:w="57" w:type="dxa"/>
                    <w:right w:w="57" w:type="dxa"/>
                  </w:tcMar>
                  <w:vAlign w:val="center"/>
                </w:tcPr>
                <w:p w14:paraId="416E4423">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1.2</w:t>
                  </w:r>
                </w:p>
              </w:tc>
              <w:tc>
                <w:tcPr>
                  <w:tcW w:w="930" w:type="dxa"/>
                  <w:tcMar>
                    <w:left w:w="57" w:type="dxa"/>
                    <w:right w:w="57" w:type="dxa"/>
                  </w:tcMar>
                  <w:vAlign w:val="center"/>
                </w:tcPr>
                <w:p w14:paraId="4A9D7A5F">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360</w:t>
                  </w:r>
                </w:p>
              </w:tc>
              <w:tc>
                <w:tcPr>
                  <w:tcW w:w="975" w:type="dxa"/>
                  <w:tcMar>
                    <w:left w:w="57" w:type="dxa"/>
                    <w:right w:w="57" w:type="dxa"/>
                  </w:tcMar>
                  <w:vAlign w:val="center"/>
                </w:tcPr>
                <w:p w14:paraId="166C5BD7">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72</w:t>
                  </w:r>
                </w:p>
              </w:tc>
              <w:tc>
                <w:tcPr>
                  <w:tcW w:w="945" w:type="dxa"/>
                  <w:tcMar>
                    <w:left w:w="57" w:type="dxa"/>
                    <w:right w:w="57" w:type="dxa"/>
                  </w:tcMar>
                  <w:vAlign w:val="center"/>
                </w:tcPr>
                <w:p w14:paraId="560C0BF7">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0.96</w:t>
                  </w:r>
                </w:p>
              </w:tc>
              <w:tc>
                <w:tcPr>
                  <w:tcW w:w="1020" w:type="dxa"/>
                  <w:tcMar>
                    <w:left w:w="57" w:type="dxa"/>
                    <w:right w:w="57" w:type="dxa"/>
                  </w:tcMar>
                  <w:vAlign w:val="center"/>
                </w:tcPr>
                <w:p w14:paraId="479E1049">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288</w:t>
                  </w:r>
                </w:p>
              </w:tc>
              <w:tc>
                <w:tcPr>
                  <w:tcW w:w="1320" w:type="dxa"/>
                  <w:tcMar>
                    <w:left w:w="57" w:type="dxa"/>
                    <w:right w:w="57" w:type="dxa"/>
                  </w:tcMar>
                  <w:vAlign w:val="center"/>
                </w:tcPr>
                <w:p w14:paraId="2733D9CD">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生活污水经隔油池、</w:t>
                  </w:r>
                  <w:r>
                    <w:rPr>
                      <w:rFonts w:hint="default" w:ascii="Times New Roman" w:hAnsi="Times New Roman" w:cs="Times New Roman"/>
                      <w:color w:val="auto"/>
                      <w:sz w:val="21"/>
                      <w:szCs w:val="21"/>
                      <w:highlight w:val="none"/>
                      <w:lang w:eastAsia="zh-CN"/>
                    </w:rPr>
                    <w:t>三格化粪池</w:t>
                  </w:r>
                  <w:r>
                    <w:rPr>
                      <w:rFonts w:hint="default" w:ascii="Times New Roman" w:hAnsi="Times New Roman" w:cs="Times New Roman"/>
                      <w:color w:val="auto"/>
                      <w:sz w:val="21"/>
                      <w:szCs w:val="21"/>
                      <w:highlight w:val="none"/>
                    </w:rPr>
                    <w:t>处理后</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定期清掏用作农肥</w:t>
                  </w:r>
                  <w:r>
                    <w:rPr>
                      <w:rFonts w:hint="default" w:ascii="Times New Roman" w:hAnsi="Times New Roman" w:cs="Times New Roman"/>
                      <w:color w:val="auto"/>
                      <w:kern w:val="0"/>
                      <w:sz w:val="21"/>
                      <w:szCs w:val="21"/>
                      <w:highlight w:val="none"/>
                    </w:rPr>
                    <w:t>。</w:t>
                  </w:r>
                </w:p>
              </w:tc>
            </w:tr>
            <w:tr w14:paraId="5C85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803" w:type="dxa"/>
                  <w:gridSpan w:val="2"/>
                  <w:tcMar>
                    <w:left w:w="57" w:type="dxa"/>
                    <w:right w:w="57" w:type="dxa"/>
                  </w:tcMar>
                  <w:vAlign w:val="center"/>
                </w:tcPr>
                <w:p w14:paraId="01BA509C">
                  <w:pPr>
                    <w:adjustRightInd w:val="0"/>
                    <w:snapToGrid w:val="0"/>
                    <w:spacing w:line="240" w:lineRule="auto"/>
                    <w:ind w:firstLine="0" w:firstLineChars="0"/>
                    <w:jc w:val="center"/>
                    <w:rPr>
                      <w:rFonts w:hint="eastAsia"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运输车辆清洗用水</w:t>
                  </w:r>
                </w:p>
              </w:tc>
              <w:tc>
                <w:tcPr>
                  <w:tcW w:w="945" w:type="dxa"/>
                  <w:tcMar>
                    <w:left w:w="57" w:type="dxa"/>
                    <w:right w:w="57" w:type="dxa"/>
                  </w:tcMar>
                  <w:vAlign w:val="center"/>
                </w:tcPr>
                <w:p w14:paraId="02450AB1">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0.506</w:t>
                  </w:r>
                </w:p>
              </w:tc>
              <w:tc>
                <w:tcPr>
                  <w:tcW w:w="930" w:type="dxa"/>
                  <w:tcMar>
                    <w:left w:w="57" w:type="dxa"/>
                    <w:right w:w="57" w:type="dxa"/>
                  </w:tcMar>
                  <w:vAlign w:val="center"/>
                </w:tcPr>
                <w:p w14:paraId="2C1DF829">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152</w:t>
                  </w:r>
                </w:p>
              </w:tc>
              <w:tc>
                <w:tcPr>
                  <w:tcW w:w="975" w:type="dxa"/>
                  <w:tcMar>
                    <w:left w:w="57" w:type="dxa"/>
                    <w:right w:w="57" w:type="dxa"/>
                  </w:tcMar>
                  <w:vAlign w:val="center"/>
                </w:tcPr>
                <w:p w14:paraId="50FB6E00">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152</w:t>
                  </w:r>
                </w:p>
              </w:tc>
              <w:tc>
                <w:tcPr>
                  <w:tcW w:w="945" w:type="dxa"/>
                  <w:tcMar>
                    <w:left w:w="57" w:type="dxa"/>
                    <w:right w:w="57" w:type="dxa"/>
                  </w:tcMar>
                  <w:vAlign w:val="center"/>
                </w:tcPr>
                <w:p w14:paraId="02E8704D">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w:t>
                  </w:r>
                </w:p>
              </w:tc>
              <w:tc>
                <w:tcPr>
                  <w:tcW w:w="1020" w:type="dxa"/>
                  <w:tcMar>
                    <w:left w:w="57" w:type="dxa"/>
                    <w:right w:w="57" w:type="dxa"/>
                  </w:tcMar>
                  <w:vAlign w:val="center"/>
                </w:tcPr>
                <w:p w14:paraId="09CCB39C">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0</w:t>
                  </w:r>
                </w:p>
              </w:tc>
              <w:tc>
                <w:tcPr>
                  <w:tcW w:w="1320" w:type="dxa"/>
                  <w:tcMar>
                    <w:left w:w="57" w:type="dxa"/>
                    <w:right w:w="57" w:type="dxa"/>
                  </w:tcMar>
                  <w:vAlign w:val="center"/>
                </w:tcPr>
                <w:p w14:paraId="0204D88E">
                  <w:pPr>
                    <w:adjustRightInd w:val="0"/>
                    <w:snapToGrid w:val="0"/>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收集于洗车池后循环使用，不外排。</w:t>
                  </w:r>
                </w:p>
              </w:tc>
            </w:tr>
            <w:tr w14:paraId="3556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803" w:type="dxa"/>
                  <w:gridSpan w:val="2"/>
                  <w:tcMar>
                    <w:left w:w="57" w:type="dxa"/>
                    <w:right w:w="57" w:type="dxa"/>
                  </w:tcMar>
                  <w:vAlign w:val="center"/>
                </w:tcPr>
                <w:p w14:paraId="73CF2E11">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露天开采区淋滤水</w:t>
                  </w:r>
                </w:p>
              </w:tc>
              <w:tc>
                <w:tcPr>
                  <w:tcW w:w="945" w:type="dxa"/>
                  <w:tcMar>
                    <w:left w:w="57" w:type="dxa"/>
                    <w:right w:w="57" w:type="dxa"/>
                  </w:tcMar>
                  <w:vAlign w:val="center"/>
                </w:tcPr>
                <w:p w14:paraId="1242BFC0">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w:t>
                  </w:r>
                </w:p>
              </w:tc>
              <w:tc>
                <w:tcPr>
                  <w:tcW w:w="930" w:type="dxa"/>
                  <w:tcMar>
                    <w:left w:w="57" w:type="dxa"/>
                    <w:right w:w="57" w:type="dxa"/>
                  </w:tcMar>
                  <w:vAlign w:val="center"/>
                </w:tcPr>
                <w:p w14:paraId="416C2DE3">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w:t>
                  </w:r>
                </w:p>
              </w:tc>
              <w:tc>
                <w:tcPr>
                  <w:tcW w:w="975" w:type="dxa"/>
                  <w:tcMar>
                    <w:left w:w="57" w:type="dxa"/>
                    <w:right w:w="57" w:type="dxa"/>
                  </w:tcMar>
                  <w:vAlign w:val="center"/>
                </w:tcPr>
                <w:p w14:paraId="572508DF">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w:t>
                  </w:r>
                </w:p>
              </w:tc>
              <w:tc>
                <w:tcPr>
                  <w:tcW w:w="945" w:type="dxa"/>
                  <w:tcMar>
                    <w:left w:w="57" w:type="dxa"/>
                    <w:right w:w="57" w:type="dxa"/>
                  </w:tcMar>
                  <w:vAlign w:val="center"/>
                </w:tcPr>
                <w:p w14:paraId="3284BB1B">
                  <w:pPr>
                    <w:adjustRightInd w:val="0"/>
                    <w:snapToGrid w:val="0"/>
                    <w:spacing w:line="240" w:lineRule="auto"/>
                    <w:ind w:firstLine="0" w:firstLineChars="0"/>
                    <w:jc w:val="center"/>
                    <w:rPr>
                      <w:rFonts w:hint="default" w:ascii="Times New Roman" w:hAnsi="Times New Roman" w:cs="Times New Roman"/>
                      <w:color w:val="auto"/>
                      <w:highlight w:val="none"/>
                      <w:lang w:val="en-US"/>
                    </w:rPr>
                  </w:pPr>
                  <w:r>
                    <w:rPr>
                      <w:rFonts w:hint="eastAsia" w:cs="Times New Roman"/>
                      <w:color w:val="auto"/>
                      <w:kern w:val="0"/>
                      <w:sz w:val="21"/>
                      <w:szCs w:val="21"/>
                      <w:highlight w:val="none"/>
                      <w:lang w:val="en-US" w:eastAsia="zh-CN"/>
                    </w:rPr>
                    <w:t>170.692</w:t>
                  </w:r>
                </w:p>
              </w:tc>
              <w:tc>
                <w:tcPr>
                  <w:tcW w:w="1020" w:type="dxa"/>
                  <w:tcMar>
                    <w:left w:w="57" w:type="dxa"/>
                    <w:right w:w="57" w:type="dxa"/>
                  </w:tcMar>
                  <w:vAlign w:val="center"/>
                </w:tcPr>
                <w:p w14:paraId="467F3EA5">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rPr>
                  </w:pPr>
                  <w:r>
                    <w:rPr>
                      <w:rFonts w:hint="default" w:ascii="Times New Roman" w:hAnsi="Times New Roman" w:cs="Times New Roman"/>
                      <w:color w:val="auto"/>
                      <w:kern w:val="0"/>
                      <w:sz w:val="21"/>
                      <w:szCs w:val="21"/>
                      <w:highlight w:val="none"/>
                      <w:lang w:val="en-US" w:eastAsia="zh-CN"/>
                    </w:rPr>
                    <w:t>24</w:t>
                  </w:r>
                  <w:r>
                    <w:rPr>
                      <w:rFonts w:hint="eastAsia" w:cs="Times New Roman"/>
                      <w:color w:val="auto"/>
                      <w:kern w:val="0"/>
                      <w:sz w:val="21"/>
                      <w:szCs w:val="21"/>
                      <w:highlight w:val="none"/>
                      <w:lang w:val="en-US" w:eastAsia="zh-CN"/>
                    </w:rPr>
                    <w:t>750.34</w:t>
                  </w:r>
                </w:p>
              </w:tc>
              <w:tc>
                <w:tcPr>
                  <w:tcW w:w="1320" w:type="dxa"/>
                  <w:vMerge w:val="restart"/>
                  <w:tcMar>
                    <w:left w:w="57" w:type="dxa"/>
                    <w:right w:w="57" w:type="dxa"/>
                  </w:tcMar>
                  <w:vAlign w:val="center"/>
                </w:tcPr>
                <w:p w14:paraId="12942B35">
                  <w:pPr>
                    <w:adjustRightInd w:val="0"/>
                    <w:snapToGrid w:val="0"/>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沉砂池沉淀后，用于洒水降尘</w:t>
                  </w:r>
                </w:p>
              </w:tc>
            </w:tr>
            <w:tr w14:paraId="629B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803" w:type="dxa"/>
                  <w:gridSpan w:val="2"/>
                  <w:tcMar>
                    <w:left w:w="57" w:type="dxa"/>
                    <w:right w:w="57" w:type="dxa"/>
                  </w:tcMar>
                  <w:vAlign w:val="center"/>
                </w:tcPr>
                <w:p w14:paraId="512008BF">
                  <w:pPr>
                    <w:adjustRightInd w:val="0"/>
                    <w:snapToGrid w:val="0"/>
                    <w:spacing w:line="240" w:lineRule="auto"/>
                    <w:ind w:firstLine="0" w:firstLineChars="0"/>
                    <w:jc w:val="center"/>
                    <w:rPr>
                      <w:rFonts w:hint="eastAsia"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临时表土堆场淋滤水</w:t>
                  </w:r>
                </w:p>
              </w:tc>
              <w:tc>
                <w:tcPr>
                  <w:tcW w:w="945" w:type="dxa"/>
                  <w:tcMar>
                    <w:left w:w="57" w:type="dxa"/>
                    <w:right w:w="57" w:type="dxa"/>
                  </w:tcMar>
                  <w:vAlign w:val="center"/>
                </w:tcPr>
                <w:p w14:paraId="263E2E86">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930" w:type="dxa"/>
                  <w:tcMar>
                    <w:left w:w="57" w:type="dxa"/>
                    <w:right w:w="57" w:type="dxa"/>
                  </w:tcMar>
                  <w:vAlign w:val="center"/>
                </w:tcPr>
                <w:p w14:paraId="764117FB">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975" w:type="dxa"/>
                  <w:tcMar>
                    <w:left w:w="57" w:type="dxa"/>
                    <w:right w:w="57" w:type="dxa"/>
                  </w:tcMar>
                  <w:vAlign w:val="center"/>
                </w:tcPr>
                <w:p w14:paraId="59FE7B3D">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945" w:type="dxa"/>
                  <w:tcMar>
                    <w:left w:w="57" w:type="dxa"/>
                    <w:right w:w="57" w:type="dxa"/>
                  </w:tcMar>
                  <w:vAlign w:val="center"/>
                </w:tcPr>
                <w:p w14:paraId="25AF5AB0">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4.278</w:t>
                  </w:r>
                </w:p>
              </w:tc>
              <w:tc>
                <w:tcPr>
                  <w:tcW w:w="1020" w:type="dxa"/>
                  <w:tcMar>
                    <w:left w:w="57" w:type="dxa"/>
                    <w:right w:w="57" w:type="dxa"/>
                  </w:tcMar>
                  <w:vAlign w:val="center"/>
                </w:tcPr>
                <w:p w14:paraId="79EAA88A">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620.31</w:t>
                  </w:r>
                </w:p>
              </w:tc>
              <w:tc>
                <w:tcPr>
                  <w:tcW w:w="1320" w:type="dxa"/>
                  <w:vMerge w:val="continue"/>
                  <w:tcMar>
                    <w:left w:w="57" w:type="dxa"/>
                    <w:right w:w="57" w:type="dxa"/>
                  </w:tcMar>
                  <w:vAlign w:val="center"/>
                </w:tcPr>
                <w:p w14:paraId="484E1733">
                  <w:pPr>
                    <w:adjustRightInd w:val="0"/>
                    <w:snapToGrid w:val="0"/>
                    <w:spacing w:line="240" w:lineRule="auto"/>
                    <w:ind w:firstLine="0" w:firstLineChars="0"/>
                    <w:jc w:val="center"/>
                    <w:rPr>
                      <w:rFonts w:hint="default" w:ascii="Times New Roman" w:hAnsi="Times New Roman" w:cs="Times New Roman"/>
                      <w:color w:val="auto"/>
                      <w:sz w:val="21"/>
                      <w:szCs w:val="21"/>
                      <w:highlight w:val="none"/>
                      <w:lang w:val="en-US" w:eastAsia="zh-CN"/>
                    </w:rPr>
                  </w:pPr>
                </w:p>
              </w:tc>
            </w:tr>
            <w:tr w14:paraId="1DF4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803" w:type="dxa"/>
                  <w:gridSpan w:val="2"/>
                  <w:tcMar>
                    <w:left w:w="57" w:type="dxa"/>
                    <w:right w:w="57" w:type="dxa"/>
                  </w:tcMar>
                  <w:vAlign w:val="center"/>
                </w:tcPr>
                <w:p w14:paraId="31536A9F">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工业场地区初期雨水</w:t>
                  </w:r>
                </w:p>
              </w:tc>
              <w:tc>
                <w:tcPr>
                  <w:tcW w:w="945" w:type="dxa"/>
                  <w:tcMar>
                    <w:left w:w="57" w:type="dxa"/>
                    <w:right w:w="57" w:type="dxa"/>
                  </w:tcMar>
                  <w:vAlign w:val="center"/>
                </w:tcPr>
                <w:p w14:paraId="76CFE9D4">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w:t>
                  </w:r>
                </w:p>
              </w:tc>
              <w:tc>
                <w:tcPr>
                  <w:tcW w:w="930" w:type="dxa"/>
                  <w:tcMar>
                    <w:left w:w="57" w:type="dxa"/>
                    <w:right w:w="57" w:type="dxa"/>
                  </w:tcMar>
                  <w:vAlign w:val="center"/>
                </w:tcPr>
                <w:p w14:paraId="31BDD4C0">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w:t>
                  </w:r>
                </w:p>
              </w:tc>
              <w:tc>
                <w:tcPr>
                  <w:tcW w:w="975" w:type="dxa"/>
                  <w:tcMar>
                    <w:left w:w="57" w:type="dxa"/>
                    <w:right w:w="57" w:type="dxa"/>
                  </w:tcMar>
                  <w:vAlign w:val="center"/>
                </w:tcPr>
                <w:p w14:paraId="37BB8390">
                  <w:pPr>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w:t>
                  </w:r>
                </w:p>
              </w:tc>
              <w:tc>
                <w:tcPr>
                  <w:tcW w:w="945" w:type="dxa"/>
                  <w:tcMar>
                    <w:left w:w="57" w:type="dxa"/>
                    <w:right w:w="57" w:type="dxa"/>
                  </w:tcMar>
                  <w:vAlign w:val="center"/>
                </w:tcPr>
                <w:p w14:paraId="2DE605E1">
                  <w:pPr>
                    <w:adjustRightInd w:val="0"/>
                    <w:snapToGrid w:val="0"/>
                    <w:spacing w:line="240" w:lineRule="auto"/>
                    <w:ind w:firstLine="0" w:firstLineChars="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kern w:val="0"/>
                      <w:sz w:val="21"/>
                      <w:szCs w:val="21"/>
                      <w:highlight w:val="none"/>
                      <w:lang w:val="en-US" w:eastAsia="zh-CN"/>
                    </w:rPr>
                    <w:t>67.68</w:t>
                  </w:r>
                </w:p>
              </w:tc>
              <w:tc>
                <w:tcPr>
                  <w:tcW w:w="1020" w:type="dxa"/>
                  <w:tcMar>
                    <w:left w:w="57" w:type="dxa"/>
                    <w:right w:w="57" w:type="dxa"/>
                  </w:tcMar>
                  <w:vAlign w:val="center"/>
                </w:tcPr>
                <w:p w14:paraId="795CC3D0">
                  <w:pPr>
                    <w:pStyle w:val="2"/>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9813.6</w:t>
                  </w:r>
                </w:p>
              </w:tc>
              <w:tc>
                <w:tcPr>
                  <w:tcW w:w="1320" w:type="dxa"/>
                  <w:vMerge w:val="continue"/>
                  <w:tcMar>
                    <w:left w:w="57" w:type="dxa"/>
                    <w:right w:w="57" w:type="dxa"/>
                  </w:tcMar>
                  <w:vAlign w:val="center"/>
                </w:tcPr>
                <w:p w14:paraId="3AD6CEAF">
                  <w:pPr>
                    <w:adjustRightInd w:val="0"/>
                    <w:snapToGrid w:val="0"/>
                    <w:spacing w:line="240" w:lineRule="auto"/>
                    <w:ind w:firstLine="0" w:firstLineChars="0"/>
                    <w:jc w:val="center"/>
                    <w:rPr>
                      <w:rFonts w:hint="default" w:ascii="Times New Roman" w:hAnsi="Times New Roman" w:cs="Times New Roman"/>
                      <w:color w:val="auto"/>
                      <w:sz w:val="21"/>
                      <w:szCs w:val="21"/>
                      <w:highlight w:val="none"/>
                    </w:rPr>
                  </w:pPr>
                </w:p>
              </w:tc>
            </w:tr>
            <w:tr w14:paraId="7508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803" w:type="dxa"/>
                  <w:gridSpan w:val="2"/>
                  <w:tcMar>
                    <w:left w:w="57" w:type="dxa"/>
                    <w:right w:w="57" w:type="dxa"/>
                  </w:tcMar>
                  <w:vAlign w:val="center"/>
                </w:tcPr>
                <w:p w14:paraId="664D7BA7">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办公生活区初期雨水</w:t>
                  </w:r>
                </w:p>
              </w:tc>
              <w:tc>
                <w:tcPr>
                  <w:tcW w:w="945" w:type="dxa"/>
                  <w:tcMar>
                    <w:left w:w="57" w:type="dxa"/>
                    <w:right w:w="57" w:type="dxa"/>
                  </w:tcMar>
                  <w:vAlign w:val="center"/>
                </w:tcPr>
                <w:p w14:paraId="1D317627">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930" w:type="dxa"/>
                  <w:tcMar>
                    <w:left w:w="57" w:type="dxa"/>
                    <w:right w:w="57" w:type="dxa"/>
                  </w:tcMar>
                  <w:vAlign w:val="center"/>
                </w:tcPr>
                <w:p w14:paraId="4A52372B">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975" w:type="dxa"/>
                  <w:tcMar>
                    <w:left w:w="57" w:type="dxa"/>
                    <w:right w:w="57" w:type="dxa"/>
                  </w:tcMar>
                  <w:vAlign w:val="center"/>
                </w:tcPr>
                <w:p w14:paraId="3A3131F8">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w:t>
                  </w:r>
                </w:p>
              </w:tc>
              <w:tc>
                <w:tcPr>
                  <w:tcW w:w="945" w:type="dxa"/>
                  <w:tcMar>
                    <w:left w:w="57" w:type="dxa"/>
                    <w:right w:w="57" w:type="dxa"/>
                  </w:tcMar>
                  <w:vAlign w:val="center"/>
                </w:tcPr>
                <w:p w14:paraId="3BB72966">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43.983</w:t>
                  </w:r>
                </w:p>
              </w:tc>
              <w:tc>
                <w:tcPr>
                  <w:tcW w:w="1020" w:type="dxa"/>
                  <w:tcMar>
                    <w:left w:w="57" w:type="dxa"/>
                    <w:right w:w="57" w:type="dxa"/>
                  </w:tcMar>
                  <w:vAlign w:val="center"/>
                </w:tcPr>
                <w:p w14:paraId="3237A55E">
                  <w:pPr>
                    <w:pStyle w:val="2"/>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6377.535</w:t>
                  </w:r>
                </w:p>
              </w:tc>
              <w:tc>
                <w:tcPr>
                  <w:tcW w:w="1320" w:type="dxa"/>
                  <w:vMerge w:val="continue"/>
                  <w:tcMar>
                    <w:left w:w="57" w:type="dxa"/>
                    <w:right w:w="57" w:type="dxa"/>
                  </w:tcMar>
                  <w:vAlign w:val="center"/>
                </w:tcPr>
                <w:p w14:paraId="3DDB4558">
                  <w:pPr>
                    <w:adjustRightInd w:val="0"/>
                    <w:snapToGrid w:val="0"/>
                    <w:spacing w:line="240" w:lineRule="auto"/>
                    <w:ind w:firstLine="0" w:firstLineChars="0"/>
                    <w:jc w:val="center"/>
                    <w:rPr>
                      <w:rFonts w:hint="default" w:ascii="Times New Roman" w:hAnsi="Times New Roman" w:cs="Times New Roman"/>
                      <w:color w:val="auto"/>
                      <w:sz w:val="21"/>
                      <w:szCs w:val="21"/>
                      <w:highlight w:val="none"/>
                    </w:rPr>
                  </w:pPr>
                </w:p>
              </w:tc>
            </w:tr>
            <w:tr w14:paraId="63FE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9" w:hRule="atLeast"/>
                <w:jc w:val="center"/>
              </w:trPr>
              <w:tc>
                <w:tcPr>
                  <w:tcW w:w="1803" w:type="dxa"/>
                  <w:gridSpan w:val="2"/>
                  <w:tcMar>
                    <w:left w:w="57" w:type="dxa"/>
                    <w:right w:w="57" w:type="dxa"/>
                  </w:tcMar>
                  <w:vAlign w:val="center"/>
                </w:tcPr>
                <w:p w14:paraId="77E5365D">
                  <w:pPr>
                    <w:adjustRightInd w:val="0"/>
                    <w:snapToGrid w:val="0"/>
                    <w:spacing w:line="240" w:lineRule="auto"/>
                    <w:ind w:firstLine="0" w:firstLineChars="0"/>
                    <w:jc w:val="center"/>
                    <w:rPr>
                      <w:rFonts w:hint="eastAsia" w:cs="Times New Roman"/>
                      <w:b/>
                      <w:bCs/>
                      <w:color w:val="auto"/>
                      <w:sz w:val="21"/>
                      <w:szCs w:val="21"/>
                      <w:highlight w:val="none"/>
                      <w:lang w:val="en-US" w:eastAsia="zh-CN"/>
                    </w:rPr>
                  </w:pPr>
                  <w:r>
                    <w:rPr>
                      <w:rFonts w:hint="default" w:ascii="Times New Roman" w:hAnsi="Times New Roman" w:cs="Times New Roman"/>
                      <w:b/>
                      <w:bCs/>
                      <w:color w:val="auto"/>
                      <w:kern w:val="0"/>
                      <w:sz w:val="21"/>
                      <w:szCs w:val="21"/>
                      <w:highlight w:val="none"/>
                    </w:rPr>
                    <w:t>合计</w:t>
                  </w:r>
                </w:p>
              </w:tc>
              <w:tc>
                <w:tcPr>
                  <w:tcW w:w="945" w:type="dxa"/>
                  <w:tcMar>
                    <w:left w:w="57" w:type="dxa"/>
                    <w:right w:w="57" w:type="dxa"/>
                  </w:tcMar>
                  <w:vAlign w:val="center"/>
                </w:tcPr>
                <w:p w14:paraId="3FF2C5D9">
                  <w:pPr>
                    <w:adjustRightInd w:val="0"/>
                    <w:snapToGrid w:val="0"/>
                    <w:spacing w:line="240" w:lineRule="auto"/>
                    <w:ind w:firstLine="0" w:firstLine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241.306</w:t>
                  </w:r>
                </w:p>
              </w:tc>
              <w:tc>
                <w:tcPr>
                  <w:tcW w:w="930" w:type="dxa"/>
                  <w:tcMar>
                    <w:left w:w="57" w:type="dxa"/>
                    <w:right w:w="57" w:type="dxa"/>
                  </w:tcMar>
                  <w:vAlign w:val="center"/>
                </w:tcPr>
                <w:p w14:paraId="48D102F3">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49395.06</w:t>
                  </w:r>
                </w:p>
              </w:tc>
              <w:tc>
                <w:tcPr>
                  <w:tcW w:w="975" w:type="dxa"/>
                  <w:tcMar>
                    <w:left w:w="57" w:type="dxa"/>
                    <w:right w:w="57" w:type="dxa"/>
                  </w:tcMar>
                  <w:vAlign w:val="center"/>
                </w:tcPr>
                <w:p w14:paraId="156AFF3E">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cs="Times New Roman"/>
                      <w:b/>
                      <w:bCs/>
                      <w:color w:val="auto"/>
                      <w:kern w:val="0"/>
                      <w:sz w:val="21"/>
                      <w:szCs w:val="21"/>
                      <w:highlight w:val="none"/>
                      <w:lang w:val="en-US" w:eastAsia="zh-CN"/>
                    </w:rPr>
                    <w:t>/</w:t>
                  </w:r>
                </w:p>
              </w:tc>
              <w:tc>
                <w:tcPr>
                  <w:tcW w:w="945" w:type="dxa"/>
                  <w:tcMar>
                    <w:left w:w="57" w:type="dxa"/>
                    <w:right w:w="57" w:type="dxa"/>
                  </w:tcMar>
                  <w:vAlign w:val="center"/>
                </w:tcPr>
                <w:p w14:paraId="44CEB4A1">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287.593</w:t>
                  </w:r>
                </w:p>
                <w:p w14:paraId="61D8FC46">
                  <w:pPr>
                    <w:rPr>
                      <w:color w:val="auto"/>
                    </w:rPr>
                  </w:pPr>
                </w:p>
              </w:tc>
              <w:tc>
                <w:tcPr>
                  <w:tcW w:w="1020" w:type="dxa"/>
                  <w:tcMar>
                    <w:left w:w="57" w:type="dxa"/>
                    <w:right w:w="57" w:type="dxa"/>
                  </w:tcMar>
                  <w:vAlign w:val="center"/>
                </w:tcPr>
                <w:p w14:paraId="6CF13C19">
                  <w:pPr>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41849.785</w:t>
                  </w:r>
                </w:p>
              </w:tc>
              <w:tc>
                <w:tcPr>
                  <w:tcW w:w="1320" w:type="dxa"/>
                  <w:tcMar>
                    <w:left w:w="57" w:type="dxa"/>
                    <w:right w:w="57" w:type="dxa"/>
                  </w:tcMar>
                  <w:vAlign w:val="center"/>
                </w:tcPr>
                <w:p w14:paraId="48F46CCA">
                  <w:pPr>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w:t>
                  </w:r>
                </w:p>
              </w:tc>
            </w:tr>
          </w:tbl>
          <w:p w14:paraId="359E70BF">
            <w:pPr>
              <w:keepNext w:val="0"/>
              <w:keepLines w:val="0"/>
              <w:pageBreakBefore w:val="0"/>
              <w:widowControl w:val="0"/>
              <w:kinsoku/>
              <w:wordWrap/>
              <w:overflowPunct/>
              <w:topLinePunct w:val="0"/>
              <w:autoSpaceDE/>
              <w:autoSpaceDN/>
              <w:bidi w:val="0"/>
              <w:adjustRightInd w:val="0"/>
              <w:snapToGrid/>
              <w:ind w:firstLine="482"/>
              <w:textAlignment w:val="auto"/>
              <w:rPr>
                <w:rFonts w:hint="default" w:ascii="Times New Roman" w:hAnsi="Times New Roman" w:cs="Times New Roman"/>
                <w:color w:val="auto"/>
                <w:spacing w:val="-2"/>
                <w:highlight w:val="none"/>
                <w:lang w:eastAsia="zh-CN"/>
              </w:rPr>
            </w:pPr>
            <w:r>
              <w:rPr>
                <w:rFonts w:hint="default" w:ascii="Times New Roman" w:hAnsi="Times New Roman" w:cs="Times New Roman"/>
                <w:color w:val="auto"/>
                <w:spacing w:val="-2"/>
                <w:highlight w:val="none"/>
                <w:lang w:eastAsia="zh-CN"/>
              </w:rPr>
              <w:t>项目水量平衡图见下图</w:t>
            </w:r>
            <w:r>
              <w:rPr>
                <w:rFonts w:hint="default" w:ascii="Times New Roman" w:hAnsi="Times New Roman" w:cs="Times New Roman"/>
                <w:color w:val="auto"/>
                <w:spacing w:val="-52"/>
                <w:highlight w:val="none"/>
                <w:lang w:eastAsia="zh-CN"/>
              </w:rPr>
              <w:t xml:space="preserve"> </w:t>
            </w:r>
            <w:r>
              <w:rPr>
                <w:rFonts w:hint="default" w:ascii="Times New Roman" w:hAnsi="Times New Roman" w:eastAsia="Times New Roman" w:cs="Times New Roman"/>
                <w:color w:val="auto"/>
                <w:spacing w:val="-2"/>
                <w:highlight w:val="none"/>
                <w:lang w:eastAsia="zh-CN"/>
              </w:rPr>
              <w:t>4-</w:t>
            </w:r>
            <w:r>
              <w:rPr>
                <w:rFonts w:hint="default" w:ascii="Times New Roman" w:hAnsi="Times New Roman" w:eastAsia="Times New Roman" w:cs="Times New Roman"/>
                <w:color w:val="auto"/>
                <w:spacing w:val="-2"/>
                <w:highlight w:val="none"/>
                <w:lang w:val="en-US" w:eastAsia="zh-CN"/>
              </w:rPr>
              <w:t>3</w:t>
            </w:r>
            <w:r>
              <w:rPr>
                <w:rFonts w:hint="eastAsia" w:eastAsia="Times New Roman" w:cs="Times New Roman"/>
                <w:color w:val="auto"/>
                <w:spacing w:val="-2"/>
                <w:highlight w:val="none"/>
                <w:lang w:val="en-US" w:eastAsia="zh-CN"/>
              </w:rPr>
              <w:t>、4-4</w:t>
            </w:r>
            <w:r>
              <w:rPr>
                <w:rFonts w:hint="default" w:ascii="Times New Roman" w:hAnsi="Times New Roman" w:cs="Times New Roman"/>
                <w:color w:val="auto"/>
                <w:spacing w:val="-2"/>
                <w:highlight w:val="none"/>
                <w:lang w:eastAsia="zh-CN"/>
              </w:rPr>
              <w:t>。</w:t>
            </w:r>
          </w:p>
          <w:p w14:paraId="65B8226D">
            <w:pPr>
              <w:pStyle w:val="2"/>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drawing>
                <wp:inline distT="0" distB="0" distL="114300" distR="114300">
                  <wp:extent cx="4876165" cy="3030220"/>
                  <wp:effectExtent l="0" t="0" r="0" b="0"/>
                  <wp:docPr id="38" name="ECB019B1-382A-4266-B25C-5B523AA43C14-2" descr="C:/Users/Administrator/AppData/Local/Temp/wps.GNbCeB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CB019B1-382A-4266-B25C-5B523AA43C14-2" descr="C:/Users/Administrator/AppData/Local/Temp/wps.GNbCeBwps"/>
                          <pic:cNvPicPr>
                            <a:picLocks noChangeAspect="1"/>
                          </pic:cNvPicPr>
                        </pic:nvPicPr>
                        <pic:blipFill>
                          <a:blip r:embed="rId29"/>
                          <a:srcRect b="2853"/>
                          <a:stretch>
                            <a:fillRect/>
                          </a:stretch>
                        </pic:blipFill>
                        <pic:spPr>
                          <a:xfrm>
                            <a:off x="0" y="0"/>
                            <a:ext cx="4876165" cy="3030220"/>
                          </a:xfrm>
                          <a:prstGeom prst="rect">
                            <a:avLst/>
                          </a:prstGeom>
                        </pic:spPr>
                      </pic:pic>
                    </a:graphicData>
                  </a:graphic>
                </wp:inline>
              </w:drawing>
            </w:r>
          </w:p>
          <w:p w14:paraId="5893AEE7">
            <w:pPr>
              <w:pStyle w:val="2"/>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b/>
                <w:bCs/>
                <w:snapToGrid/>
                <w:color w:val="auto"/>
                <w:sz w:val="21"/>
                <w:highlight w:val="none"/>
                <w:lang w:eastAsia="zh-CN"/>
              </w:rPr>
              <w:t>图 4-</w:t>
            </w:r>
            <w:r>
              <w:rPr>
                <w:rFonts w:hint="eastAsia" w:cs="Times New Roman"/>
                <w:b/>
                <w:bCs/>
                <w:snapToGrid/>
                <w:color w:val="auto"/>
                <w:sz w:val="21"/>
                <w:highlight w:val="none"/>
                <w:lang w:val="en-US" w:eastAsia="zh-CN"/>
              </w:rPr>
              <w:t>3</w:t>
            </w:r>
            <w:r>
              <w:rPr>
                <w:rFonts w:hint="default" w:ascii="Times New Roman" w:hAnsi="Times New Roman" w:cs="Times New Roman"/>
                <w:b/>
                <w:bCs/>
                <w:snapToGrid/>
                <w:color w:val="auto"/>
                <w:sz w:val="21"/>
                <w:highlight w:val="none"/>
                <w:lang w:eastAsia="zh-CN"/>
              </w:rPr>
              <w:t xml:space="preserve">  项目</w:t>
            </w:r>
            <w:r>
              <w:rPr>
                <w:rFonts w:hint="eastAsia" w:cs="Times New Roman"/>
                <w:b/>
                <w:bCs/>
                <w:snapToGrid/>
                <w:color w:val="auto"/>
                <w:sz w:val="21"/>
                <w:highlight w:val="none"/>
                <w:lang w:val="en-US" w:eastAsia="zh-CN"/>
              </w:rPr>
              <w:t>非雨天</w:t>
            </w:r>
            <w:r>
              <w:rPr>
                <w:rFonts w:hint="default" w:ascii="Times New Roman" w:hAnsi="Times New Roman" w:cs="Times New Roman"/>
                <w:b/>
                <w:bCs/>
                <w:snapToGrid/>
                <w:color w:val="auto"/>
                <w:sz w:val="21"/>
                <w:highlight w:val="none"/>
                <w:lang w:eastAsia="zh-CN"/>
              </w:rPr>
              <w:t>水平衡图（单位：m</w:t>
            </w:r>
            <w:r>
              <w:rPr>
                <w:rFonts w:hint="default" w:ascii="Times New Roman" w:hAnsi="Times New Roman" w:cs="Times New Roman"/>
                <w:b/>
                <w:bCs/>
                <w:snapToGrid/>
                <w:color w:val="auto"/>
                <w:sz w:val="21"/>
                <w:highlight w:val="none"/>
                <w:vertAlign w:val="superscript"/>
                <w:lang w:val="en-US" w:eastAsia="zh-CN"/>
              </w:rPr>
              <w:t>3</w:t>
            </w:r>
            <w:r>
              <w:rPr>
                <w:rFonts w:hint="default" w:ascii="Times New Roman" w:hAnsi="Times New Roman" w:cs="Times New Roman"/>
                <w:b/>
                <w:bCs/>
                <w:snapToGrid/>
                <w:color w:val="auto"/>
                <w:sz w:val="21"/>
                <w:highlight w:val="none"/>
                <w:lang w:eastAsia="zh-CN"/>
              </w:rPr>
              <w:t>/</w:t>
            </w:r>
            <w:r>
              <w:rPr>
                <w:rFonts w:hint="eastAsia" w:cs="Times New Roman"/>
                <w:b/>
                <w:bCs/>
                <w:snapToGrid/>
                <w:color w:val="auto"/>
                <w:sz w:val="21"/>
                <w:highlight w:val="none"/>
                <w:lang w:val="en-US" w:eastAsia="zh-CN"/>
              </w:rPr>
              <w:t>a</w:t>
            </w:r>
            <w:r>
              <w:rPr>
                <w:rFonts w:hint="default" w:ascii="Times New Roman" w:hAnsi="Times New Roman" w:cs="Times New Roman"/>
                <w:b/>
                <w:bCs/>
                <w:snapToGrid/>
                <w:color w:val="auto"/>
                <w:sz w:val="21"/>
                <w:highlight w:val="none"/>
                <w:lang w:eastAsia="zh-CN"/>
              </w:rPr>
              <w:t>）</w:t>
            </w:r>
          </w:p>
          <w:p w14:paraId="3353657F">
            <w:pPr>
              <w:adjustRightInd w:val="0"/>
              <w:spacing w:before="156" w:beforeLines="50"/>
              <w:ind w:firstLine="482"/>
              <w:jc w:val="center"/>
              <w:rPr>
                <w:rFonts w:hint="eastAsia" w:ascii="Times New Roman" w:hAnsi="Times New Roman" w:eastAsia="宋体" w:cs="Times New Roman"/>
                <w:color w:val="auto"/>
                <w:lang w:eastAsia="zh-CN"/>
              </w:rPr>
            </w:pPr>
          </w:p>
          <w:p w14:paraId="255E2900">
            <w:pPr>
              <w:adjustRightInd w:val="0"/>
              <w:spacing w:before="156" w:beforeLines="50"/>
              <w:ind w:left="0" w:leftChars="0" w:firstLine="0" w:firstLineChars="0"/>
              <w:jc w:val="cente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drawing>
                <wp:inline distT="0" distB="0" distL="114300" distR="114300">
                  <wp:extent cx="4016375" cy="869950"/>
                  <wp:effectExtent l="0" t="0" r="0" b="0"/>
                  <wp:docPr id="14" name="E657119C-6982-421D-8BA7-E74DEB70A7D9-3" descr="C:/Users/Administrator/AppData/Local/Temp/wps.EiYnx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657119C-6982-421D-8BA7-E74DEB70A7D9-3" descr="C:/Users/Administrator/AppData/Local/Temp/wps.EiYnxRwps"/>
                          <pic:cNvPicPr>
                            <a:picLocks noChangeAspect="1"/>
                          </pic:cNvPicPr>
                        </pic:nvPicPr>
                        <pic:blipFill>
                          <a:blip r:embed="rId30"/>
                          <a:stretch>
                            <a:fillRect/>
                          </a:stretch>
                        </pic:blipFill>
                        <pic:spPr>
                          <a:xfrm>
                            <a:off x="0" y="0"/>
                            <a:ext cx="4016375" cy="869950"/>
                          </a:xfrm>
                          <a:prstGeom prst="rect">
                            <a:avLst/>
                          </a:prstGeom>
                        </pic:spPr>
                      </pic:pic>
                    </a:graphicData>
                  </a:graphic>
                </wp:inline>
              </w:drawing>
            </w:r>
          </w:p>
          <w:p w14:paraId="47E89608">
            <w:pPr>
              <w:keepNext w:val="0"/>
              <w:keepLines w:val="0"/>
              <w:pageBreakBefore w:val="0"/>
              <w:widowControl w:val="0"/>
              <w:kinsoku/>
              <w:wordWrap/>
              <w:overflowPunct/>
              <w:topLinePunct w:val="0"/>
              <w:autoSpaceDE/>
              <w:autoSpaceDN/>
              <w:bidi w:val="0"/>
              <w:adjustRightInd w:val="0"/>
              <w:snapToGrid/>
              <w:spacing w:line="240" w:lineRule="auto"/>
              <w:ind w:left="0" w:leftChars="0" w:firstLine="0" w:firstLineChars="0"/>
              <w:jc w:val="center"/>
              <w:textAlignment w:val="auto"/>
              <w:rPr>
                <w:rFonts w:hint="default" w:ascii="Times New Roman" w:hAnsi="Times New Roman" w:cs="Times New Roman"/>
                <w:b/>
                <w:bCs/>
                <w:snapToGrid/>
                <w:color w:val="auto"/>
                <w:sz w:val="21"/>
                <w:highlight w:val="none"/>
                <w:lang w:val="en-US" w:eastAsia="zh-CN"/>
              </w:rPr>
            </w:pPr>
            <w:r>
              <w:rPr>
                <w:rFonts w:hint="eastAsia" w:ascii="Times New Roman" w:hAnsi="Times New Roman" w:cs="Times New Roman"/>
                <w:b/>
                <w:bCs/>
                <w:snapToGrid/>
                <w:color w:val="auto"/>
                <w:sz w:val="21"/>
                <w:highlight w:val="none"/>
                <w:lang w:val="en-US" w:eastAsia="zh-CN"/>
              </w:rPr>
              <w:t>图4-4 项目雨天水平衡图</w:t>
            </w:r>
            <w:r>
              <w:rPr>
                <w:rFonts w:hint="default" w:ascii="Times New Roman" w:hAnsi="Times New Roman" w:cs="Times New Roman"/>
                <w:b/>
                <w:bCs/>
                <w:snapToGrid/>
                <w:color w:val="auto"/>
                <w:sz w:val="21"/>
                <w:highlight w:val="none"/>
                <w:lang w:eastAsia="zh-CN"/>
              </w:rPr>
              <w:t>（单位：m</w:t>
            </w:r>
            <w:r>
              <w:rPr>
                <w:rFonts w:hint="default" w:ascii="Times New Roman" w:hAnsi="Times New Roman" w:cs="Times New Roman"/>
                <w:b/>
                <w:bCs/>
                <w:snapToGrid/>
                <w:color w:val="auto"/>
                <w:sz w:val="21"/>
                <w:highlight w:val="none"/>
                <w:vertAlign w:val="superscript"/>
                <w:lang w:val="en-US" w:eastAsia="zh-CN"/>
              </w:rPr>
              <w:t>3</w:t>
            </w:r>
            <w:r>
              <w:rPr>
                <w:rFonts w:hint="default" w:ascii="Times New Roman" w:hAnsi="Times New Roman" w:cs="Times New Roman"/>
                <w:b/>
                <w:bCs/>
                <w:snapToGrid/>
                <w:color w:val="auto"/>
                <w:sz w:val="21"/>
                <w:highlight w:val="none"/>
                <w:lang w:eastAsia="zh-CN"/>
              </w:rPr>
              <w:t>/</w:t>
            </w:r>
            <w:r>
              <w:rPr>
                <w:rFonts w:hint="eastAsia" w:ascii="Times New Roman" w:hAnsi="Times New Roman" w:cs="Times New Roman"/>
                <w:b/>
                <w:bCs/>
                <w:snapToGrid/>
                <w:color w:val="auto"/>
                <w:sz w:val="21"/>
                <w:highlight w:val="none"/>
                <w:lang w:val="en-US" w:eastAsia="zh-CN"/>
              </w:rPr>
              <w:t>a</w:t>
            </w:r>
            <w:r>
              <w:rPr>
                <w:rFonts w:hint="default" w:ascii="Times New Roman" w:hAnsi="Times New Roman" w:cs="Times New Roman"/>
                <w:b/>
                <w:bCs/>
                <w:snapToGrid/>
                <w:color w:val="auto"/>
                <w:sz w:val="21"/>
                <w:highlight w:val="none"/>
                <w:lang w:eastAsia="zh-CN"/>
              </w:rPr>
              <w:t>）</w:t>
            </w:r>
          </w:p>
          <w:p w14:paraId="2F1875BA">
            <w:pPr>
              <w:adjustRightInd w:val="0"/>
              <w:spacing w:before="156" w:beforeLines="5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szCs w:val="21"/>
                <w:highlight w:val="none"/>
              </w:rPr>
              <w:t>3、</w:t>
            </w:r>
            <w:r>
              <w:rPr>
                <w:rFonts w:hint="default" w:ascii="Times New Roman" w:hAnsi="Times New Roman" w:cs="Times New Roman"/>
                <w:b/>
                <w:bCs/>
                <w:color w:val="auto"/>
                <w:kern w:val="0"/>
                <w:szCs w:val="21"/>
                <w:highlight w:val="none"/>
              </w:rPr>
              <w:t>项目废水环境影响分析</w:t>
            </w:r>
          </w:p>
          <w:p w14:paraId="62F52CB4">
            <w:pPr>
              <w:ind w:firstLine="48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rPr>
              <w:t>项目运营期产生的废水主要为</w:t>
            </w:r>
            <w:r>
              <w:rPr>
                <w:rFonts w:hint="eastAsia" w:cs="Times New Roman"/>
                <w:color w:val="auto"/>
                <w:szCs w:val="21"/>
                <w:highlight w:val="none"/>
                <w:lang w:val="en-US" w:eastAsia="zh-CN"/>
              </w:rPr>
              <w:t>生活废水、</w:t>
            </w:r>
            <w:r>
              <w:rPr>
                <w:rFonts w:hint="eastAsia" w:ascii="Times New Roman" w:hAnsi="Times New Roman" w:cs="Times New Roman"/>
                <w:color w:val="auto"/>
                <w:szCs w:val="21"/>
                <w:highlight w:val="none"/>
              </w:rPr>
              <w:t>车辆清洗废水、</w:t>
            </w:r>
            <w:r>
              <w:rPr>
                <w:rFonts w:hint="eastAsia" w:cs="Times New Roman"/>
                <w:color w:val="auto"/>
                <w:szCs w:val="21"/>
                <w:highlight w:val="none"/>
                <w:lang w:val="en-US" w:eastAsia="zh-CN"/>
              </w:rPr>
              <w:t>露天采区淋滤水</w:t>
            </w:r>
            <w:r>
              <w:rPr>
                <w:rFonts w:hint="eastAsia" w:ascii="Times New Roman" w:hAnsi="Times New Roman" w:cs="Times New Roman"/>
                <w:color w:val="auto"/>
                <w:szCs w:val="21"/>
                <w:highlight w:val="none"/>
              </w:rPr>
              <w:t>、</w:t>
            </w:r>
            <w:r>
              <w:rPr>
                <w:rFonts w:hint="eastAsia" w:cs="Times New Roman"/>
                <w:color w:val="auto"/>
                <w:szCs w:val="21"/>
                <w:highlight w:val="none"/>
                <w:lang w:val="en-US" w:eastAsia="zh-CN"/>
              </w:rPr>
              <w:t>临时表土堆场</w:t>
            </w:r>
            <w:r>
              <w:rPr>
                <w:rFonts w:hint="eastAsia" w:ascii="Times New Roman" w:hAnsi="Times New Roman" w:cs="Times New Roman"/>
                <w:color w:val="auto"/>
                <w:szCs w:val="21"/>
                <w:highlight w:val="none"/>
              </w:rPr>
              <w:t>淋滤水、</w:t>
            </w:r>
            <w:r>
              <w:rPr>
                <w:rFonts w:hint="eastAsia" w:cs="Times New Roman"/>
                <w:color w:val="auto"/>
                <w:szCs w:val="21"/>
                <w:highlight w:val="none"/>
                <w:lang w:val="en-US" w:eastAsia="zh-CN"/>
              </w:rPr>
              <w:t>工业场地区</w:t>
            </w:r>
            <w:r>
              <w:rPr>
                <w:rFonts w:hint="eastAsia" w:ascii="Times New Roman" w:hAnsi="Times New Roman" w:cs="Times New Roman"/>
                <w:color w:val="auto"/>
                <w:szCs w:val="21"/>
                <w:highlight w:val="none"/>
              </w:rPr>
              <w:t>初期雨水</w:t>
            </w:r>
            <w:r>
              <w:rPr>
                <w:rFonts w:hint="eastAsia" w:cs="Times New Roman"/>
                <w:color w:val="auto"/>
                <w:szCs w:val="21"/>
                <w:highlight w:val="none"/>
                <w:lang w:val="en-US" w:eastAsia="zh-CN"/>
              </w:rPr>
              <w:t>和办公生活区初期雨水</w:t>
            </w:r>
            <w:r>
              <w:rPr>
                <w:rFonts w:hint="eastAsia" w:ascii="Times New Roman" w:hAnsi="Times New Roman" w:cs="Times New Roman"/>
                <w:color w:val="auto"/>
                <w:szCs w:val="21"/>
                <w:highlight w:val="none"/>
              </w:rPr>
              <w:t>。</w:t>
            </w:r>
          </w:p>
          <w:p w14:paraId="09E0D1A1">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cs="Times New Roman"/>
                <w:b/>
                <w:bCs/>
                <w:color w:val="auto"/>
                <w:szCs w:val="21"/>
                <w:highlight w:val="none"/>
              </w:rPr>
            </w:pPr>
            <w:r>
              <w:rPr>
                <w:rFonts w:hint="eastAsia" w:cs="Times New Roman"/>
                <w:b/>
                <w:bCs/>
                <w:color w:val="auto"/>
                <w:szCs w:val="21"/>
                <w:highlight w:val="none"/>
                <w:lang w:eastAsia="zh-CN"/>
              </w:rPr>
              <w:t>（</w:t>
            </w:r>
            <w:r>
              <w:rPr>
                <w:rFonts w:hint="eastAsia" w:cs="Times New Roman"/>
                <w:b/>
                <w:bCs/>
                <w:color w:val="auto"/>
                <w:szCs w:val="21"/>
                <w:highlight w:val="none"/>
                <w:lang w:val="en-US" w:eastAsia="zh-CN"/>
              </w:rPr>
              <w:t>1</w:t>
            </w:r>
            <w:r>
              <w:rPr>
                <w:rFonts w:hint="eastAsia" w:cs="Times New Roman"/>
                <w:b/>
                <w:bCs/>
                <w:color w:val="auto"/>
                <w:szCs w:val="21"/>
                <w:highlight w:val="none"/>
                <w:lang w:eastAsia="zh-CN"/>
              </w:rPr>
              <w:t>）</w:t>
            </w:r>
            <w:r>
              <w:rPr>
                <w:rFonts w:hint="eastAsia" w:ascii="Times New Roman" w:hAnsi="Times New Roman" w:cs="Times New Roman"/>
                <w:b/>
                <w:bCs/>
                <w:color w:val="auto"/>
                <w:szCs w:val="21"/>
                <w:highlight w:val="none"/>
              </w:rPr>
              <w:t>废水治理措施可行性分析</w:t>
            </w:r>
          </w:p>
          <w:p w14:paraId="3DD7414E">
            <w:pPr>
              <w:ind w:firstLine="480"/>
              <w:rPr>
                <w:rFonts w:hint="eastAsia" w:cs="Times New Roman"/>
                <w:color w:val="auto"/>
                <w:szCs w:val="21"/>
                <w:highlight w:val="none"/>
                <w:lang w:val="en-US" w:eastAsia="zh-CN"/>
              </w:rPr>
            </w:pPr>
            <w:r>
              <w:rPr>
                <w:rFonts w:hint="eastAsia" w:cs="Times New Roman"/>
                <w:color w:val="auto"/>
                <w:szCs w:val="21"/>
                <w:highlight w:val="none"/>
                <w:lang w:val="en-US" w:eastAsia="zh-CN"/>
              </w:rPr>
              <w:t>本项目生活废水污染物为</w:t>
            </w:r>
            <w:r>
              <w:rPr>
                <w:rFonts w:hint="default" w:ascii="Times New Roman" w:hAnsi="Times New Roman" w:eastAsia="宋体" w:cs="Times New Roman"/>
                <w:caps w:val="0"/>
                <w:smallCaps w:val="0"/>
                <w:color w:val="auto"/>
                <w:sz w:val="24"/>
                <w:highlight w:val="none"/>
                <w:lang w:val="en-US" w:eastAsia="zh-CN"/>
              </w:rPr>
              <w:t>COD、BOD</w:t>
            </w:r>
            <w:r>
              <w:rPr>
                <w:rFonts w:hint="default" w:ascii="Times New Roman" w:hAnsi="Times New Roman" w:eastAsia="宋体" w:cs="Times New Roman"/>
                <w:caps w:val="0"/>
                <w:smallCaps w:val="0"/>
                <w:color w:val="auto"/>
                <w:sz w:val="24"/>
                <w:highlight w:val="none"/>
                <w:vertAlign w:val="subscript"/>
                <w:lang w:val="en-US" w:eastAsia="zh-CN"/>
              </w:rPr>
              <w:t>5</w:t>
            </w:r>
            <w:r>
              <w:rPr>
                <w:rFonts w:hint="default" w:ascii="Times New Roman" w:hAnsi="Times New Roman" w:eastAsia="宋体" w:cs="Times New Roman"/>
                <w:caps w:val="0"/>
                <w:smallCaps w:val="0"/>
                <w:color w:val="auto"/>
                <w:sz w:val="24"/>
                <w:highlight w:val="none"/>
                <w:lang w:val="en-US" w:eastAsia="zh-CN"/>
              </w:rPr>
              <w:t>、SS、氨氮、</w:t>
            </w:r>
            <w:r>
              <w:rPr>
                <w:rFonts w:hint="default" w:ascii="Times New Roman" w:hAnsi="Times New Roman" w:cs="Times New Roman"/>
                <w:caps w:val="0"/>
                <w:smallCaps w:val="0"/>
                <w:color w:val="auto"/>
                <w:sz w:val="24"/>
                <w:highlight w:val="none"/>
                <w:lang w:val="en-US" w:eastAsia="zh-CN"/>
              </w:rPr>
              <w:t>总氮、</w:t>
            </w:r>
            <w:r>
              <w:rPr>
                <w:rFonts w:hint="default" w:ascii="Times New Roman" w:hAnsi="Times New Roman" w:eastAsia="宋体" w:cs="Times New Roman"/>
                <w:caps w:val="0"/>
                <w:smallCaps w:val="0"/>
                <w:color w:val="auto"/>
                <w:sz w:val="24"/>
                <w:highlight w:val="none"/>
                <w:lang w:val="en-US" w:eastAsia="zh-CN"/>
              </w:rPr>
              <w:t>总磷</w:t>
            </w:r>
            <w:r>
              <w:rPr>
                <w:rFonts w:hint="default" w:ascii="Times New Roman" w:hAnsi="Times New Roman" w:cs="Times New Roman"/>
                <w:caps w:val="0"/>
                <w:smallCaps w:val="0"/>
                <w:color w:val="auto"/>
                <w:sz w:val="24"/>
                <w:highlight w:val="none"/>
                <w:lang w:val="en-US" w:eastAsia="zh-CN"/>
              </w:rPr>
              <w:t>、动植物油</w:t>
            </w:r>
            <w:r>
              <w:rPr>
                <w:rFonts w:hint="eastAsia" w:cs="Times New Roman"/>
                <w:caps w:val="0"/>
                <w:smallCaps w:val="0"/>
                <w:color w:val="auto"/>
                <w:sz w:val="24"/>
                <w:highlight w:val="none"/>
                <w:lang w:val="en-US" w:eastAsia="zh-CN"/>
              </w:rPr>
              <w:t>等，</w:t>
            </w:r>
            <w:r>
              <w:rPr>
                <w:rFonts w:hint="eastAsia" w:cs="Times New Roman"/>
                <w:color w:val="auto"/>
                <w:szCs w:val="21"/>
                <w:highlight w:val="none"/>
                <w:lang w:val="en-US" w:eastAsia="zh-CN"/>
              </w:rPr>
              <w:t>经0.5m</w:t>
            </w:r>
            <w:r>
              <w:rPr>
                <w:rFonts w:hint="eastAsia" w:cs="Times New Roman"/>
                <w:color w:val="auto"/>
                <w:szCs w:val="21"/>
                <w:highlight w:val="none"/>
                <w:vertAlign w:val="superscript"/>
                <w:lang w:val="en-US" w:eastAsia="zh-CN"/>
              </w:rPr>
              <w:t>3</w:t>
            </w:r>
            <w:r>
              <w:rPr>
                <w:rFonts w:hint="eastAsia" w:cs="Times New Roman"/>
                <w:color w:val="auto"/>
                <w:szCs w:val="21"/>
                <w:highlight w:val="none"/>
                <w:lang w:val="en-US" w:eastAsia="zh-CN"/>
              </w:rPr>
              <w:t>隔油池、5m</w:t>
            </w:r>
            <w:r>
              <w:rPr>
                <w:rFonts w:hint="eastAsia" w:cs="Times New Roman"/>
                <w:color w:val="auto"/>
                <w:szCs w:val="21"/>
                <w:highlight w:val="none"/>
                <w:vertAlign w:val="superscript"/>
                <w:lang w:val="en-US" w:eastAsia="zh-CN"/>
              </w:rPr>
              <w:t>3</w:t>
            </w:r>
            <w:r>
              <w:rPr>
                <w:rFonts w:hint="eastAsia" w:cs="Times New Roman"/>
                <w:color w:val="auto"/>
                <w:szCs w:val="21"/>
                <w:highlight w:val="none"/>
                <w:lang w:val="en-US" w:eastAsia="zh-CN"/>
              </w:rPr>
              <w:t>三格化粪池处理后，定期清掏用作农肥。</w:t>
            </w:r>
          </w:p>
          <w:p w14:paraId="69022B00">
            <w:pPr>
              <w:ind w:firstLine="48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rPr>
              <w:t>本项目车辆冲洗主要对车辆轮胎的冲洗，产生的废水主要污染物为SS，通过洗车池沉淀处理后，废水中的大部分SS得到去除，项目车辆轮胎冲洗用水对水质要求不高，可循环使用。</w:t>
            </w:r>
          </w:p>
          <w:p w14:paraId="6C05052C">
            <w:pPr>
              <w:ind w:firstLine="48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项目为</w:t>
            </w:r>
            <w:r>
              <w:rPr>
                <w:rFonts w:hint="default" w:ascii="Times New Roman" w:hAnsi="Times New Roman" w:cs="Times New Roman"/>
                <w:color w:val="auto"/>
                <w:szCs w:val="21"/>
                <w:highlight w:val="none"/>
                <w:lang w:val="en-US" w:eastAsia="zh-CN"/>
              </w:rPr>
              <w:t>石英砂岩</w:t>
            </w:r>
            <w:r>
              <w:rPr>
                <w:rFonts w:hint="default" w:ascii="Times New Roman" w:hAnsi="Times New Roman" w:cs="Times New Roman"/>
                <w:color w:val="auto"/>
                <w:szCs w:val="21"/>
                <w:highlight w:val="none"/>
              </w:rPr>
              <w:t>开采项目，</w:t>
            </w:r>
            <w:r>
              <w:rPr>
                <w:rFonts w:hint="default" w:ascii="Times New Roman" w:hAnsi="Times New Roman" w:cs="Times New Roman"/>
                <w:bCs/>
                <w:color w:val="auto"/>
                <w:kern w:val="0"/>
                <w:szCs w:val="21"/>
                <w:highlight w:val="none"/>
              </w:rPr>
              <w:t>矿石的</w:t>
            </w:r>
            <w:r>
              <w:rPr>
                <w:rFonts w:hint="default" w:ascii="Times New Roman" w:hAnsi="Times New Roman" w:cs="Times New Roman"/>
                <w:color w:val="auto"/>
                <w:szCs w:val="21"/>
                <w:highlight w:val="none"/>
              </w:rPr>
              <w:t>主要成分为SiO</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、Al</w:t>
            </w:r>
            <w:r>
              <w:rPr>
                <w:rFonts w:hint="default" w:ascii="Times New Roman" w:hAnsi="Times New Roman" w:cs="Times New Roman"/>
                <w:color w:val="auto"/>
                <w:szCs w:val="21"/>
                <w:highlight w:val="none"/>
                <w:vertAlign w:val="subscript"/>
              </w:rPr>
              <w:t>2</w:t>
            </w:r>
            <w:r>
              <w:rPr>
                <w:rFonts w:hint="default" w:ascii="Times New Roman" w:hAnsi="Times New Roman" w:cs="Times New Roman"/>
                <w:color w:val="auto"/>
                <w:szCs w:val="21"/>
                <w:highlight w:val="none"/>
              </w:rPr>
              <w:t>O</w:t>
            </w:r>
            <w:r>
              <w:rPr>
                <w:rFonts w:hint="default" w:ascii="Times New Roman" w:hAnsi="Times New Roman" w:cs="Times New Roman"/>
                <w:color w:val="auto"/>
                <w:szCs w:val="21"/>
                <w:highlight w:val="none"/>
                <w:vertAlign w:val="subscript"/>
              </w:rPr>
              <w:t>3</w:t>
            </w:r>
            <w:r>
              <w:rPr>
                <w:rFonts w:hint="default" w:ascii="Times New Roman" w:hAnsi="Times New Roman" w:cs="Times New Roman"/>
                <w:color w:val="auto"/>
                <w:szCs w:val="21"/>
                <w:highlight w:val="none"/>
              </w:rPr>
              <w:t>、</w:t>
            </w:r>
            <w:r>
              <w:rPr>
                <w:rFonts w:hint="default" w:ascii="Times New Roman" w:hAnsi="Times New Roman" w:eastAsia="宋体" w:cs="Times New Roman"/>
                <w:color w:val="auto"/>
                <w:sz w:val="24"/>
                <w:szCs w:val="24"/>
                <w:highlight w:val="none"/>
              </w:rPr>
              <w:t>Fe</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O</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cs="Times New Roman"/>
                <w:color w:val="auto"/>
                <w:szCs w:val="21"/>
                <w:highlight w:val="none"/>
              </w:rPr>
              <w:t>等</w:t>
            </w:r>
            <w:r>
              <w:rPr>
                <w:rFonts w:hint="default" w:ascii="Times New Roman" w:hAnsi="Times New Roman" w:cs="Times New Roman"/>
                <w:color w:val="auto"/>
                <w:spacing w:val="-2"/>
                <w:szCs w:val="21"/>
                <w:highlight w:val="none"/>
              </w:rPr>
              <w:t>，</w:t>
            </w:r>
            <w:r>
              <w:rPr>
                <w:rFonts w:hint="default" w:ascii="Times New Roman" w:hAnsi="Times New Roman" w:cs="Times New Roman"/>
                <w:bCs/>
                <w:color w:val="auto"/>
                <w:kern w:val="0"/>
                <w:szCs w:val="21"/>
                <w:highlight w:val="none"/>
              </w:rPr>
              <w:t>受雨水淋漓不会产生有害污染物</w:t>
            </w:r>
            <w:r>
              <w:rPr>
                <w:rFonts w:hint="default" w:ascii="Times New Roman" w:hAnsi="Times New Roman" w:cs="Times New Roman"/>
                <w:bCs/>
                <w:color w:val="auto"/>
                <w:szCs w:val="21"/>
                <w:highlight w:val="none"/>
              </w:rPr>
              <w:t>，</w:t>
            </w:r>
            <w:r>
              <w:rPr>
                <w:rFonts w:hint="eastAsia" w:ascii="Times New Roman" w:hAnsi="Times New Roman" w:cs="Times New Roman"/>
                <w:color w:val="auto"/>
                <w:szCs w:val="21"/>
                <w:highlight w:val="none"/>
              </w:rPr>
              <w:t>产生的淋滤水和初期雨水主要成分为SS，为节约用水资源和加强绿色矿山建设要求，本次评价要求产生的淋滤水和初期雨水经沉砂池沉淀处理后，废水中的大部分SS得到去除，项目洒水降尘用水对水质要求不高，处理后的淋滤水和初期雨水可用作洒水降尘使用。</w:t>
            </w:r>
          </w:p>
          <w:p w14:paraId="19879779">
            <w:pPr>
              <w:ind w:firstLine="48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rPr>
              <w:t>综上，针对废水处理采取的防治措施是可行的。</w:t>
            </w:r>
          </w:p>
          <w:p w14:paraId="01CACB90">
            <w:pPr>
              <w:ind w:firstLine="480"/>
              <w:rPr>
                <w:rFonts w:hint="default" w:ascii="Times New Roman" w:hAnsi="Times New Roman" w:cs="Times New Roman"/>
                <w:b/>
                <w:bCs/>
                <w:color w:val="auto"/>
                <w:szCs w:val="21"/>
                <w:highlight w:val="none"/>
              </w:rPr>
            </w:pPr>
            <w:r>
              <w:rPr>
                <w:rFonts w:hint="eastAsia" w:cs="Times New Roman"/>
                <w:b/>
                <w:bCs/>
                <w:color w:val="auto"/>
                <w:szCs w:val="21"/>
                <w:highlight w:val="none"/>
                <w:lang w:eastAsia="zh-CN"/>
              </w:rPr>
              <w:t>（</w:t>
            </w:r>
            <w:r>
              <w:rPr>
                <w:rFonts w:hint="eastAsia" w:cs="Times New Roman"/>
                <w:b/>
                <w:bCs/>
                <w:color w:val="auto"/>
                <w:szCs w:val="21"/>
                <w:highlight w:val="none"/>
                <w:lang w:val="en-US" w:eastAsia="zh-CN"/>
              </w:rPr>
              <w:t>2</w:t>
            </w:r>
            <w:r>
              <w:rPr>
                <w:rFonts w:hint="eastAsia" w:cs="Times New Roman"/>
                <w:b/>
                <w:bCs/>
                <w:color w:val="auto"/>
                <w:szCs w:val="21"/>
                <w:highlight w:val="none"/>
                <w:lang w:eastAsia="zh-CN"/>
              </w:rPr>
              <w:t>）</w:t>
            </w:r>
            <w:r>
              <w:rPr>
                <w:rFonts w:hint="eastAsia" w:ascii="Times New Roman" w:hAnsi="Times New Roman" w:cs="Times New Roman"/>
                <w:b/>
                <w:bCs/>
                <w:color w:val="auto"/>
                <w:szCs w:val="21"/>
                <w:highlight w:val="none"/>
              </w:rPr>
              <w:t>废水不外排可行性分析</w:t>
            </w:r>
          </w:p>
          <w:p w14:paraId="5BEFF52E">
            <w:pPr>
              <w:ind w:firstLine="48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rPr>
              <w:t>项目产生废水主要为</w:t>
            </w:r>
            <w:r>
              <w:rPr>
                <w:rFonts w:hint="eastAsia" w:cs="Times New Roman"/>
                <w:color w:val="auto"/>
                <w:szCs w:val="21"/>
                <w:highlight w:val="none"/>
                <w:lang w:val="en-US" w:eastAsia="zh-CN"/>
              </w:rPr>
              <w:t>生活废水、</w:t>
            </w:r>
            <w:r>
              <w:rPr>
                <w:rFonts w:hint="eastAsia" w:ascii="Times New Roman" w:hAnsi="Times New Roman" w:cs="Times New Roman"/>
                <w:color w:val="auto"/>
                <w:szCs w:val="21"/>
                <w:highlight w:val="none"/>
              </w:rPr>
              <w:t>车辆清洗废水、</w:t>
            </w:r>
            <w:r>
              <w:rPr>
                <w:rFonts w:hint="eastAsia" w:cs="Times New Roman"/>
                <w:color w:val="auto"/>
                <w:szCs w:val="21"/>
                <w:highlight w:val="none"/>
                <w:lang w:val="en-US" w:eastAsia="zh-CN"/>
              </w:rPr>
              <w:t>露天采区淋滤水</w:t>
            </w:r>
            <w:r>
              <w:rPr>
                <w:rFonts w:hint="eastAsia" w:ascii="Times New Roman" w:hAnsi="Times New Roman" w:cs="Times New Roman"/>
                <w:color w:val="auto"/>
                <w:szCs w:val="21"/>
                <w:highlight w:val="none"/>
              </w:rPr>
              <w:t>、</w:t>
            </w:r>
            <w:r>
              <w:rPr>
                <w:rFonts w:hint="eastAsia" w:cs="Times New Roman"/>
                <w:color w:val="auto"/>
                <w:szCs w:val="21"/>
                <w:highlight w:val="none"/>
                <w:lang w:val="en-US" w:eastAsia="zh-CN"/>
              </w:rPr>
              <w:t>临时表土堆场</w:t>
            </w:r>
            <w:r>
              <w:rPr>
                <w:rFonts w:hint="eastAsia" w:ascii="Times New Roman" w:hAnsi="Times New Roman" w:cs="Times New Roman"/>
                <w:color w:val="auto"/>
                <w:szCs w:val="21"/>
                <w:highlight w:val="none"/>
              </w:rPr>
              <w:t>淋滤水、</w:t>
            </w:r>
            <w:r>
              <w:rPr>
                <w:rFonts w:hint="eastAsia" w:cs="Times New Roman"/>
                <w:color w:val="auto"/>
                <w:szCs w:val="21"/>
                <w:highlight w:val="none"/>
                <w:lang w:val="en-US" w:eastAsia="zh-CN"/>
              </w:rPr>
              <w:t>工业场地区</w:t>
            </w:r>
            <w:r>
              <w:rPr>
                <w:rFonts w:hint="eastAsia" w:ascii="Times New Roman" w:hAnsi="Times New Roman" w:cs="Times New Roman"/>
                <w:color w:val="auto"/>
                <w:szCs w:val="21"/>
                <w:highlight w:val="none"/>
              </w:rPr>
              <w:t>初期雨水</w:t>
            </w:r>
            <w:r>
              <w:rPr>
                <w:rFonts w:hint="eastAsia" w:cs="Times New Roman"/>
                <w:color w:val="auto"/>
                <w:szCs w:val="21"/>
                <w:highlight w:val="none"/>
                <w:lang w:val="en-US" w:eastAsia="zh-CN"/>
              </w:rPr>
              <w:t>和办公生活区初期雨水</w:t>
            </w:r>
            <w:r>
              <w:rPr>
                <w:rFonts w:hint="eastAsia" w:cs="Times New Roman"/>
                <w:color w:val="auto"/>
                <w:szCs w:val="21"/>
                <w:highlight w:val="none"/>
                <w:lang w:eastAsia="zh-CN"/>
              </w:rPr>
              <w:t>。</w:t>
            </w:r>
            <w:r>
              <w:rPr>
                <w:rFonts w:hint="eastAsia" w:cs="Times New Roman"/>
                <w:color w:val="auto"/>
                <w:szCs w:val="21"/>
                <w:highlight w:val="none"/>
                <w:lang w:val="en-US" w:eastAsia="zh-CN"/>
              </w:rPr>
              <w:t>生活废水处理后定期清掏用作农肥；车辆清洗废水、淋滤水和初期雨水</w:t>
            </w:r>
            <w:r>
              <w:rPr>
                <w:rFonts w:hint="eastAsia" w:ascii="Times New Roman" w:hAnsi="Times New Roman" w:cs="Times New Roman"/>
                <w:color w:val="auto"/>
                <w:szCs w:val="21"/>
                <w:highlight w:val="none"/>
              </w:rPr>
              <w:t>均处理后回用于厂区洒水降尘，不外排。</w:t>
            </w:r>
          </w:p>
          <w:p w14:paraId="4E0D93BA">
            <w:pPr>
              <w:ind w:firstLine="480"/>
              <w:rPr>
                <w:rFonts w:hint="eastAsia" w:ascii="Times New Roman" w:hAnsi="Times New Roman" w:cs="Times New Roman"/>
                <w:color w:val="auto"/>
                <w:szCs w:val="21"/>
                <w:highlight w:val="none"/>
                <w:lang w:eastAsia="zh-CN"/>
              </w:rPr>
            </w:pPr>
            <w:r>
              <w:rPr>
                <w:rFonts w:hint="eastAsia" w:ascii="Times New Roman" w:hAnsi="Times New Roman" w:cs="Times New Roman"/>
                <w:color w:val="auto"/>
                <w:szCs w:val="21"/>
                <w:highlight w:val="none"/>
              </w:rPr>
              <w:t>根据前文废水产排分析，车辆清洗废水量为</w:t>
            </w:r>
            <w:r>
              <w:rPr>
                <w:rFonts w:hint="eastAsia" w:cs="Times New Roman"/>
                <w:color w:val="auto"/>
                <w:szCs w:val="21"/>
                <w:highlight w:val="none"/>
                <w:lang w:val="en-US" w:eastAsia="zh-CN"/>
              </w:rPr>
              <w:t>2.027</w:t>
            </w:r>
            <w:r>
              <w:rPr>
                <w:rFonts w:hint="eastAsia" w:ascii="Times New Roman" w:hAnsi="Times New Roman" w:cs="Times New Roman"/>
                <w:color w:val="auto"/>
                <w:szCs w:val="21"/>
                <w:highlight w:val="none"/>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/d（</w:t>
            </w:r>
            <w:r>
              <w:rPr>
                <w:rFonts w:hint="eastAsia" w:cs="Times New Roman"/>
                <w:color w:val="auto"/>
                <w:szCs w:val="21"/>
                <w:highlight w:val="none"/>
                <w:lang w:val="en-US" w:eastAsia="zh-CN"/>
              </w:rPr>
              <w:t>608</w:t>
            </w:r>
            <w:r>
              <w:rPr>
                <w:rFonts w:hint="eastAsia" w:ascii="Times New Roman" w:hAnsi="Times New Roman" w:cs="Times New Roman"/>
                <w:color w:val="auto"/>
                <w:szCs w:val="21"/>
                <w:highlight w:val="none"/>
                <w:lang w:val="en-US" w:eastAsia="zh-CN"/>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/a），经1个容积为</w:t>
            </w:r>
            <w:r>
              <w:rPr>
                <w:rFonts w:hint="eastAsia" w:cs="Times New Roman"/>
                <w:color w:val="auto"/>
                <w:szCs w:val="21"/>
                <w:highlight w:val="none"/>
                <w:lang w:val="en-US" w:eastAsia="zh-CN"/>
              </w:rPr>
              <w:t>5</w:t>
            </w:r>
            <w:r>
              <w:rPr>
                <w:rFonts w:hint="eastAsia" w:ascii="Times New Roman" w:hAnsi="Times New Roman" w:cs="Times New Roman"/>
                <w:color w:val="auto"/>
                <w:szCs w:val="21"/>
                <w:highlight w:val="none"/>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的洗车池沉淀处理后循环使用，对车辆清洗废水收集处理有一定的保障；雨天</w:t>
            </w:r>
            <w:r>
              <w:rPr>
                <w:rFonts w:hint="eastAsia" w:cs="Times New Roman"/>
                <w:color w:val="auto"/>
                <w:szCs w:val="21"/>
                <w:highlight w:val="none"/>
                <w:lang w:val="en-US" w:eastAsia="zh-CN"/>
              </w:rPr>
              <w:t>露天采区</w:t>
            </w:r>
            <w:r>
              <w:rPr>
                <w:rFonts w:hint="eastAsia" w:ascii="Times New Roman" w:hAnsi="Times New Roman" w:cs="Times New Roman"/>
                <w:color w:val="auto"/>
                <w:szCs w:val="21"/>
                <w:highlight w:val="none"/>
              </w:rPr>
              <w:t>淋滤水产生量为</w:t>
            </w:r>
            <w:r>
              <w:rPr>
                <w:rFonts w:hint="eastAsia" w:cs="Times New Roman"/>
                <w:color w:val="auto"/>
                <w:szCs w:val="21"/>
                <w:highlight w:val="none"/>
                <w:lang w:val="en-US" w:eastAsia="zh-CN"/>
              </w:rPr>
              <w:t>170.692</w:t>
            </w:r>
            <w:r>
              <w:rPr>
                <w:rFonts w:hint="eastAsia" w:ascii="Times New Roman" w:hAnsi="Times New Roman" w:cs="Times New Roman"/>
                <w:color w:val="auto"/>
                <w:szCs w:val="21"/>
                <w:highlight w:val="none"/>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/d</w:t>
            </w:r>
            <w:r>
              <w:rPr>
                <w:rFonts w:hint="eastAsia" w:cs="Times New Roman"/>
                <w:color w:val="auto"/>
                <w:szCs w:val="21"/>
                <w:highlight w:val="none"/>
                <w:lang w:eastAsia="zh-CN"/>
              </w:rPr>
              <w:t>（</w:t>
            </w:r>
            <w:r>
              <w:rPr>
                <w:rFonts w:hint="eastAsia" w:cs="Times New Roman"/>
                <w:color w:val="auto"/>
                <w:szCs w:val="21"/>
                <w:highlight w:val="none"/>
                <w:lang w:val="en-US" w:eastAsia="zh-CN"/>
              </w:rPr>
              <w:t>24750.34</w:t>
            </w:r>
            <w:r>
              <w:rPr>
                <w:rFonts w:hint="eastAsia" w:ascii="Times New Roman" w:hAnsi="Times New Roman" w:cs="Times New Roman"/>
                <w:color w:val="auto"/>
                <w:szCs w:val="21"/>
                <w:highlight w:val="none"/>
                <w:lang w:val="en-US" w:eastAsia="zh-CN"/>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/a</w:t>
            </w:r>
            <w:r>
              <w:rPr>
                <w:rFonts w:hint="eastAsia" w:cs="Times New Roman"/>
                <w:color w:val="auto"/>
                <w:szCs w:val="21"/>
                <w:highlight w:val="none"/>
                <w:lang w:eastAsia="zh-CN"/>
              </w:rPr>
              <w:t>）</w:t>
            </w:r>
            <w:r>
              <w:rPr>
                <w:rFonts w:hint="eastAsia" w:ascii="Times New Roman" w:hAnsi="Times New Roman" w:cs="Times New Roman"/>
                <w:color w:val="auto"/>
                <w:szCs w:val="21"/>
                <w:highlight w:val="none"/>
              </w:rPr>
              <w:t>，结合初步设计方案，本次评价提出</w:t>
            </w:r>
            <w:r>
              <w:rPr>
                <w:rFonts w:hint="eastAsia" w:cs="Times New Roman"/>
                <w:color w:val="auto"/>
                <w:szCs w:val="21"/>
                <w:highlight w:val="none"/>
                <w:lang w:val="en-US" w:eastAsia="zh-CN"/>
              </w:rPr>
              <w:t>露天</w:t>
            </w:r>
            <w:r>
              <w:rPr>
                <w:rFonts w:hint="eastAsia" w:ascii="Times New Roman" w:hAnsi="Times New Roman" w:cs="Times New Roman"/>
                <w:color w:val="auto"/>
                <w:szCs w:val="21"/>
                <w:highlight w:val="none"/>
              </w:rPr>
              <w:t>采区地势最低处建设1个容积为</w:t>
            </w:r>
            <w:r>
              <w:rPr>
                <w:rFonts w:hint="eastAsia" w:cs="Times New Roman"/>
                <w:color w:val="auto"/>
                <w:szCs w:val="21"/>
                <w:highlight w:val="none"/>
                <w:lang w:val="en-US" w:eastAsia="zh-CN"/>
              </w:rPr>
              <w:t>205</w:t>
            </w:r>
            <w:r>
              <w:rPr>
                <w:rFonts w:hint="eastAsia" w:ascii="Times New Roman" w:hAnsi="Times New Roman" w:cs="Times New Roman"/>
                <w:color w:val="auto"/>
                <w:szCs w:val="21"/>
                <w:highlight w:val="none"/>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的沉砂池；</w:t>
            </w:r>
            <w:r>
              <w:rPr>
                <w:rFonts w:hint="eastAsia" w:cs="Times New Roman"/>
                <w:color w:val="auto"/>
                <w:szCs w:val="21"/>
                <w:highlight w:val="none"/>
                <w:lang w:val="en-US" w:eastAsia="zh-CN"/>
              </w:rPr>
              <w:t>临时表土堆场</w:t>
            </w:r>
            <w:r>
              <w:rPr>
                <w:rFonts w:hint="eastAsia" w:ascii="Times New Roman" w:hAnsi="Times New Roman" w:cs="Times New Roman"/>
                <w:color w:val="auto"/>
                <w:szCs w:val="21"/>
                <w:highlight w:val="none"/>
              </w:rPr>
              <w:t>淋滤水产生量为</w:t>
            </w:r>
            <w:r>
              <w:rPr>
                <w:rFonts w:hint="eastAsia" w:cs="Times New Roman"/>
                <w:color w:val="auto"/>
                <w:szCs w:val="21"/>
                <w:highlight w:val="none"/>
                <w:lang w:val="en-US" w:eastAsia="zh-CN"/>
              </w:rPr>
              <w:t>4.278</w:t>
            </w:r>
            <w:r>
              <w:rPr>
                <w:rFonts w:hint="eastAsia" w:ascii="Times New Roman" w:hAnsi="Times New Roman" w:cs="Times New Roman"/>
                <w:color w:val="auto"/>
                <w:szCs w:val="21"/>
                <w:highlight w:val="none"/>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/d</w:t>
            </w:r>
            <w:r>
              <w:rPr>
                <w:rFonts w:hint="eastAsia" w:cs="Times New Roman"/>
                <w:color w:val="auto"/>
                <w:szCs w:val="21"/>
                <w:highlight w:val="none"/>
                <w:lang w:eastAsia="zh-CN"/>
              </w:rPr>
              <w:t>（</w:t>
            </w:r>
            <w:r>
              <w:rPr>
                <w:rFonts w:hint="eastAsia" w:cs="Times New Roman"/>
                <w:color w:val="auto"/>
                <w:szCs w:val="21"/>
                <w:highlight w:val="none"/>
                <w:lang w:val="en-US" w:eastAsia="zh-CN"/>
              </w:rPr>
              <w:t>620.31</w:t>
            </w:r>
            <w:r>
              <w:rPr>
                <w:rFonts w:hint="eastAsia" w:ascii="Times New Roman" w:hAnsi="Times New Roman" w:cs="Times New Roman"/>
                <w:color w:val="auto"/>
                <w:szCs w:val="21"/>
                <w:highlight w:val="none"/>
                <w:lang w:val="en-US" w:eastAsia="zh-CN"/>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/a</w:t>
            </w:r>
            <w:r>
              <w:rPr>
                <w:rFonts w:hint="eastAsia" w:cs="Times New Roman"/>
                <w:color w:val="auto"/>
                <w:szCs w:val="21"/>
                <w:highlight w:val="none"/>
                <w:lang w:eastAsia="zh-CN"/>
              </w:rPr>
              <w:t>）</w:t>
            </w:r>
            <w:r>
              <w:rPr>
                <w:rFonts w:hint="eastAsia" w:ascii="Times New Roman" w:hAnsi="Times New Roman" w:cs="Times New Roman"/>
                <w:color w:val="auto"/>
                <w:szCs w:val="21"/>
                <w:highlight w:val="none"/>
              </w:rPr>
              <w:t>，本次评价提出</w:t>
            </w:r>
            <w:r>
              <w:rPr>
                <w:rFonts w:hint="eastAsia" w:cs="Times New Roman"/>
                <w:color w:val="auto"/>
                <w:szCs w:val="21"/>
                <w:highlight w:val="none"/>
                <w:lang w:val="en-US" w:eastAsia="zh-CN"/>
              </w:rPr>
              <w:t>临时表土堆场</w:t>
            </w:r>
            <w:r>
              <w:rPr>
                <w:rFonts w:hint="eastAsia" w:ascii="Times New Roman" w:hAnsi="Times New Roman" w:cs="Times New Roman"/>
                <w:color w:val="auto"/>
                <w:szCs w:val="21"/>
                <w:highlight w:val="none"/>
              </w:rPr>
              <w:t>地势最低处设置1个容积为</w:t>
            </w:r>
            <w:r>
              <w:rPr>
                <w:rFonts w:hint="eastAsia" w:cs="Times New Roman"/>
                <w:color w:val="auto"/>
                <w:szCs w:val="21"/>
                <w:highlight w:val="none"/>
                <w:lang w:val="en-US" w:eastAsia="zh-CN"/>
              </w:rPr>
              <w:t>6</w:t>
            </w:r>
            <w:r>
              <w:rPr>
                <w:rFonts w:hint="eastAsia" w:ascii="Times New Roman" w:hAnsi="Times New Roman" w:cs="Times New Roman"/>
                <w:color w:val="auto"/>
                <w:szCs w:val="21"/>
                <w:highlight w:val="none"/>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的沉砂池；</w:t>
            </w:r>
            <w:r>
              <w:rPr>
                <w:rFonts w:hint="eastAsia" w:cs="Times New Roman"/>
                <w:color w:val="auto"/>
                <w:szCs w:val="21"/>
                <w:highlight w:val="none"/>
                <w:lang w:val="en-US" w:eastAsia="zh-CN"/>
              </w:rPr>
              <w:t>工业场地区</w:t>
            </w:r>
            <w:r>
              <w:rPr>
                <w:rFonts w:hint="eastAsia" w:ascii="Times New Roman" w:hAnsi="Times New Roman" w:cs="Times New Roman"/>
                <w:color w:val="auto"/>
                <w:szCs w:val="21"/>
                <w:highlight w:val="none"/>
              </w:rPr>
              <w:t>产生的初期雨水量为</w:t>
            </w:r>
            <w:r>
              <w:rPr>
                <w:rFonts w:hint="eastAsia" w:cs="Times New Roman"/>
                <w:color w:val="auto"/>
                <w:szCs w:val="21"/>
                <w:highlight w:val="none"/>
                <w:lang w:val="en-US" w:eastAsia="zh-CN"/>
              </w:rPr>
              <w:t>67.68</w:t>
            </w:r>
            <w:r>
              <w:rPr>
                <w:rFonts w:hint="eastAsia" w:ascii="Times New Roman" w:hAnsi="Times New Roman" w:cs="Times New Roman"/>
                <w:color w:val="auto"/>
                <w:szCs w:val="21"/>
                <w:highlight w:val="none"/>
              </w:rPr>
              <w:t>2m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vertAlign w:val="baseline"/>
              </w:rPr>
              <w:t>/</w:t>
            </w:r>
            <w:r>
              <w:rPr>
                <w:rFonts w:hint="eastAsia" w:ascii="Times New Roman" w:hAnsi="Times New Roman" w:cs="Times New Roman"/>
                <w:color w:val="auto"/>
                <w:szCs w:val="21"/>
                <w:highlight w:val="none"/>
              </w:rPr>
              <w:t>d</w:t>
            </w:r>
            <w:r>
              <w:rPr>
                <w:rFonts w:hint="eastAsia" w:cs="Times New Roman"/>
                <w:color w:val="auto"/>
                <w:szCs w:val="21"/>
                <w:highlight w:val="none"/>
                <w:lang w:eastAsia="zh-CN"/>
              </w:rPr>
              <w:t>（</w:t>
            </w:r>
            <w:r>
              <w:rPr>
                <w:rFonts w:hint="eastAsia" w:cs="Times New Roman"/>
                <w:color w:val="auto"/>
                <w:szCs w:val="21"/>
                <w:highlight w:val="none"/>
                <w:lang w:val="en-US" w:eastAsia="zh-CN"/>
              </w:rPr>
              <w:t>9813.6</w:t>
            </w:r>
            <w:r>
              <w:rPr>
                <w:rFonts w:hint="eastAsia" w:ascii="Times New Roman" w:hAnsi="Times New Roman" w:cs="Times New Roman"/>
                <w:color w:val="auto"/>
                <w:szCs w:val="21"/>
                <w:highlight w:val="none"/>
                <w:lang w:val="en-US" w:eastAsia="zh-CN"/>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/a</w:t>
            </w:r>
            <w:r>
              <w:rPr>
                <w:rFonts w:hint="eastAsia" w:cs="Times New Roman"/>
                <w:color w:val="auto"/>
                <w:szCs w:val="21"/>
                <w:highlight w:val="none"/>
                <w:lang w:eastAsia="zh-CN"/>
              </w:rPr>
              <w:t>）</w:t>
            </w:r>
            <w:r>
              <w:rPr>
                <w:rFonts w:hint="eastAsia" w:ascii="Times New Roman" w:hAnsi="Times New Roman" w:cs="Times New Roman"/>
                <w:color w:val="auto"/>
                <w:szCs w:val="21"/>
                <w:highlight w:val="none"/>
              </w:rPr>
              <w:t>，</w:t>
            </w:r>
            <w:r>
              <w:rPr>
                <w:rFonts w:hint="eastAsia" w:cs="Times New Roman"/>
                <w:color w:val="auto"/>
                <w:szCs w:val="21"/>
                <w:highlight w:val="none"/>
                <w:lang w:val="en-US" w:eastAsia="zh-CN"/>
              </w:rPr>
              <w:t>工业场地区</w:t>
            </w:r>
            <w:r>
              <w:rPr>
                <w:rFonts w:hint="eastAsia" w:ascii="Times New Roman" w:hAnsi="Times New Roman" w:cs="Times New Roman"/>
                <w:color w:val="auto"/>
                <w:szCs w:val="21"/>
                <w:highlight w:val="none"/>
              </w:rPr>
              <w:t>南侧</w:t>
            </w:r>
            <w:r>
              <w:rPr>
                <w:rFonts w:hint="eastAsia" w:cs="Times New Roman"/>
                <w:color w:val="auto"/>
                <w:szCs w:val="21"/>
                <w:highlight w:val="none"/>
                <w:lang w:val="en-US" w:eastAsia="zh-CN"/>
              </w:rPr>
              <w:t>设置</w:t>
            </w:r>
            <w:r>
              <w:rPr>
                <w:rFonts w:hint="eastAsia" w:ascii="Times New Roman" w:hAnsi="Times New Roman" w:cs="Times New Roman"/>
                <w:color w:val="auto"/>
                <w:szCs w:val="21"/>
                <w:highlight w:val="none"/>
              </w:rPr>
              <w:t>1个容积为</w:t>
            </w:r>
            <w:r>
              <w:rPr>
                <w:rFonts w:hint="eastAsia" w:cs="Times New Roman"/>
                <w:color w:val="auto"/>
                <w:szCs w:val="21"/>
                <w:highlight w:val="none"/>
                <w:lang w:val="en-US" w:eastAsia="zh-CN"/>
              </w:rPr>
              <w:t>82</w:t>
            </w:r>
            <w:r>
              <w:rPr>
                <w:rFonts w:hint="eastAsia" w:ascii="Times New Roman" w:hAnsi="Times New Roman" w:cs="Times New Roman"/>
                <w:color w:val="auto"/>
                <w:szCs w:val="21"/>
                <w:highlight w:val="none"/>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的沉砂池</w:t>
            </w:r>
            <w:r>
              <w:rPr>
                <w:rFonts w:hint="eastAsia" w:cs="Times New Roman"/>
                <w:color w:val="auto"/>
                <w:szCs w:val="21"/>
                <w:highlight w:val="none"/>
                <w:lang w:eastAsia="zh-CN"/>
              </w:rPr>
              <w:t>；</w:t>
            </w:r>
            <w:r>
              <w:rPr>
                <w:rFonts w:hint="eastAsia" w:cs="Times New Roman"/>
                <w:color w:val="auto"/>
                <w:szCs w:val="21"/>
                <w:highlight w:val="none"/>
                <w:lang w:val="en-US" w:eastAsia="zh-CN"/>
              </w:rPr>
              <w:t>办公生活区产生的初期雨水量为43.983</w:t>
            </w:r>
            <w:r>
              <w:rPr>
                <w:rFonts w:hint="eastAsia" w:ascii="Times New Roman" w:hAnsi="Times New Roman" w:cs="Times New Roman"/>
                <w:color w:val="auto"/>
                <w:szCs w:val="21"/>
                <w:highlight w:val="none"/>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vertAlign w:val="baseline"/>
              </w:rPr>
              <w:t>/</w:t>
            </w:r>
            <w:r>
              <w:rPr>
                <w:rFonts w:hint="eastAsia" w:ascii="Times New Roman" w:hAnsi="Times New Roman" w:cs="Times New Roman"/>
                <w:color w:val="auto"/>
                <w:szCs w:val="21"/>
                <w:highlight w:val="none"/>
              </w:rPr>
              <w:t>d</w:t>
            </w:r>
            <w:r>
              <w:rPr>
                <w:rFonts w:hint="eastAsia" w:cs="Times New Roman"/>
                <w:color w:val="auto"/>
                <w:szCs w:val="21"/>
                <w:highlight w:val="none"/>
                <w:lang w:eastAsia="zh-CN"/>
              </w:rPr>
              <w:t>（</w:t>
            </w:r>
            <w:r>
              <w:rPr>
                <w:rFonts w:hint="eastAsia" w:cs="Times New Roman"/>
                <w:color w:val="auto"/>
                <w:szCs w:val="21"/>
                <w:highlight w:val="none"/>
                <w:lang w:val="en-US" w:eastAsia="zh-CN"/>
              </w:rPr>
              <w:t>6377.535</w:t>
            </w:r>
            <w:r>
              <w:rPr>
                <w:rFonts w:hint="eastAsia" w:ascii="Times New Roman" w:hAnsi="Times New Roman" w:cs="Times New Roman"/>
                <w:color w:val="auto"/>
                <w:szCs w:val="21"/>
                <w:highlight w:val="none"/>
                <w:lang w:val="en-US" w:eastAsia="zh-CN"/>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/a</w:t>
            </w:r>
            <w:r>
              <w:rPr>
                <w:rFonts w:hint="eastAsia" w:cs="Times New Roman"/>
                <w:color w:val="auto"/>
                <w:szCs w:val="21"/>
                <w:highlight w:val="none"/>
                <w:lang w:eastAsia="zh-CN"/>
              </w:rPr>
              <w:t>），</w:t>
            </w:r>
            <w:r>
              <w:rPr>
                <w:rFonts w:hint="eastAsia" w:cs="Times New Roman"/>
                <w:color w:val="auto"/>
                <w:szCs w:val="21"/>
                <w:highlight w:val="none"/>
                <w:lang w:val="en-US" w:eastAsia="zh-CN"/>
              </w:rPr>
              <w:t>办公生活区南侧设置1个容积为53m</w:t>
            </w:r>
            <w:r>
              <w:rPr>
                <w:rFonts w:hint="eastAsia" w:cs="Times New Roman"/>
                <w:color w:val="auto"/>
                <w:szCs w:val="21"/>
                <w:highlight w:val="none"/>
                <w:vertAlign w:val="superscript"/>
                <w:lang w:val="en-US" w:eastAsia="zh-CN"/>
              </w:rPr>
              <w:t>3</w:t>
            </w:r>
            <w:r>
              <w:rPr>
                <w:rFonts w:hint="eastAsia" w:cs="Times New Roman"/>
                <w:color w:val="auto"/>
                <w:szCs w:val="21"/>
                <w:highlight w:val="none"/>
                <w:vertAlign w:val="baseline"/>
                <w:lang w:val="en-US" w:eastAsia="zh-CN"/>
              </w:rPr>
              <w:t>的沉砂池处理</w:t>
            </w:r>
            <w:r>
              <w:rPr>
                <w:rFonts w:hint="eastAsia" w:ascii="Times New Roman" w:hAnsi="Times New Roman" w:cs="Times New Roman"/>
                <w:color w:val="auto"/>
                <w:szCs w:val="21"/>
                <w:highlight w:val="none"/>
              </w:rPr>
              <w:t>。总计本项目厂区产生的淋滤水和初期雨水量为</w:t>
            </w:r>
            <w:r>
              <w:rPr>
                <w:rFonts w:hint="eastAsia" w:cs="Times New Roman"/>
                <w:color w:val="auto"/>
                <w:szCs w:val="21"/>
                <w:highlight w:val="none"/>
                <w:lang w:val="en-US" w:eastAsia="zh-CN"/>
              </w:rPr>
              <w:t>286.633</w:t>
            </w:r>
            <w:r>
              <w:rPr>
                <w:rFonts w:hint="eastAsia" w:ascii="Times New Roman" w:hAnsi="Times New Roman" w:cs="Times New Roman"/>
                <w:color w:val="auto"/>
                <w:szCs w:val="21"/>
                <w:highlight w:val="none"/>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/d</w:t>
            </w:r>
            <w:r>
              <w:rPr>
                <w:rFonts w:hint="eastAsia" w:cs="Times New Roman"/>
                <w:color w:val="auto"/>
                <w:szCs w:val="21"/>
                <w:highlight w:val="none"/>
                <w:lang w:eastAsia="zh-CN"/>
              </w:rPr>
              <w:t>（</w:t>
            </w:r>
            <w:r>
              <w:rPr>
                <w:rFonts w:hint="eastAsia" w:cs="Times New Roman"/>
                <w:color w:val="auto"/>
                <w:szCs w:val="21"/>
                <w:highlight w:val="none"/>
                <w:lang w:val="en-US" w:eastAsia="zh-CN"/>
              </w:rPr>
              <w:t>41561.785</w:t>
            </w:r>
            <w:r>
              <w:rPr>
                <w:rFonts w:hint="eastAsia" w:ascii="Times New Roman" w:hAnsi="Times New Roman" w:cs="Times New Roman"/>
                <w:color w:val="auto"/>
                <w:szCs w:val="21"/>
                <w:highlight w:val="none"/>
                <w:lang w:val="en-US" w:eastAsia="zh-CN"/>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/a</w:t>
            </w:r>
            <w:r>
              <w:rPr>
                <w:rFonts w:hint="eastAsia" w:cs="Times New Roman"/>
                <w:color w:val="auto"/>
                <w:szCs w:val="21"/>
                <w:highlight w:val="none"/>
                <w:lang w:eastAsia="zh-CN"/>
              </w:rPr>
              <w:t>）</w:t>
            </w:r>
            <w:r>
              <w:rPr>
                <w:rFonts w:hint="eastAsia" w:ascii="Times New Roman" w:hAnsi="Times New Roman" w:cs="Times New Roman"/>
                <w:color w:val="auto"/>
                <w:szCs w:val="21"/>
                <w:highlight w:val="none"/>
                <w:lang w:eastAsia="zh-CN"/>
              </w:rPr>
              <w:t>。</w:t>
            </w:r>
          </w:p>
          <w:p w14:paraId="2DC5A8BE">
            <w:pPr>
              <w:ind w:firstLine="48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rPr>
              <w:t>项目厂区晴天总洒水降尘用水量为</w:t>
            </w:r>
            <w:r>
              <w:rPr>
                <w:rFonts w:hint="eastAsia" w:cs="Times New Roman"/>
                <w:color w:val="auto"/>
                <w:szCs w:val="21"/>
                <w:highlight w:val="none"/>
                <w:lang w:val="en-US" w:eastAsia="zh-CN"/>
              </w:rPr>
              <w:t>239.3</w:t>
            </w:r>
            <w:r>
              <w:rPr>
                <w:rFonts w:hint="eastAsia" w:ascii="Times New Roman" w:hAnsi="Times New Roman" w:cs="Times New Roman"/>
                <w:color w:val="auto"/>
                <w:szCs w:val="21"/>
                <w:highlight w:val="none"/>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/d、</w:t>
            </w:r>
            <w:r>
              <w:rPr>
                <w:rFonts w:hint="eastAsia" w:cs="Times New Roman"/>
                <w:color w:val="auto"/>
                <w:szCs w:val="21"/>
                <w:highlight w:val="none"/>
                <w:lang w:val="en-US" w:eastAsia="zh-CN"/>
              </w:rPr>
              <w:t>48883.06</w:t>
            </w:r>
            <w:r>
              <w:rPr>
                <w:rFonts w:hint="eastAsia" w:ascii="Times New Roman" w:hAnsi="Times New Roman" w:cs="Times New Roman"/>
                <w:color w:val="auto"/>
                <w:szCs w:val="21"/>
                <w:highlight w:val="none"/>
              </w:rPr>
              <w:t>m</w:t>
            </w:r>
            <w:r>
              <w:rPr>
                <w:rFonts w:hint="eastAsia" w:ascii="Times New Roman" w:hAnsi="Times New Roman" w:cs="Times New Roman"/>
                <w:color w:val="auto"/>
                <w:szCs w:val="21"/>
                <w:highlight w:val="none"/>
                <w:vertAlign w:val="superscript"/>
              </w:rPr>
              <w:t>3</w:t>
            </w:r>
            <w:r>
              <w:rPr>
                <w:rFonts w:hint="eastAsia" w:ascii="Times New Roman" w:hAnsi="Times New Roman" w:cs="Times New Roman"/>
                <w:color w:val="auto"/>
                <w:szCs w:val="21"/>
                <w:highlight w:val="none"/>
              </w:rPr>
              <w:t>/a（晴天以178天计），可知项目淋滤水和初期雨水产生量小于项目洒水降尘用水量，可完全被消纳，不外排。</w:t>
            </w:r>
          </w:p>
          <w:p w14:paraId="1E79C50C">
            <w:pPr>
              <w:ind w:firstLine="480"/>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rPr>
              <w:t>综上分析，项目</w:t>
            </w:r>
            <w:r>
              <w:rPr>
                <w:rFonts w:hint="default" w:ascii="Times New Roman" w:hAnsi="Times New Roman" w:cs="Times New Roman"/>
                <w:color w:val="auto"/>
                <w:highlight w:val="none"/>
                <w:lang w:val="en-US" w:eastAsia="zh-CN"/>
              </w:rPr>
              <w:t>生活废水经隔油池、三格化粪池处理后，定期清掏用作农肥</w:t>
            </w:r>
            <w:r>
              <w:rPr>
                <w:rFonts w:hint="eastAsia" w:cs="Times New Roman"/>
                <w:color w:val="auto"/>
                <w:highlight w:val="none"/>
                <w:lang w:eastAsia="zh-CN"/>
              </w:rPr>
              <w:t>；</w:t>
            </w:r>
            <w:r>
              <w:rPr>
                <w:rFonts w:hint="eastAsia" w:cs="Times New Roman"/>
                <w:color w:val="auto"/>
                <w:highlight w:val="none"/>
                <w:lang w:val="en-US" w:eastAsia="zh-CN"/>
              </w:rPr>
              <w:t>车辆清洗废水循环使用，不外排；淋滤水和初期雨水经收集处理后回用于洒水降尘，因此项目废水不外排</w:t>
            </w:r>
            <w:r>
              <w:rPr>
                <w:rFonts w:hint="eastAsia" w:ascii="Times New Roman" w:hAnsi="Times New Roman" w:cs="Times New Roman"/>
                <w:color w:val="auto"/>
                <w:szCs w:val="21"/>
                <w:highlight w:val="none"/>
              </w:rPr>
              <w:t>是可行的。</w:t>
            </w:r>
          </w:p>
          <w:p w14:paraId="40891F26">
            <w:pPr>
              <w:ind w:firstLine="482"/>
              <w:rPr>
                <w:rFonts w:ascii="宋体" w:cs="宋体"/>
                <w:b/>
                <w:bCs/>
                <w:color w:val="auto"/>
                <w:kern w:val="0"/>
                <w:sz w:val="21"/>
                <w:szCs w:val="21"/>
              </w:rPr>
            </w:pPr>
            <w:r>
              <w:rPr>
                <w:rFonts w:hint="eastAsia"/>
                <w:b/>
                <w:bCs/>
                <w:color w:val="auto"/>
                <w:szCs w:val="21"/>
                <w:lang w:eastAsia="zh-CN"/>
              </w:rPr>
              <w:t>（</w:t>
            </w:r>
            <w:r>
              <w:rPr>
                <w:rFonts w:hint="eastAsia"/>
                <w:b/>
                <w:bCs/>
                <w:color w:val="auto"/>
                <w:szCs w:val="21"/>
                <w:lang w:val="en-US" w:eastAsia="zh-CN"/>
              </w:rPr>
              <w:t>3</w:t>
            </w:r>
            <w:r>
              <w:rPr>
                <w:rFonts w:hint="eastAsia"/>
                <w:b/>
                <w:bCs/>
                <w:color w:val="auto"/>
                <w:szCs w:val="21"/>
                <w:lang w:eastAsia="zh-CN"/>
              </w:rPr>
              <w:t>）</w:t>
            </w:r>
            <w:r>
              <w:rPr>
                <w:rFonts w:hint="eastAsia"/>
                <w:b/>
                <w:bCs/>
                <w:color w:val="auto"/>
                <w:szCs w:val="21"/>
              </w:rPr>
              <w:t>废水影响分析</w:t>
            </w:r>
          </w:p>
          <w:p w14:paraId="62EA51B8">
            <w:pPr>
              <w:ind w:firstLine="480"/>
              <w:rPr>
                <w:rFonts w:hint="default" w:ascii="Times New Roman" w:hAnsi="Times New Roman" w:cs="Times New Roman"/>
                <w:color w:val="auto"/>
                <w:highlight w:val="none"/>
              </w:rPr>
            </w:pPr>
            <w:r>
              <w:rPr>
                <w:color w:val="auto"/>
                <w:lang w:bidi="ar"/>
              </w:rPr>
              <w:t>项目位于水环境质量达标区，</w:t>
            </w:r>
            <w:r>
              <w:rPr>
                <w:rFonts w:hint="eastAsia"/>
                <w:color w:val="auto"/>
                <w:kern w:val="0"/>
              </w:rPr>
              <w:t>项目运营期产生废水经上文废水不外排可行性分析，</w:t>
            </w:r>
            <w:r>
              <w:rPr>
                <w:rFonts w:hint="eastAsia" w:ascii="Times New Roman" w:hAnsi="Times New Roman" w:cs="Times New Roman"/>
                <w:color w:val="auto"/>
                <w:szCs w:val="21"/>
                <w:highlight w:val="none"/>
              </w:rPr>
              <w:t>项目</w:t>
            </w:r>
            <w:r>
              <w:rPr>
                <w:rFonts w:hint="default" w:ascii="Times New Roman" w:hAnsi="Times New Roman" w:cs="Times New Roman"/>
                <w:color w:val="auto"/>
                <w:highlight w:val="none"/>
                <w:lang w:val="en-US" w:eastAsia="zh-CN"/>
              </w:rPr>
              <w:t>生活废水经隔油池、三格化粪池处理后，定期清掏用作农肥</w:t>
            </w:r>
            <w:r>
              <w:rPr>
                <w:rFonts w:hint="eastAsia" w:cs="Times New Roman"/>
                <w:color w:val="auto"/>
                <w:highlight w:val="none"/>
                <w:lang w:eastAsia="zh-CN"/>
              </w:rPr>
              <w:t>；</w:t>
            </w:r>
            <w:r>
              <w:rPr>
                <w:rFonts w:hint="eastAsia" w:cs="Times New Roman"/>
                <w:color w:val="auto"/>
                <w:highlight w:val="none"/>
                <w:lang w:val="en-US" w:eastAsia="zh-CN"/>
              </w:rPr>
              <w:t>车辆清洗废水循环使用，不外排；淋滤水和初期雨水经收集处理后回用于洒水降尘，不外排</w:t>
            </w:r>
            <w:r>
              <w:rPr>
                <w:rFonts w:hint="eastAsia" w:ascii="Times New Roman" w:hAnsi="Times New Roman" w:cs="Times New Roman"/>
                <w:color w:val="auto"/>
                <w:szCs w:val="21"/>
                <w:highlight w:val="none"/>
              </w:rPr>
              <w:t>。</w:t>
            </w:r>
            <w:r>
              <w:rPr>
                <w:rFonts w:hint="default" w:ascii="Times New Roman" w:hAnsi="Times New Roman" w:cs="Times New Roman"/>
                <w:color w:val="auto"/>
                <w:szCs w:val="21"/>
                <w:highlight w:val="none"/>
              </w:rPr>
              <w:t>因此，项目废水对周围地表水环境影响不大，是可以接受的。</w:t>
            </w:r>
          </w:p>
          <w:p w14:paraId="630D69B6">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三、运营期固体废物影响分析</w:t>
            </w:r>
          </w:p>
          <w:p w14:paraId="149D5C43">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项目运营期固体废物包括一般固废和危险废物。</w:t>
            </w:r>
          </w:p>
          <w:p w14:paraId="73E93474">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1、一般固废</w:t>
            </w:r>
          </w:p>
          <w:p w14:paraId="548E363B">
            <w:pPr>
              <w:adjustRightInd w:val="0"/>
              <w:ind w:firstLine="482"/>
              <w:rPr>
                <w:rFonts w:hint="default" w:ascii="Times New Roman" w:hAnsi="Times New Roman" w:eastAsia="宋体" w:cs="Times New Roman"/>
                <w:b/>
                <w:color w:val="auto"/>
                <w:kern w:val="0"/>
                <w:szCs w:val="21"/>
                <w:highlight w:val="none"/>
                <w:lang w:eastAsia="zh-CN"/>
              </w:rPr>
            </w:pPr>
            <w:r>
              <w:rPr>
                <w:rFonts w:hint="default" w:ascii="Times New Roman" w:hAnsi="Times New Roman" w:cs="Times New Roman"/>
                <w:b/>
                <w:color w:val="auto"/>
                <w:kern w:val="0"/>
                <w:szCs w:val="21"/>
                <w:highlight w:val="none"/>
              </w:rPr>
              <w:t>（1）</w:t>
            </w:r>
            <w:r>
              <w:rPr>
                <w:rFonts w:hint="default" w:ascii="Times New Roman" w:hAnsi="Times New Roman" w:cs="Times New Roman"/>
                <w:b/>
                <w:color w:val="auto"/>
                <w:kern w:val="0"/>
                <w:szCs w:val="21"/>
                <w:highlight w:val="none"/>
                <w:lang w:val="en-US" w:eastAsia="zh-CN"/>
              </w:rPr>
              <w:t>剥离表土</w:t>
            </w:r>
          </w:p>
          <w:p w14:paraId="48A83ECE">
            <w:pPr>
              <w:adjustRightInd w:val="0"/>
              <w:ind w:firstLine="480"/>
              <w:rPr>
                <w:rFonts w:hint="default" w:ascii="Times New Roman" w:hAnsi="Times New Roman" w:eastAsia="宋体" w:cs="Times New Roman"/>
                <w:bCs/>
                <w:color w:val="auto"/>
                <w:kern w:val="0"/>
                <w:szCs w:val="21"/>
                <w:highlight w:val="none"/>
              </w:rPr>
            </w:pPr>
            <w:r>
              <w:rPr>
                <w:rFonts w:hint="default" w:ascii="Times New Roman" w:hAnsi="Times New Roman" w:eastAsia="宋体" w:cs="Times New Roman"/>
                <w:bCs/>
                <w:color w:val="auto"/>
                <w:kern w:val="0"/>
                <w:szCs w:val="21"/>
                <w:highlight w:val="none"/>
                <w:lang w:val="en-US" w:eastAsia="zh-CN"/>
              </w:rPr>
              <w:t>根据《云南省寻甸县柯渡黄龙溏普通建筑材料用砂岩矿50万t/a露天采矿工程安全设施设计》</w:t>
            </w:r>
            <w:r>
              <w:rPr>
                <w:rFonts w:hint="default" w:ascii="Times New Roman" w:hAnsi="Times New Roman" w:eastAsia="宋体" w:cs="Times New Roman"/>
                <w:bCs/>
                <w:color w:val="auto"/>
                <w:kern w:val="0"/>
                <w:szCs w:val="21"/>
                <w:highlight w:val="none"/>
              </w:rPr>
              <w:t>，</w:t>
            </w:r>
            <w:r>
              <w:rPr>
                <w:rFonts w:hint="default" w:ascii="Times New Roman" w:hAnsi="Times New Roman" w:eastAsia="宋体" w:cs="Times New Roman"/>
                <w:bCs/>
                <w:color w:val="auto"/>
                <w:kern w:val="0"/>
                <w:szCs w:val="21"/>
                <w:highlight w:val="none"/>
                <w:lang w:val="en-US" w:eastAsia="zh-CN"/>
              </w:rPr>
              <w:t>项目</w:t>
            </w:r>
            <w:r>
              <w:rPr>
                <w:rFonts w:hint="default" w:ascii="Times New Roman" w:hAnsi="Times New Roman" w:eastAsia="宋体" w:cs="Times New Roman"/>
                <w:bCs/>
                <w:color w:val="auto"/>
                <w:kern w:val="0"/>
                <w:szCs w:val="21"/>
                <w:highlight w:val="none"/>
                <w:lang w:val="zh-CN"/>
              </w:rPr>
              <w:t>矿山核实范围内</w:t>
            </w:r>
            <w:r>
              <w:rPr>
                <w:rFonts w:hint="default" w:ascii="Times New Roman" w:hAnsi="Times New Roman" w:eastAsia="宋体" w:cs="Times New Roman"/>
                <w:bCs/>
                <w:color w:val="auto"/>
                <w:kern w:val="0"/>
                <w:szCs w:val="21"/>
                <w:highlight w:val="none"/>
                <w:lang w:val="en-US" w:eastAsia="zh-CN"/>
              </w:rPr>
              <w:t>表土</w:t>
            </w:r>
            <w:r>
              <w:rPr>
                <w:rFonts w:hint="default" w:ascii="Times New Roman" w:hAnsi="Times New Roman" w:eastAsia="宋体" w:cs="Times New Roman"/>
                <w:bCs/>
                <w:color w:val="auto"/>
                <w:kern w:val="0"/>
                <w:szCs w:val="21"/>
                <w:highlight w:val="none"/>
                <w:lang w:val="zh-CN"/>
              </w:rPr>
              <w:t>总剥离量</w:t>
            </w:r>
            <w:r>
              <w:rPr>
                <w:rFonts w:hint="default" w:ascii="Times New Roman" w:hAnsi="Times New Roman" w:eastAsia="宋体" w:cs="Times New Roman"/>
                <w:bCs/>
                <w:color w:val="auto"/>
                <w:kern w:val="0"/>
                <w:szCs w:val="21"/>
                <w:highlight w:val="none"/>
              </w:rPr>
              <w:t>1.</w:t>
            </w:r>
            <w:r>
              <w:rPr>
                <w:rFonts w:hint="default" w:ascii="Times New Roman" w:hAnsi="Times New Roman" w:eastAsia="宋体" w:cs="Times New Roman"/>
                <w:bCs/>
                <w:color w:val="auto"/>
                <w:kern w:val="0"/>
                <w:szCs w:val="21"/>
                <w:highlight w:val="none"/>
                <w:lang w:val="en-US" w:eastAsia="zh-CN"/>
              </w:rPr>
              <w:t>25</w:t>
            </w:r>
            <w:r>
              <w:rPr>
                <w:rFonts w:hint="default" w:ascii="Times New Roman" w:hAnsi="Times New Roman" w:eastAsia="宋体" w:cs="Times New Roman"/>
                <w:bCs/>
                <w:color w:val="auto"/>
                <w:kern w:val="0"/>
                <w:szCs w:val="21"/>
                <w:highlight w:val="none"/>
              </w:rPr>
              <w:t>万m</w:t>
            </w:r>
            <w:r>
              <w:rPr>
                <w:rFonts w:hint="default" w:ascii="Times New Roman" w:hAnsi="Times New Roman" w:eastAsia="宋体" w:cs="Times New Roman"/>
                <w:bCs/>
                <w:color w:val="auto"/>
                <w:kern w:val="0"/>
                <w:szCs w:val="21"/>
                <w:highlight w:val="none"/>
                <w:vertAlign w:val="superscript"/>
              </w:rPr>
              <w:t>3</w:t>
            </w:r>
            <w:r>
              <w:rPr>
                <w:rFonts w:hint="default" w:ascii="Times New Roman" w:hAnsi="Times New Roman" w:eastAsia="宋体" w:cs="Times New Roman"/>
                <w:bCs/>
                <w:color w:val="auto"/>
                <w:kern w:val="0"/>
                <w:szCs w:val="21"/>
                <w:highlight w:val="none"/>
                <w:lang w:val="zh-CN"/>
              </w:rPr>
              <w:t>，</w:t>
            </w:r>
            <w:r>
              <w:rPr>
                <w:rFonts w:hint="default" w:ascii="Times New Roman" w:hAnsi="Times New Roman" w:eastAsia="宋体" w:cs="Times New Roman"/>
                <w:color w:val="auto"/>
                <w:highlight w:val="none"/>
                <w:lang w:val="en-US" w:eastAsia="zh-CN"/>
              </w:rPr>
              <w:t>220</w:t>
            </w:r>
            <w:r>
              <w:rPr>
                <w:rFonts w:hint="default" w:ascii="Times New Roman" w:hAnsi="Times New Roman" w:cs="Times New Roman"/>
                <w:color w:val="auto"/>
                <w:highlight w:val="none"/>
                <w:lang w:val="en-US" w:eastAsia="zh-CN"/>
              </w:rPr>
              <w:t>0</w:t>
            </w:r>
            <w:r>
              <w:rPr>
                <w:rFonts w:hint="default" w:ascii="Times New Roman" w:hAnsi="Times New Roman" w:eastAsia="宋体" w:cs="Times New Roman"/>
                <w:color w:val="auto"/>
                <w:highlight w:val="none"/>
                <w:lang w:val="en-US" w:eastAsia="zh-CN"/>
              </w:rPr>
              <w:t>m、2</w:t>
            </w:r>
            <w:r>
              <w:rPr>
                <w:rFonts w:hint="default" w:ascii="Times New Roman" w:hAnsi="Times New Roman" w:cs="Times New Roman"/>
                <w:color w:val="auto"/>
                <w:highlight w:val="none"/>
                <w:lang w:val="en-US" w:eastAsia="zh-CN"/>
              </w:rPr>
              <w:t>192</w:t>
            </w:r>
            <w:r>
              <w:rPr>
                <w:rFonts w:hint="default" w:ascii="Times New Roman" w:hAnsi="Times New Roman" w:eastAsia="宋体" w:cs="Times New Roman"/>
                <w:color w:val="auto"/>
                <w:highlight w:val="none"/>
                <w:lang w:val="en-US" w:eastAsia="zh-CN"/>
              </w:rPr>
              <w:t>m开采平台</w:t>
            </w:r>
            <w:r>
              <w:rPr>
                <w:rFonts w:hint="default" w:ascii="Times New Roman" w:hAnsi="Times New Roman" w:cs="Times New Roman"/>
                <w:color w:val="auto"/>
                <w:highlight w:val="none"/>
                <w:lang w:val="en-US" w:eastAsia="zh-CN"/>
              </w:rPr>
              <w:t>已</w:t>
            </w:r>
            <w:r>
              <w:rPr>
                <w:rFonts w:hint="default" w:ascii="Times New Roman" w:hAnsi="Times New Roman" w:eastAsia="宋体" w:cs="Times New Roman"/>
                <w:color w:val="auto"/>
                <w:highlight w:val="none"/>
                <w:lang w:val="en-US" w:eastAsia="zh-CN"/>
              </w:rPr>
              <w:t>剥离的</w:t>
            </w:r>
            <w:r>
              <w:rPr>
                <w:rFonts w:hint="default" w:ascii="Times New Roman" w:hAnsi="Times New Roman" w:cs="Times New Roman"/>
                <w:color w:val="auto"/>
                <w:highlight w:val="none"/>
                <w:lang w:val="en-US" w:eastAsia="zh-CN"/>
              </w:rPr>
              <w:t>0.33</w:t>
            </w:r>
            <w:r>
              <w:rPr>
                <w:rFonts w:hint="default" w:ascii="Times New Roman" w:hAnsi="Times New Roman" w:eastAsia="宋体" w:cs="Times New Roman"/>
                <w:bCs/>
                <w:color w:val="auto"/>
                <w:kern w:val="0"/>
                <w:szCs w:val="21"/>
                <w:highlight w:val="none"/>
              </w:rPr>
              <w:t>万m</w:t>
            </w:r>
            <w:r>
              <w:rPr>
                <w:rFonts w:hint="default" w:ascii="Times New Roman" w:hAnsi="Times New Roman" w:eastAsia="宋体" w:cs="Times New Roman"/>
                <w:bCs/>
                <w:color w:val="auto"/>
                <w:kern w:val="0"/>
                <w:szCs w:val="21"/>
                <w:highlight w:val="none"/>
                <w:vertAlign w:val="superscript"/>
              </w:rPr>
              <w:t>3</w:t>
            </w:r>
            <w:r>
              <w:rPr>
                <w:rFonts w:hint="default" w:ascii="Times New Roman" w:hAnsi="Times New Roman" w:eastAsia="宋体" w:cs="Times New Roman"/>
                <w:color w:val="auto"/>
                <w:highlight w:val="none"/>
                <w:lang w:val="en-US" w:eastAsia="zh-CN"/>
              </w:rPr>
              <w:t>表土</w:t>
            </w:r>
            <w:r>
              <w:rPr>
                <w:rFonts w:hint="default" w:ascii="Times New Roman" w:hAnsi="Times New Roman" w:cs="Times New Roman"/>
                <w:color w:val="auto"/>
                <w:highlight w:val="none"/>
                <w:lang w:val="en-US" w:eastAsia="zh-CN"/>
              </w:rPr>
              <w:t>堆放于矿界西侧的临时表土堆场，</w:t>
            </w:r>
            <w:r>
              <w:rPr>
                <w:rFonts w:hint="default" w:ascii="Times New Roman" w:hAnsi="Times New Roman" w:cs="Times New Roman"/>
                <w:snapToGrid w:val="0"/>
                <w:color w:val="auto"/>
                <w:kern w:val="0"/>
                <w:sz w:val="24"/>
                <w:highlight w:val="none"/>
                <w:lang w:val="en-US" w:eastAsia="zh-CN"/>
              </w:rPr>
              <w:t>用于工业场地区、办公生活区平整及运输公路的铺垫，</w:t>
            </w:r>
            <w:r>
              <w:rPr>
                <w:rFonts w:hint="default" w:ascii="Times New Roman" w:hAnsi="Times New Roman" w:eastAsia="宋体" w:cs="Times New Roman"/>
                <w:b w:val="0"/>
                <w:bCs/>
                <w:color w:val="auto"/>
                <w:highlight w:val="none"/>
              </w:rPr>
              <w:t>后期按照“</w:t>
            </w:r>
            <w:r>
              <w:rPr>
                <w:rFonts w:hint="default" w:ascii="Times New Roman" w:hAnsi="Times New Roman" w:eastAsia="宋体" w:cs="Times New Roman"/>
                <w:b w:val="0"/>
                <w:bCs/>
                <w:color w:val="auto"/>
                <w:highlight w:val="none"/>
                <w:lang w:val="en-US" w:eastAsia="zh-CN"/>
              </w:rPr>
              <w:t>边开采边复垦</w:t>
            </w:r>
            <w:r>
              <w:rPr>
                <w:rFonts w:hint="default" w:ascii="Times New Roman" w:hAnsi="Times New Roman" w:eastAsia="宋体" w:cs="Times New Roman"/>
                <w:b w:val="0"/>
                <w:bCs/>
                <w:color w:val="auto"/>
                <w:highlight w:val="none"/>
              </w:rPr>
              <w:t>”的方式进行矿区植被恢复，剥离的表土</w:t>
            </w:r>
            <w:r>
              <w:rPr>
                <w:rFonts w:hint="default" w:ascii="Times New Roman" w:hAnsi="Times New Roman" w:eastAsia="宋体" w:cs="Times New Roman"/>
                <w:b w:val="0"/>
                <w:bCs/>
                <w:color w:val="auto"/>
                <w:highlight w:val="none"/>
                <w:lang w:val="en-US" w:eastAsia="zh-CN"/>
              </w:rPr>
              <w:t>可</w:t>
            </w:r>
            <w:r>
              <w:rPr>
                <w:rFonts w:hint="default" w:ascii="Times New Roman" w:hAnsi="Times New Roman" w:eastAsia="宋体" w:cs="Times New Roman"/>
                <w:b w:val="0"/>
                <w:bCs/>
                <w:color w:val="auto"/>
                <w:highlight w:val="none"/>
              </w:rPr>
              <w:t>全部用于</w:t>
            </w:r>
            <w:r>
              <w:rPr>
                <w:rFonts w:hint="default" w:ascii="Times New Roman" w:hAnsi="Times New Roman" w:cs="Times New Roman"/>
                <w:b w:val="0"/>
                <w:bCs/>
                <w:color w:val="auto"/>
                <w:highlight w:val="none"/>
                <w:lang w:val="en-US" w:eastAsia="zh-CN"/>
              </w:rPr>
              <w:t>采空区</w:t>
            </w:r>
            <w:r>
              <w:rPr>
                <w:rFonts w:hint="default" w:ascii="Times New Roman" w:hAnsi="Times New Roman" w:eastAsia="宋体" w:cs="Times New Roman"/>
                <w:b w:val="0"/>
                <w:bCs/>
                <w:color w:val="auto"/>
                <w:highlight w:val="none"/>
              </w:rPr>
              <w:t>绿化覆土使用</w:t>
            </w:r>
            <w:r>
              <w:rPr>
                <w:rFonts w:hint="default" w:ascii="Times New Roman" w:hAnsi="Times New Roman" w:eastAsia="宋体" w:cs="Times New Roman"/>
                <w:bCs/>
                <w:color w:val="auto"/>
                <w:kern w:val="0"/>
                <w:szCs w:val="21"/>
                <w:highlight w:val="none"/>
              </w:rPr>
              <w:t>。</w:t>
            </w:r>
          </w:p>
          <w:p w14:paraId="6EC36B71">
            <w:pPr>
              <w:adjustRightInd w:val="0"/>
              <w:ind w:firstLine="48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根据《固体废物分类与代码目录（2024年）》，该废物代码为900-099-S59（其他工业生产过程中产生的固体废物）。运行期土石方平衡流向见图4-</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lang w:val="en-US" w:eastAsia="zh-CN"/>
              </w:rPr>
              <w:t>。</w:t>
            </w:r>
          </w:p>
          <w:p w14:paraId="5A39435C">
            <w:pPr>
              <w:pStyle w:val="2"/>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4785995" cy="1618615"/>
                  <wp:effectExtent l="0" t="0" r="0" b="0"/>
                  <wp:docPr id="13" name="ECB019B1-382A-4266-B25C-5B523AA43C14-4" descr="C:/Users/Administrator/AppData/Local/Temp/wps.XHjKGx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CB019B1-382A-4266-B25C-5B523AA43C14-4" descr="C:/Users/Administrator/AppData/Local/Temp/wps.XHjKGxwps"/>
                          <pic:cNvPicPr>
                            <a:picLocks noChangeAspect="1"/>
                          </pic:cNvPicPr>
                        </pic:nvPicPr>
                        <pic:blipFill>
                          <a:blip r:embed="rId31"/>
                          <a:stretch>
                            <a:fillRect/>
                          </a:stretch>
                        </pic:blipFill>
                        <pic:spPr>
                          <a:xfrm>
                            <a:off x="0" y="0"/>
                            <a:ext cx="4785995" cy="1618615"/>
                          </a:xfrm>
                          <a:prstGeom prst="rect">
                            <a:avLst/>
                          </a:prstGeom>
                        </pic:spPr>
                      </pic:pic>
                    </a:graphicData>
                  </a:graphic>
                </wp:inline>
              </w:drawing>
            </w:r>
          </w:p>
          <w:p w14:paraId="2DE49397">
            <w:pPr>
              <w:pStyle w:val="2"/>
              <w:spacing w:line="240" w:lineRule="auto"/>
              <w:jc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b/>
                <w:bCs/>
                <w:color w:val="auto"/>
                <w:sz w:val="21"/>
                <w:szCs w:val="21"/>
                <w:highlight w:val="none"/>
                <w:lang w:val="en-US" w:eastAsia="zh-CN"/>
              </w:rPr>
              <w:t>图4-</w:t>
            </w:r>
            <w:r>
              <w:rPr>
                <w:rFonts w:hint="eastAsia" w:cs="Times New Roman"/>
                <w:b/>
                <w:bCs/>
                <w:color w:val="auto"/>
                <w:sz w:val="21"/>
                <w:szCs w:val="21"/>
                <w:highlight w:val="none"/>
                <w:lang w:val="en-US" w:eastAsia="zh-CN"/>
              </w:rPr>
              <w:t>5</w:t>
            </w:r>
            <w:r>
              <w:rPr>
                <w:rFonts w:hint="default" w:ascii="Times New Roman" w:hAnsi="Times New Roman" w:eastAsia="宋体" w:cs="Times New Roman"/>
                <w:b/>
                <w:bCs/>
                <w:color w:val="auto"/>
                <w:sz w:val="21"/>
                <w:szCs w:val="21"/>
                <w:highlight w:val="none"/>
                <w:lang w:val="en-US" w:eastAsia="zh-CN"/>
              </w:rPr>
              <w:t>运行期土石方平衡图（单位：万m</w:t>
            </w:r>
            <w:r>
              <w:rPr>
                <w:rFonts w:hint="default" w:ascii="Times New Roman" w:hAnsi="Times New Roman" w:eastAsia="宋体" w:cs="Times New Roman"/>
                <w:b/>
                <w:bCs/>
                <w:color w:val="auto"/>
                <w:sz w:val="21"/>
                <w:szCs w:val="21"/>
                <w:highlight w:val="none"/>
                <w:vertAlign w:val="superscript"/>
                <w:lang w:val="en-US" w:eastAsia="zh-CN"/>
              </w:rPr>
              <w:t>3</w:t>
            </w:r>
            <w:r>
              <w:rPr>
                <w:rFonts w:hint="default" w:ascii="Times New Roman" w:hAnsi="Times New Roman" w:eastAsia="宋体" w:cs="Times New Roman"/>
                <w:b/>
                <w:bCs/>
                <w:color w:val="auto"/>
                <w:sz w:val="21"/>
                <w:szCs w:val="21"/>
                <w:highlight w:val="none"/>
                <w:lang w:val="en-US" w:eastAsia="zh-CN"/>
              </w:rPr>
              <w:t>）</w:t>
            </w:r>
          </w:p>
          <w:p w14:paraId="0CBA03F4">
            <w:pPr>
              <w:adjustRightInd w:val="0"/>
              <w:ind w:firstLine="482"/>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w:t>
            </w:r>
            <w:r>
              <w:rPr>
                <w:rFonts w:hint="default" w:ascii="Times New Roman" w:hAnsi="Times New Roman" w:cs="Times New Roman"/>
                <w:b/>
                <w:color w:val="auto"/>
                <w:kern w:val="0"/>
                <w:szCs w:val="21"/>
                <w:highlight w:val="none"/>
                <w:lang w:val="en-US" w:eastAsia="zh-CN"/>
              </w:rPr>
              <w:t>2</w:t>
            </w:r>
            <w:r>
              <w:rPr>
                <w:rFonts w:hint="default" w:ascii="Times New Roman" w:hAnsi="Times New Roman" w:cs="Times New Roman"/>
                <w:b/>
                <w:color w:val="auto"/>
                <w:kern w:val="0"/>
                <w:szCs w:val="21"/>
                <w:highlight w:val="none"/>
              </w:rPr>
              <w:t>）</w:t>
            </w:r>
            <w:r>
              <w:rPr>
                <w:rFonts w:hint="default" w:ascii="Times New Roman" w:hAnsi="Times New Roman" w:cs="Times New Roman"/>
                <w:b/>
                <w:color w:val="auto"/>
                <w:kern w:val="0"/>
                <w:szCs w:val="21"/>
                <w:highlight w:val="none"/>
                <w:lang w:eastAsia="zh-CN"/>
              </w:rPr>
              <w:t>沉砂池</w:t>
            </w:r>
            <w:r>
              <w:rPr>
                <w:rFonts w:hint="default" w:ascii="Times New Roman" w:hAnsi="Times New Roman" w:cs="Times New Roman"/>
                <w:b/>
                <w:color w:val="auto"/>
                <w:kern w:val="0"/>
                <w:szCs w:val="21"/>
                <w:highlight w:val="none"/>
              </w:rPr>
              <w:t>泥沙</w:t>
            </w:r>
          </w:p>
          <w:p w14:paraId="696754E1">
            <w:pPr>
              <w:adjustRightInd w:val="0"/>
              <w:snapToGrid w:val="0"/>
              <w:spacing w:line="360" w:lineRule="auto"/>
              <w:ind w:firstLine="480" w:firstLineChars="200"/>
              <w:rPr>
                <w:rFonts w:hint="default" w:ascii="Times New Roman" w:hAnsi="Times New Roman" w:eastAsia="宋体" w:cs="Times New Roman"/>
                <w:caps w:val="0"/>
                <w:smallCaps w:val="0"/>
                <w:color w:val="auto"/>
                <w:highlight w:val="none"/>
              </w:rPr>
            </w:pPr>
            <w:r>
              <w:rPr>
                <w:rFonts w:hint="default" w:ascii="Times New Roman" w:hAnsi="Times New Roman" w:cs="Times New Roman"/>
                <w:caps w:val="0"/>
                <w:smallCaps w:val="0"/>
                <w:color w:val="auto"/>
                <w:highlight w:val="none"/>
              </w:rPr>
              <w:t>本项目设置</w:t>
            </w:r>
            <w:r>
              <w:rPr>
                <w:rFonts w:hint="default" w:ascii="Times New Roman" w:hAnsi="Times New Roman" w:cs="Times New Roman"/>
                <w:caps w:val="0"/>
                <w:smallCaps w:val="0"/>
                <w:color w:val="auto"/>
                <w:highlight w:val="none"/>
                <w:lang w:val="en-US" w:eastAsia="zh-CN"/>
              </w:rPr>
              <w:t>淋滤水、初期雨水</w:t>
            </w:r>
            <w:r>
              <w:rPr>
                <w:rFonts w:hint="default" w:ascii="Times New Roman" w:hAnsi="Times New Roman" w:cs="Times New Roman"/>
                <w:caps w:val="0"/>
                <w:smallCaps w:val="0"/>
                <w:color w:val="auto"/>
                <w:highlight w:val="none"/>
              </w:rPr>
              <w:t>收集</w:t>
            </w:r>
            <w:r>
              <w:rPr>
                <w:rFonts w:hint="default" w:ascii="Times New Roman" w:hAnsi="Times New Roman" w:cs="Times New Roman"/>
                <w:caps w:val="0"/>
                <w:smallCaps w:val="0"/>
                <w:color w:val="auto"/>
                <w:highlight w:val="none"/>
                <w:lang w:eastAsia="zh-CN"/>
              </w:rPr>
              <w:t>沉砂池</w:t>
            </w:r>
            <w:r>
              <w:rPr>
                <w:rFonts w:hint="default" w:ascii="Times New Roman" w:hAnsi="Times New Roman" w:cs="Times New Roman"/>
                <w:caps w:val="0"/>
                <w:smallCaps w:val="0"/>
                <w:color w:val="auto"/>
                <w:highlight w:val="none"/>
              </w:rPr>
              <w:t>对雨天初期地表径流进行收集，雨天地表径流经过初雨收集</w:t>
            </w:r>
            <w:r>
              <w:rPr>
                <w:rFonts w:hint="default" w:ascii="Times New Roman" w:hAnsi="Times New Roman" w:cs="Times New Roman"/>
                <w:caps w:val="0"/>
                <w:smallCaps w:val="0"/>
                <w:color w:val="auto"/>
                <w:highlight w:val="none"/>
                <w:lang w:val="en-US" w:eastAsia="zh-CN"/>
              </w:rPr>
              <w:t>沉砂池沉淀</w:t>
            </w:r>
            <w:r>
              <w:rPr>
                <w:rFonts w:hint="default" w:ascii="Times New Roman" w:hAnsi="Times New Roman" w:cs="Times New Roman"/>
                <w:caps w:val="0"/>
                <w:smallCaps w:val="0"/>
                <w:color w:val="auto"/>
                <w:highlight w:val="none"/>
              </w:rPr>
              <w:t>后，其中的SS将富集到</w:t>
            </w:r>
            <w:r>
              <w:rPr>
                <w:rFonts w:hint="default" w:ascii="Times New Roman" w:hAnsi="Times New Roman" w:cs="Times New Roman"/>
                <w:caps w:val="0"/>
                <w:smallCaps w:val="0"/>
                <w:color w:val="auto"/>
                <w:highlight w:val="none"/>
                <w:lang w:eastAsia="zh-CN"/>
              </w:rPr>
              <w:t>沉砂池</w:t>
            </w:r>
            <w:r>
              <w:rPr>
                <w:rFonts w:hint="default" w:ascii="Times New Roman" w:hAnsi="Times New Roman" w:cs="Times New Roman"/>
                <w:caps w:val="0"/>
                <w:smallCaps w:val="0"/>
                <w:color w:val="auto"/>
                <w:highlight w:val="none"/>
              </w:rPr>
              <w:t>底部形成污泥，污泥的产生量约为</w:t>
            </w:r>
            <w:r>
              <w:rPr>
                <w:rFonts w:hint="eastAsia" w:cs="Times New Roman"/>
                <w:caps w:val="0"/>
                <w:smallCaps w:val="0"/>
                <w:color w:val="auto"/>
                <w:highlight w:val="none"/>
                <w:lang w:val="en-US" w:eastAsia="zh-CN"/>
              </w:rPr>
              <w:t>20.78</w:t>
            </w:r>
            <w:r>
              <w:rPr>
                <w:rFonts w:hint="default" w:ascii="Times New Roman" w:hAnsi="Times New Roman" w:cs="Times New Roman"/>
                <w:caps w:val="0"/>
                <w:smallCaps w:val="0"/>
                <w:color w:val="auto"/>
                <w:highlight w:val="none"/>
              </w:rPr>
              <w:t>t/a，</w:t>
            </w:r>
            <w:r>
              <w:rPr>
                <w:rFonts w:hint="default" w:ascii="Times New Roman" w:hAnsi="Times New Roman" w:cs="Times New Roman"/>
                <w:color w:val="auto"/>
                <w:sz w:val="24"/>
                <w:highlight w:val="none"/>
              </w:rPr>
              <w:t>主要为泥沙，</w:t>
            </w:r>
            <w:r>
              <w:rPr>
                <w:rFonts w:hint="eastAsia" w:cs="Times New Roman"/>
                <w:color w:val="auto"/>
                <w:sz w:val="24"/>
                <w:highlight w:val="none"/>
                <w:lang w:val="en-US" w:eastAsia="zh-CN"/>
              </w:rPr>
              <w:t>定期清掏堆存于临时表土堆场</w:t>
            </w:r>
            <w:r>
              <w:rPr>
                <w:rFonts w:hint="default" w:ascii="Times New Roman" w:hAnsi="Times New Roman" w:cs="Times New Roman"/>
                <w:color w:val="auto"/>
                <w:sz w:val="24"/>
                <w:highlight w:val="none"/>
              </w:rPr>
              <w:t>用于项目采空区回</w:t>
            </w:r>
            <w:r>
              <w:rPr>
                <w:rFonts w:hint="default" w:ascii="Times New Roman" w:hAnsi="Times New Roman" w:eastAsia="宋体" w:cs="Times New Roman"/>
                <w:caps w:val="0"/>
                <w:smallCaps w:val="0"/>
                <w:color w:val="auto"/>
                <w:highlight w:val="none"/>
              </w:rPr>
              <w:t>填</w:t>
            </w:r>
            <w:r>
              <w:rPr>
                <w:rFonts w:hint="default" w:ascii="Times New Roman" w:hAnsi="Times New Roman" w:eastAsia="宋体" w:cs="Times New Roman"/>
                <w:caps w:val="0"/>
                <w:smallCaps w:val="0"/>
                <w:color w:val="auto"/>
                <w:highlight w:val="none"/>
                <w:lang w:val="en-US" w:eastAsia="zh-CN"/>
              </w:rPr>
              <w:t>及绿化覆土</w:t>
            </w:r>
            <w:r>
              <w:rPr>
                <w:rFonts w:hint="default" w:ascii="Times New Roman" w:hAnsi="Times New Roman" w:eastAsia="宋体" w:cs="Times New Roman"/>
                <w:caps w:val="0"/>
                <w:smallCaps w:val="0"/>
                <w:color w:val="auto"/>
                <w:highlight w:val="none"/>
              </w:rPr>
              <w:t>。</w:t>
            </w:r>
          </w:p>
          <w:p w14:paraId="391103AF">
            <w:pPr>
              <w:adjustRightInd w:val="0"/>
              <w:snapToGrid w:val="0"/>
              <w:spacing w:line="360" w:lineRule="auto"/>
              <w:ind w:firstLine="480" w:firstLineChars="200"/>
              <w:rPr>
                <w:rFonts w:hint="default" w:ascii="Times New Roman" w:hAnsi="Times New Roman" w:eastAsia="宋体" w:cs="Times New Roman"/>
                <w:caps w:val="0"/>
                <w:smallCaps w:val="0"/>
                <w:color w:val="auto"/>
                <w:highlight w:val="none"/>
                <w:lang w:val="en-US" w:eastAsia="zh-CN"/>
              </w:rPr>
            </w:pPr>
            <w:r>
              <w:rPr>
                <w:rFonts w:hint="default" w:ascii="Times New Roman" w:hAnsi="Times New Roman" w:eastAsia="宋体" w:cs="Times New Roman"/>
                <w:caps w:val="0"/>
                <w:smallCaps w:val="0"/>
                <w:color w:val="auto"/>
                <w:highlight w:val="none"/>
                <w:lang w:val="en-US" w:eastAsia="zh-CN"/>
              </w:rPr>
              <w:t>根据《固体废物分类与代码目录</w:t>
            </w:r>
            <w:r>
              <w:rPr>
                <w:rFonts w:hint="default" w:ascii="Times New Roman" w:hAnsi="Times New Roman" w:cs="Times New Roman"/>
                <w:color w:val="auto"/>
                <w:sz w:val="24"/>
                <w:szCs w:val="24"/>
                <w:highlight w:val="none"/>
                <w:lang w:val="en-US" w:eastAsia="zh-CN"/>
              </w:rPr>
              <w:t>（2024年）</w:t>
            </w:r>
            <w:r>
              <w:rPr>
                <w:rFonts w:hint="default" w:ascii="Times New Roman" w:hAnsi="Times New Roman" w:eastAsia="宋体" w:cs="Times New Roman"/>
                <w:caps w:val="0"/>
                <w:smallCaps w:val="0"/>
                <w:color w:val="auto"/>
                <w:highlight w:val="none"/>
                <w:lang w:val="en-US" w:eastAsia="zh-CN"/>
              </w:rPr>
              <w:t>》，</w:t>
            </w:r>
            <w:r>
              <w:rPr>
                <w:rFonts w:hint="default" w:ascii="Times New Roman" w:hAnsi="Times New Roman" w:eastAsia="宋体" w:cs="Times New Roman"/>
                <w:color w:val="auto"/>
                <w:sz w:val="24"/>
                <w:szCs w:val="24"/>
                <w:highlight w:val="none"/>
              </w:rPr>
              <w:t>废物种类：</w:t>
            </w:r>
            <w:r>
              <w:rPr>
                <w:rFonts w:hint="eastAsia" w:cs="Times New Roman"/>
                <w:color w:val="auto"/>
                <w:sz w:val="24"/>
                <w:szCs w:val="24"/>
                <w:highlight w:val="none"/>
                <w:lang w:val="en-US" w:eastAsia="zh-CN"/>
              </w:rPr>
              <w:t>SW07污泥</w:t>
            </w:r>
            <w:r>
              <w:rPr>
                <w:rFonts w:hint="eastAsia" w:cs="Times New Roman"/>
                <w:caps w:val="0"/>
                <w:smallCaps w:val="0"/>
                <w:color w:val="auto"/>
                <w:highlight w:val="none"/>
                <w:lang w:val="en-US" w:eastAsia="zh-CN"/>
              </w:rPr>
              <w:t>，</w:t>
            </w:r>
            <w:r>
              <w:rPr>
                <w:rFonts w:hint="default" w:ascii="Times New Roman" w:hAnsi="Times New Roman" w:eastAsia="宋体" w:cs="Times New Roman"/>
                <w:caps w:val="0"/>
                <w:smallCaps w:val="0"/>
                <w:color w:val="auto"/>
                <w:highlight w:val="none"/>
                <w:lang w:val="en-US" w:eastAsia="zh-CN"/>
              </w:rPr>
              <w:t>废物代码为900-099-S07（。其他行业产生的废水处理污泥）。</w:t>
            </w:r>
          </w:p>
          <w:p w14:paraId="168B2CA3">
            <w:pPr>
              <w:pStyle w:val="87"/>
              <w:keepNext w:val="0"/>
              <w:keepLines w:val="0"/>
              <w:pageBreakBefore w:val="0"/>
              <w:numPr>
                <w:ilvl w:val="0"/>
                <w:numId w:val="0"/>
              </w:numPr>
              <w:kinsoku/>
              <w:wordWrap w:val="0"/>
              <w:overflowPunct/>
              <w:topLinePunct w:val="0"/>
              <w:autoSpaceDE/>
              <w:autoSpaceDN/>
              <w:bidi w:val="0"/>
              <w:adjustRightInd/>
              <w:snapToGrid/>
              <w:spacing w:line="360" w:lineRule="auto"/>
              <w:ind w:leftChars="200" w:right="0" w:rightChars="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（3）布袋除尘器收尘</w:t>
            </w:r>
          </w:p>
          <w:p w14:paraId="325DC6B4">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布袋除尘器处理粉尘过程中会产生布袋除尘器收尘</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布袋除尘器</w:t>
            </w:r>
            <w:r>
              <w:rPr>
                <w:rFonts w:hint="default" w:ascii="Times New Roman" w:hAnsi="Times New Roman" w:cs="Times New Roman"/>
                <w:color w:val="auto"/>
                <w:sz w:val="24"/>
                <w:szCs w:val="24"/>
                <w:highlight w:val="none"/>
                <w:lang w:eastAsia="zh-CN"/>
              </w:rPr>
              <w:t>收尘</w:t>
            </w:r>
            <w:r>
              <w:rPr>
                <w:rFonts w:hint="default" w:ascii="Times New Roman" w:hAnsi="Times New Roman" w:cs="Times New Roman"/>
                <w:color w:val="auto"/>
                <w:sz w:val="24"/>
                <w:szCs w:val="24"/>
                <w:highlight w:val="none"/>
                <w:lang w:val="en-US" w:eastAsia="zh-CN"/>
              </w:rPr>
              <w:t>量</w:t>
            </w:r>
            <w:r>
              <w:rPr>
                <w:rFonts w:hint="default" w:ascii="Times New Roman" w:hAnsi="Times New Roman" w:cs="Times New Roman"/>
                <w:color w:val="auto"/>
                <w:sz w:val="24"/>
                <w:szCs w:val="24"/>
                <w:highlight w:val="none"/>
                <w:lang w:eastAsia="zh-CN"/>
              </w:rPr>
              <w:t>约</w:t>
            </w:r>
            <w:r>
              <w:rPr>
                <w:rFonts w:hint="default" w:ascii="Times New Roman" w:hAnsi="Times New Roman" w:cs="Times New Roman"/>
                <w:color w:val="auto"/>
                <w:sz w:val="24"/>
                <w:szCs w:val="24"/>
                <w:highlight w:val="none"/>
                <w:lang w:val="en-US" w:eastAsia="zh-CN"/>
              </w:rPr>
              <w:t>129.195t/a。布袋除尘器收尘经收集后作为产品外售。</w:t>
            </w:r>
          </w:p>
          <w:p w14:paraId="41B55E20">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根据《固体废物分类与代码目录（2024年）》，该废物代码为900-099-S59（其他工业生产过程中产生的固体废物）。</w:t>
            </w:r>
          </w:p>
          <w:p w14:paraId="05CC91F0">
            <w:pP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（4）废布袋</w:t>
            </w:r>
          </w:p>
          <w:p w14:paraId="6D38D620">
            <w:pPr>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项目布袋除尘器处理粉尘废气需定时更换，会产生废布袋，产生量约为0.02t/a，</w:t>
            </w:r>
            <w:r>
              <w:rPr>
                <w:rFonts w:hint="default" w:ascii="Times New Roman" w:hAnsi="Times New Roman" w:cs="Times New Roman"/>
                <w:b w:val="0"/>
                <w:bCs w:val="0"/>
                <w:color w:val="auto"/>
                <w:highlight w:val="none"/>
                <w:lang w:val="en-US" w:eastAsia="zh-CN"/>
              </w:rPr>
              <w:t>废布袋</w:t>
            </w:r>
            <w:r>
              <w:rPr>
                <w:rFonts w:hint="default" w:ascii="Times New Roman" w:hAnsi="Times New Roman" w:eastAsia="宋体" w:cs="Times New Roman"/>
                <w:b w:val="0"/>
                <w:bCs/>
                <w:color w:val="auto"/>
                <w:sz w:val="24"/>
                <w:szCs w:val="24"/>
                <w:highlight w:val="none"/>
                <w:lang w:val="en-US" w:eastAsia="zh-CN"/>
              </w:rPr>
              <w:t>经收集后交由厂家回收处理。</w:t>
            </w:r>
          </w:p>
          <w:p w14:paraId="18444101">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highlight w:val="none"/>
              </w:rPr>
              <w:t>根据《固体废物分类与代码名录</w:t>
            </w:r>
            <w:r>
              <w:rPr>
                <w:rFonts w:hint="default" w:ascii="Times New Roman" w:hAnsi="Times New Roman" w:cs="Times New Roman"/>
                <w:color w:val="auto"/>
                <w:sz w:val="24"/>
                <w:szCs w:val="24"/>
                <w:highlight w:val="none"/>
                <w:lang w:val="en-US" w:eastAsia="zh-CN"/>
              </w:rPr>
              <w:t>（2024年）</w:t>
            </w:r>
            <w:r>
              <w:rPr>
                <w:rFonts w:hint="default" w:ascii="Times New Roman" w:hAnsi="Times New Roman" w:cs="Times New Roman"/>
                <w:color w:val="auto"/>
                <w:highlight w:val="none"/>
              </w:rPr>
              <w:t>》</w:t>
            </w:r>
            <w:r>
              <w:rPr>
                <w:rFonts w:hint="default" w:ascii="Times New Roman" w:hAnsi="Times New Roman" w:eastAsia="宋体" w:cs="Times New Roman"/>
                <w:b w:val="0"/>
                <w:bCs/>
                <w:color w:val="auto"/>
                <w:sz w:val="24"/>
                <w:szCs w:val="24"/>
                <w:highlight w:val="none"/>
                <w:lang w:val="en-US" w:eastAsia="zh-CN"/>
              </w:rPr>
              <w:t>，废布袋属于SW59其他工业固体废物，废物分类代码为：900-009-S59。</w:t>
            </w:r>
          </w:p>
          <w:p w14:paraId="5643FA27">
            <w:pPr>
              <w:adjustRightInd w:val="0"/>
              <w:ind w:firstLine="482"/>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w:t>
            </w:r>
            <w:r>
              <w:rPr>
                <w:rFonts w:hint="default" w:ascii="Times New Roman" w:hAnsi="Times New Roman" w:cs="Times New Roman"/>
                <w:b/>
                <w:color w:val="auto"/>
                <w:kern w:val="0"/>
                <w:szCs w:val="21"/>
                <w:highlight w:val="none"/>
                <w:lang w:val="en-US" w:eastAsia="zh-CN"/>
              </w:rPr>
              <w:t>5</w:t>
            </w:r>
            <w:r>
              <w:rPr>
                <w:rFonts w:hint="default" w:ascii="Times New Roman" w:hAnsi="Times New Roman" w:cs="Times New Roman"/>
                <w:b/>
                <w:color w:val="auto"/>
                <w:kern w:val="0"/>
                <w:szCs w:val="21"/>
                <w:highlight w:val="none"/>
              </w:rPr>
              <w:t>）生活垃圾</w:t>
            </w:r>
          </w:p>
          <w:p w14:paraId="1DBA2B1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本项目员工人数为</w:t>
            </w:r>
            <w:r>
              <w:rPr>
                <w:rFonts w:hint="default" w:ascii="Times New Roman" w:hAnsi="Times New Roman"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rPr>
              <w:t>人，</w:t>
            </w:r>
            <w:r>
              <w:rPr>
                <w:rFonts w:hint="default" w:ascii="Times New Roman" w:hAnsi="Times New Roman" w:eastAsia="宋体" w:cs="Times New Roman"/>
                <w:color w:val="auto"/>
                <w:sz w:val="24"/>
                <w:szCs w:val="24"/>
                <w:highlight w:val="none"/>
                <w:lang w:val="en-US" w:eastAsia="zh-CN"/>
              </w:rPr>
              <w:t>在项目区内食宿，根据</w:t>
            </w:r>
            <w:r>
              <w:rPr>
                <w:rFonts w:hint="default" w:ascii="Times New Roman" w:hAnsi="Times New Roman" w:eastAsia="宋体" w:cs="Times New Roman"/>
                <w:color w:val="auto"/>
                <w:sz w:val="24"/>
                <w:szCs w:val="24"/>
                <w:highlight w:val="none"/>
              </w:rPr>
              <w:t>第一次全国污染源普查城镇生活源产排污系数手册</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生活垃圾量按每人每天1kg计算，年生产</w:t>
            </w:r>
            <w:r>
              <w:rPr>
                <w:rFonts w:hint="default" w:ascii="Times New Roman" w:hAnsi="Times New Roman" w:eastAsia="宋体"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天，则生活垃圾产生量为</w:t>
            </w:r>
            <w:r>
              <w:rPr>
                <w:rFonts w:hint="default" w:ascii="Times New Roman" w:hAnsi="Times New Roman" w:cs="Times New Roman"/>
                <w:color w:val="auto"/>
                <w:sz w:val="24"/>
                <w:szCs w:val="24"/>
                <w:highlight w:val="none"/>
                <w:lang w:val="en-US" w:eastAsia="zh-CN"/>
              </w:rPr>
              <w:t>3.6</w:t>
            </w:r>
            <w:r>
              <w:rPr>
                <w:rFonts w:hint="default"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szCs w:val="24"/>
                <w:highlight w:val="none"/>
                <w:lang w:val="en-US" w:eastAsia="zh-CN"/>
              </w:rPr>
              <w:t>本次评价提出</w:t>
            </w:r>
            <w:r>
              <w:rPr>
                <w:rFonts w:hint="default" w:ascii="Times New Roman" w:hAnsi="Times New Roman" w:eastAsia="宋体" w:cs="Times New Roman"/>
                <w:color w:val="auto"/>
                <w:sz w:val="24"/>
                <w:szCs w:val="24"/>
                <w:highlight w:val="none"/>
              </w:rPr>
              <w:t>项目生活垃圾统一收集</w:t>
            </w:r>
            <w:r>
              <w:rPr>
                <w:rFonts w:hint="default" w:ascii="Times New Roman" w:hAnsi="Times New Roman" w:eastAsia="宋体" w:cs="Times New Roman"/>
                <w:color w:val="auto"/>
                <w:sz w:val="24"/>
                <w:szCs w:val="24"/>
                <w:highlight w:val="none"/>
                <w:lang w:val="en-US" w:eastAsia="zh-CN"/>
              </w:rPr>
              <w:t>后</w:t>
            </w:r>
            <w:r>
              <w:rPr>
                <w:rFonts w:hint="default" w:ascii="Times New Roman" w:hAnsi="Times New Roman" w:eastAsia="宋体" w:cs="Times New Roman"/>
                <w:color w:val="auto"/>
                <w:sz w:val="24"/>
                <w:szCs w:val="24"/>
                <w:highlight w:val="none"/>
              </w:rPr>
              <w:t>由环卫部门</w:t>
            </w:r>
            <w:r>
              <w:rPr>
                <w:rFonts w:hint="default" w:ascii="Times New Roman" w:hAnsi="Times New Roman" w:eastAsia="宋体" w:cs="Times New Roman"/>
                <w:color w:val="auto"/>
                <w:sz w:val="24"/>
                <w:szCs w:val="24"/>
                <w:highlight w:val="none"/>
                <w:lang w:val="en-US" w:eastAsia="zh-CN"/>
              </w:rPr>
              <w:t>清运处置</w:t>
            </w:r>
            <w:r>
              <w:rPr>
                <w:rFonts w:hint="default" w:ascii="Times New Roman" w:hAnsi="Times New Roman" w:eastAsia="宋体" w:cs="Times New Roman"/>
                <w:color w:val="auto"/>
                <w:sz w:val="24"/>
                <w:szCs w:val="24"/>
                <w:highlight w:val="none"/>
              </w:rPr>
              <w:t>。</w:t>
            </w:r>
          </w:p>
          <w:p w14:paraId="6AF5C22E">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根据《固体废物分类与代码目录</w:t>
            </w:r>
            <w:r>
              <w:rPr>
                <w:rFonts w:hint="default" w:ascii="Times New Roman" w:hAnsi="Times New Roman" w:cs="Times New Roman"/>
                <w:color w:val="auto"/>
                <w:sz w:val="24"/>
                <w:szCs w:val="24"/>
                <w:highlight w:val="none"/>
                <w:lang w:val="en-US" w:eastAsia="zh-CN"/>
              </w:rPr>
              <w:t>（2024年）</w:t>
            </w:r>
            <w:r>
              <w:rPr>
                <w:rFonts w:hint="default" w:ascii="Times New Roman" w:hAnsi="Times New Roman" w:eastAsia="宋体" w:cs="Times New Roman"/>
                <w:color w:val="auto"/>
                <w:sz w:val="24"/>
                <w:szCs w:val="24"/>
                <w:highlight w:val="none"/>
              </w:rPr>
              <w:t>》，废物种类：SW64其他垃圾，分类代码为：900-099-S64</w:t>
            </w:r>
            <w:r>
              <w:rPr>
                <w:rFonts w:hint="default" w:ascii="Times New Roman" w:hAnsi="Times New Roman" w:eastAsia="宋体" w:cs="Times New Roman"/>
                <w:color w:val="auto"/>
                <w:sz w:val="24"/>
                <w:szCs w:val="24"/>
                <w:highlight w:val="none"/>
                <w:lang w:eastAsia="zh-CN"/>
              </w:rPr>
              <w:t>。</w:t>
            </w:r>
          </w:p>
          <w:p w14:paraId="27C477C3">
            <w:pPr>
              <w:adjustRightInd w:val="0"/>
              <w:ind w:firstLine="482"/>
              <w:rPr>
                <w:rFonts w:hint="default" w:ascii="Times New Roman" w:hAnsi="Times New Roman" w:cs="Times New Roman"/>
                <w:b/>
                <w:color w:val="auto"/>
                <w:kern w:val="0"/>
                <w:szCs w:val="21"/>
                <w:highlight w:val="none"/>
                <w:lang w:val="en-US" w:eastAsia="zh-CN"/>
              </w:rPr>
            </w:pPr>
            <w:r>
              <w:rPr>
                <w:rFonts w:hint="eastAsia" w:ascii="Times New Roman" w:hAnsi="Times New Roman" w:cs="Times New Roman"/>
                <w:b/>
                <w:color w:val="auto"/>
                <w:kern w:val="0"/>
                <w:szCs w:val="21"/>
                <w:highlight w:val="none"/>
                <w:lang w:eastAsia="zh-CN"/>
              </w:rPr>
              <w:t>（</w:t>
            </w:r>
            <w:r>
              <w:rPr>
                <w:rFonts w:hint="eastAsia" w:ascii="Times New Roman" w:hAnsi="Times New Roman" w:cs="Times New Roman"/>
                <w:b/>
                <w:color w:val="auto"/>
                <w:kern w:val="0"/>
                <w:szCs w:val="21"/>
                <w:highlight w:val="none"/>
                <w:lang w:val="en-US" w:eastAsia="zh-CN"/>
              </w:rPr>
              <w:t>6</w:t>
            </w:r>
            <w:r>
              <w:rPr>
                <w:rFonts w:hint="eastAsia" w:ascii="Times New Roman" w:hAnsi="Times New Roman" w:cs="Times New Roman"/>
                <w:b/>
                <w:color w:val="auto"/>
                <w:kern w:val="0"/>
                <w:szCs w:val="21"/>
                <w:highlight w:val="none"/>
                <w:lang w:eastAsia="zh-CN"/>
              </w:rPr>
              <w:t>）</w:t>
            </w:r>
            <w:r>
              <w:rPr>
                <w:rFonts w:hint="eastAsia" w:cs="Times New Roman"/>
                <w:b/>
                <w:color w:val="auto"/>
                <w:kern w:val="0"/>
                <w:szCs w:val="21"/>
                <w:highlight w:val="none"/>
                <w:lang w:val="en-US" w:eastAsia="zh-CN"/>
              </w:rPr>
              <w:t>化粪池污泥</w:t>
            </w:r>
          </w:p>
          <w:p w14:paraId="33BBFA9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项目化粪池污泥</w:t>
            </w:r>
            <w:r>
              <w:rPr>
                <w:rFonts w:hint="eastAsia" w:cs="Times New Roman"/>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产生量约为</w:t>
            </w:r>
            <w:r>
              <w:rPr>
                <w:rFonts w:hint="eastAsia" w:cs="Times New Roman"/>
                <w:b w:val="0"/>
                <w:bCs/>
                <w:color w:val="auto"/>
                <w:sz w:val="24"/>
                <w:szCs w:val="24"/>
                <w:highlight w:val="none"/>
                <w:lang w:val="en-US" w:eastAsia="zh-CN"/>
              </w:rPr>
              <w:t>0.0346</w:t>
            </w:r>
            <w:r>
              <w:rPr>
                <w:rFonts w:hint="default" w:ascii="Times New Roman" w:hAnsi="Times New Roman" w:eastAsia="宋体" w:cs="Times New Roman"/>
                <w:b w:val="0"/>
                <w:bCs/>
                <w:color w:val="auto"/>
                <w:sz w:val="24"/>
                <w:szCs w:val="24"/>
                <w:highlight w:val="none"/>
                <w:lang w:val="en-US" w:eastAsia="zh-CN"/>
              </w:rPr>
              <w:t>t/a</w:t>
            </w:r>
            <w:r>
              <w:rPr>
                <w:rFonts w:hint="eastAsia" w:cs="Times New Roman"/>
                <w:b w:val="0"/>
                <w:bCs/>
                <w:color w:val="auto"/>
                <w:sz w:val="24"/>
                <w:szCs w:val="24"/>
                <w:highlight w:val="none"/>
                <w:lang w:val="en-US" w:eastAsia="zh-CN"/>
              </w:rPr>
              <w:t>，定期清掏用作农肥。</w:t>
            </w:r>
            <w:r>
              <w:rPr>
                <w:rFonts w:hint="default" w:ascii="Times New Roman" w:hAnsi="Times New Roman" w:eastAsia="宋体" w:cs="Times New Roman"/>
                <w:color w:val="auto"/>
                <w:sz w:val="24"/>
                <w:szCs w:val="24"/>
                <w:highlight w:val="none"/>
              </w:rPr>
              <w:t>根据《固体废物分类与代码目录</w:t>
            </w:r>
            <w:r>
              <w:rPr>
                <w:rFonts w:hint="default" w:ascii="Times New Roman" w:hAnsi="Times New Roman" w:cs="Times New Roman"/>
                <w:color w:val="auto"/>
                <w:sz w:val="24"/>
                <w:szCs w:val="24"/>
                <w:highlight w:val="none"/>
                <w:lang w:val="en-US" w:eastAsia="zh-CN"/>
              </w:rPr>
              <w:t>（2024年）</w:t>
            </w:r>
            <w:r>
              <w:rPr>
                <w:rFonts w:hint="default" w:ascii="Times New Roman" w:hAnsi="Times New Roman" w:eastAsia="宋体" w:cs="Times New Roman"/>
                <w:color w:val="auto"/>
                <w:sz w:val="24"/>
                <w:szCs w:val="24"/>
                <w:highlight w:val="none"/>
              </w:rPr>
              <w:t>》，废物种类：SW64其他垃圾，分类代码为：900-0</w:t>
            </w:r>
            <w:r>
              <w:rPr>
                <w:rFonts w:hint="eastAsia" w:cs="Times New Roman"/>
                <w:color w:val="auto"/>
                <w:sz w:val="24"/>
                <w:szCs w:val="24"/>
                <w:highlight w:val="none"/>
                <w:lang w:val="en-US" w:eastAsia="zh-CN"/>
              </w:rPr>
              <w:t>02</w:t>
            </w:r>
            <w:r>
              <w:rPr>
                <w:rFonts w:hint="default" w:ascii="Times New Roman" w:hAnsi="Times New Roman" w:eastAsia="宋体" w:cs="Times New Roman"/>
                <w:color w:val="auto"/>
                <w:sz w:val="24"/>
                <w:szCs w:val="24"/>
                <w:highlight w:val="none"/>
              </w:rPr>
              <w:t>-S64</w:t>
            </w:r>
            <w:r>
              <w:rPr>
                <w:rFonts w:hint="default" w:ascii="Times New Roman" w:hAnsi="Times New Roman" w:eastAsia="宋体" w:cs="Times New Roman"/>
                <w:color w:val="auto"/>
                <w:sz w:val="24"/>
                <w:szCs w:val="24"/>
                <w:highlight w:val="none"/>
                <w:lang w:eastAsia="zh-CN"/>
              </w:rPr>
              <w:t>。</w:t>
            </w:r>
          </w:p>
          <w:p w14:paraId="5AC865C7">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2、危险废物</w:t>
            </w:r>
          </w:p>
          <w:p w14:paraId="11CB5C75">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fldChar w:fldCharType="begin"/>
            </w:r>
            <w:r>
              <w:rPr>
                <w:rFonts w:hint="default" w:ascii="Times New Roman" w:hAnsi="Times New Roman" w:eastAsia="宋体" w:cs="Times New Roman"/>
                <w:b/>
                <w:bCs/>
                <w:color w:val="auto"/>
                <w:sz w:val="24"/>
                <w:szCs w:val="24"/>
                <w:highlight w:val="none"/>
              </w:rPr>
              <w:instrText xml:space="preserve"> = 1 \* GB3 \* MERGEFORMAT </w:instrText>
            </w:r>
            <w:r>
              <w:rPr>
                <w:rFonts w:hint="default" w:ascii="Times New Roman" w:hAnsi="Times New Roman" w:eastAsia="宋体" w:cs="Times New Roman"/>
                <w:b/>
                <w:bCs/>
                <w:color w:val="auto"/>
                <w:sz w:val="24"/>
                <w:szCs w:val="24"/>
                <w:highlight w:val="none"/>
              </w:rPr>
              <w:fldChar w:fldCharType="separate"/>
            </w:r>
            <w:r>
              <w:rPr>
                <w:rFonts w:hint="default" w:ascii="Times New Roman" w:hAnsi="Times New Roman" w:eastAsia="宋体" w:cs="Times New Roman"/>
                <w:b/>
                <w:bCs/>
                <w:color w:val="auto"/>
                <w:sz w:val="24"/>
                <w:szCs w:val="24"/>
                <w:highlight w:val="none"/>
              </w:rPr>
              <w:t>①</w:t>
            </w:r>
            <w:r>
              <w:rPr>
                <w:rFonts w:hint="default" w:ascii="Times New Roman" w:hAnsi="Times New Roman" w:eastAsia="宋体" w:cs="Times New Roman"/>
                <w:b/>
                <w:bCs/>
                <w:color w:val="auto"/>
                <w:sz w:val="24"/>
                <w:szCs w:val="24"/>
                <w:highlight w:val="none"/>
              </w:rPr>
              <w:fldChar w:fldCharType="end"/>
            </w:r>
            <w:r>
              <w:rPr>
                <w:rFonts w:hint="default" w:ascii="Times New Roman" w:hAnsi="Times New Roman" w:eastAsia="宋体" w:cs="Times New Roman"/>
                <w:b/>
                <w:bCs/>
                <w:color w:val="auto"/>
                <w:sz w:val="24"/>
                <w:szCs w:val="24"/>
                <w:highlight w:val="none"/>
              </w:rPr>
              <w:t>废</w:t>
            </w:r>
            <w:r>
              <w:rPr>
                <w:rFonts w:hint="default" w:ascii="Times New Roman" w:hAnsi="Times New Roman" w:eastAsia="宋体" w:cs="Times New Roman"/>
                <w:b/>
                <w:bCs/>
                <w:color w:val="auto"/>
                <w:sz w:val="24"/>
                <w:szCs w:val="24"/>
                <w:highlight w:val="none"/>
                <w:lang w:val="en-US" w:eastAsia="zh-CN"/>
              </w:rPr>
              <w:t>机油</w:t>
            </w:r>
          </w:p>
          <w:p w14:paraId="63A129A5">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废机油</w:t>
            </w:r>
            <w:r>
              <w:rPr>
                <w:rFonts w:hint="default" w:ascii="Times New Roman" w:hAnsi="Times New Roman" w:eastAsia="宋体" w:cs="Times New Roman"/>
                <w:color w:val="auto"/>
                <w:sz w:val="24"/>
                <w:szCs w:val="24"/>
                <w:highlight w:val="none"/>
              </w:rPr>
              <w:t>主要</w:t>
            </w:r>
            <w:r>
              <w:rPr>
                <w:rFonts w:hint="default" w:ascii="Times New Roman" w:hAnsi="Times New Roman" w:cs="Times New Roman"/>
                <w:color w:val="auto"/>
                <w:sz w:val="24"/>
                <w:szCs w:val="24"/>
                <w:highlight w:val="none"/>
                <w:lang w:eastAsia="zh-CN"/>
              </w:rPr>
              <w:t>来自</w:t>
            </w:r>
            <w:r>
              <w:rPr>
                <w:rFonts w:hint="default" w:ascii="Times New Roman" w:hAnsi="Times New Roman" w:eastAsia="宋体" w:cs="Times New Roman"/>
                <w:color w:val="auto"/>
                <w:sz w:val="24"/>
                <w:szCs w:val="24"/>
                <w:highlight w:val="none"/>
              </w:rPr>
              <w:t>项目设备润滑系统换油及设备维修过程，废机油</w:t>
            </w:r>
            <w:r>
              <w:rPr>
                <w:rFonts w:hint="default" w:ascii="Times New Roman" w:hAnsi="Times New Roman" w:eastAsia="宋体" w:cs="Times New Roman"/>
                <w:color w:val="auto"/>
                <w:sz w:val="24"/>
                <w:szCs w:val="24"/>
                <w:highlight w:val="none"/>
                <w:lang w:val="en-US" w:eastAsia="zh-CN"/>
              </w:rPr>
              <w:t>产生量约</w:t>
            </w:r>
            <w:r>
              <w:rPr>
                <w:rFonts w:hint="default" w:ascii="Times New Roman" w:hAnsi="Times New Roman" w:eastAsia="宋体" w:cs="Times New Roman"/>
                <w:color w:val="auto"/>
                <w:sz w:val="24"/>
                <w:szCs w:val="24"/>
                <w:highlight w:val="none"/>
              </w:rPr>
              <w:t>0.</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rPr>
              <w:t>t/a ，按照《国家危险废物名录》</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202</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年版</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，废机油属于危险废物名录中“HW08 废矿物油及含矿物油废物”，废物代码为900-214-08。项目废机油使用</w:t>
            </w:r>
            <w:r>
              <w:rPr>
                <w:rFonts w:hint="default" w:ascii="Times New Roman" w:hAnsi="Times New Roman" w:eastAsia="宋体" w:cs="Times New Roman"/>
                <w:color w:val="auto"/>
                <w:sz w:val="24"/>
                <w:szCs w:val="24"/>
                <w:highlight w:val="none"/>
                <w:lang w:val="en-US" w:eastAsia="zh-CN"/>
              </w:rPr>
              <w:t>废油桶</w:t>
            </w:r>
            <w:r>
              <w:rPr>
                <w:rFonts w:hint="default" w:ascii="Times New Roman" w:hAnsi="Times New Roman" w:eastAsia="宋体" w:cs="Times New Roman"/>
                <w:color w:val="auto"/>
                <w:sz w:val="24"/>
                <w:szCs w:val="24"/>
                <w:highlight w:val="none"/>
              </w:rPr>
              <w:t>收集后</w:t>
            </w:r>
            <w:r>
              <w:rPr>
                <w:rFonts w:hint="default" w:ascii="Times New Roman" w:hAnsi="Times New Roman" w:eastAsia="宋体" w:cs="Times New Roman"/>
                <w:color w:val="auto"/>
                <w:sz w:val="24"/>
                <w:szCs w:val="24"/>
                <w:highlight w:val="none"/>
                <w:lang w:val="en-US" w:eastAsia="zh-CN"/>
              </w:rPr>
              <w:t>暂存</w:t>
            </w:r>
            <w:r>
              <w:rPr>
                <w:rFonts w:hint="default" w:ascii="Times New Roman" w:hAnsi="Times New Roman" w:eastAsia="宋体" w:cs="Times New Roman"/>
                <w:color w:val="auto"/>
                <w:sz w:val="24"/>
                <w:szCs w:val="24"/>
                <w:highlight w:val="none"/>
              </w:rPr>
              <w:t>于危废暂存间，委托有资质单位定期清运处置。</w:t>
            </w:r>
          </w:p>
          <w:p w14:paraId="229FC27B">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②废含油抹布及手套</w:t>
            </w:r>
          </w:p>
          <w:p w14:paraId="53DCEE02">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项目设备润滑系统换油及设备维修过程</w:t>
            </w:r>
            <w:r>
              <w:rPr>
                <w:rFonts w:hint="default" w:ascii="Times New Roman" w:hAnsi="Times New Roman" w:eastAsia="宋体" w:cs="Times New Roman"/>
                <w:color w:val="auto"/>
                <w:sz w:val="24"/>
                <w:szCs w:val="24"/>
                <w:highlight w:val="none"/>
                <w:lang w:val="en-US" w:eastAsia="zh-CN"/>
              </w:rPr>
              <w:t>中</w:t>
            </w:r>
            <w:r>
              <w:rPr>
                <w:rFonts w:hint="default" w:ascii="Times New Roman" w:hAnsi="Times New Roman" w:eastAsia="宋体" w:cs="Times New Roman"/>
                <w:color w:val="auto"/>
                <w:sz w:val="24"/>
                <w:szCs w:val="24"/>
                <w:highlight w:val="none"/>
              </w:rPr>
              <w:t>工作人员工作使用的</w:t>
            </w:r>
            <w:r>
              <w:rPr>
                <w:rFonts w:hint="default" w:ascii="Times New Roman" w:hAnsi="Times New Roman" w:eastAsia="宋体" w:cs="Times New Roman"/>
                <w:color w:val="auto"/>
                <w:sz w:val="24"/>
                <w:szCs w:val="24"/>
                <w:highlight w:val="none"/>
                <w:lang w:val="en-US" w:eastAsia="zh-CN"/>
              </w:rPr>
              <w:t>废含油抹布及手套，产生量约为0.01t/a。根据《国家危险废物名录》（2025年版），废含油抹布及手套属于危险废物名录中“HW08废矿物油与含矿物油废物，废物代码900-249-08。废含油抹布及手套收集后暂存于危废暂存间，委托有资质单位定期清运处置。</w:t>
            </w:r>
          </w:p>
          <w:p w14:paraId="64D76974">
            <w:pPr>
              <w:ind w:firstLine="480"/>
              <w:rPr>
                <w:rFonts w:hint="default" w:ascii="Times New Roman" w:hAnsi="Times New Roman" w:cs="Times New Roman"/>
                <w:color w:val="auto"/>
                <w:szCs w:val="24"/>
                <w:highlight w:val="none"/>
              </w:rPr>
            </w:pPr>
            <w:r>
              <w:rPr>
                <w:rFonts w:hint="default" w:ascii="Times New Roman" w:hAnsi="Times New Roman" w:cs="Times New Roman"/>
                <w:bCs/>
                <w:color w:val="auto"/>
                <w:kern w:val="0"/>
                <w:szCs w:val="21"/>
                <w:highlight w:val="none"/>
              </w:rPr>
              <w:t>项目运营期固废处置率为100%，对周边环境影响较小</w:t>
            </w:r>
            <w:bookmarkStart w:id="29" w:name="OLE_LINK10"/>
            <w:r>
              <w:rPr>
                <w:rFonts w:hint="default" w:ascii="Times New Roman" w:hAnsi="Times New Roman" w:cs="Times New Roman"/>
                <w:color w:val="auto"/>
                <w:szCs w:val="24"/>
                <w:highlight w:val="none"/>
              </w:rPr>
              <w:t>。</w:t>
            </w:r>
          </w:p>
          <w:p w14:paraId="36F5627B">
            <w:pPr>
              <w:adjustRightInd w:val="0"/>
              <w:spacing w:line="240" w:lineRule="auto"/>
              <w:ind w:firstLine="0" w:firstLineChars="0"/>
              <w:jc w:val="center"/>
              <w:rPr>
                <w:rFonts w:hint="default" w:ascii="Times New Roman" w:hAnsi="Times New Roman" w:cs="Times New Roman"/>
                <w:b/>
                <w:bCs/>
                <w:color w:val="auto"/>
                <w:kern w:val="0"/>
                <w:sz w:val="18"/>
                <w:szCs w:val="18"/>
                <w:highlight w:val="none"/>
              </w:rPr>
            </w:pPr>
            <w:r>
              <w:rPr>
                <w:rFonts w:hint="default" w:ascii="Times New Roman" w:hAnsi="Times New Roman" w:cs="Times New Roman"/>
                <w:b/>
                <w:bCs/>
                <w:color w:val="auto"/>
                <w:kern w:val="0"/>
                <w:sz w:val="18"/>
                <w:szCs w:val="18"/>
                <w:highlight w:val="none"/>
              </w:rPr>
              <w:t>表4-</w:t>
            </w:r>
            <w:r>
              <w:rPr>
                <w:rFonts w:hint="eastAsia" w:cs="Times New Roman"/>
                <w:b/>
                <w:bCs/>
                <w:color w:val="auto"/>
                <w:kern w:val="0"/>
                <w:sz w:val="18"/>
                <w:szCs w:val="18"/>
                <w:highlight w:val="none"/>
                <w:lang w:val="en-US" w:eastAsia="zh-CN"/>
              </w:rPr>
              <w:t>20</w:t>
            </w:r>
            <w:r>
              <w:rPr>
                <w:rFonts w:hint="default" w:ascii="Times New Roman" w:hAnsi="Times New Roman" w:cs="Times New Roman"/>
                <w:b/>
                <w:bCs/>
                <w:color w:val="auto"/>
                <w:kern w:val="0"/>
                <w:sz w:val="18"/>
                <w:szCs w:val="18"/>
                <w:highlight w:val="none"/>
              </w:rPr>
              <w:t xml:space="preserve"> 项目运营期固体废弃物产生及处置情况</w:t>
            </w:r>
          </w:p>
          <w:bookmarkEnd w:id="29"/>
          <w:tbl>
            <w:tblPr>
              <w:tblStyle w:val="31"/>
              <w:tblW w:w="78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692"/>
              <w:gridCol w:w="1120"/>
              <w:gridCol w:w="906"/>
              <w:gridCol w:w="1222"/>
              <w:gridCol w:w="1148"/>
              <w:gridCol w:w="1688"/>
            </w:tblGrid>
            <w:tr w14:paraId="71E9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86" w:type="pct"/>
                  <w:noWrap w:val="0"/>
                  <w:vAlign w:val="center"/>
                </w:tcPr>
                <w:p w14:paraId="53FC7E7F">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固废名称</w:t>
                  </w:r>
                </w:p>
              </w:tc>
              <w:tc>
                <w:tcPr>
                  <w:tcW w:w="440" w:type="pct"/>
                  <w:noWrap w:val="0"/>
                  <w:vAlign w:val="center"/>
                </w:tcPr>
                <w:p w14:paraId="2B31A7B6">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性质判断</w:t>
                  </w:r>
                </w:p>
              </w:tc>
              <w:tc>
                <w:tcPr>
                  <w:tcW w:w="712" w:type="pct"/>
                  <w:noWrap w:val="0"/>
                  <w:vAlign w:val="center"/>
                </w:tcPr>
                <w:p w14:paraId="5104F862">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废物类别</w:t>
                  </w:r>
                </w:p>
              </w:tc>
              <w:tc>
                <w:tcPr>
                  <w:tcW w:w="576" w:type="pct"/>
                  <w:noWrap w:val="0"/>
                  <w:vAlign w:val="center"/>
                </w:tcPr>
                <w:p w14:paraId="69585068">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废物代码</w:t>
                  </w:r>
                </w:p>
              </w:tc>
              <w:tc>
                <w:tcPr>
                  <w:tcW w:w="777" w:type="pct"/>
                  <w:noWrap w:val="0"/>
                  <w:vAlign w:val="center"/>
                </w:tcPr>
                <w:p w14:paraId="1CEEB531">
                  <w:pPr>
                    <w:pStyle w:val="74"/>
                    <w:bidi w:val="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物理性状</w:t>
                  </w:r>
                </w:p>
              </w:tc>
              <w:tc>
                <w:tcPr>
                  <w:tcW w:w="730" w:type="pct"/>
                  <w:noWrap w:val="0"/>
                  <w:vAlign w:val="center"/>
                </w:tcPr>
                <w:p w14:paraId="44B435F8">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产生量（t/a）</w:t>
                  </w:r>
                </w:p>
              </w:tc>
              <w:tc>
                <w:tcPr>
                  <w:tcW w:w="1074" w:type="pct"/>
                  <w:noWrap w:val="0"/>
                  <w:vAlign w:val="center"/>
                </w:tcPr>
                <w:p w14:paraId="39FFC615">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处理方式</w:t>
                  </w:r>
                </w:p>
              </w:tc>
            </w:tr>
            <w:tr w14:paraId="75B7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686" w:type="pct"/>
                  <w:noWrap w:val="0"/>
                  <w:vAlign w:val="center"/>
                </w:tcPr>
                <w:p w14:paraId="03A6A09D">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废机油</w:t>
                  </w:r>
                </w:p>
              </w:tc>
              <w:tc>
                <w:tcPr>
                  <w:tcW w:w="440" w:type="pct"/>
                  <w:vMerge w:val="restart"/>
                  <w:noWrap w:val="0"/>
                  <w:vAlign w:val="center"/>
                </w:tcPr>
                <w:p w14:paraId="64E378D9">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危险废物</w:t>
                  </w:r>
                </w:p>
              </w:tc>
              <w:tc>
                <w:tcPr>
                  <w:tcW w:w="712" w:type="pct"/>
                  <w:vMerge w:val="restart"/>
                  <w:noWrap w:val="0"/>
                  <w:vAlign w:val="center"/>
                </w:tcPr>
                <w:p w14:paraId="1808D91F">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HW08 废矿物油与含矿物油废物</w:t>
                  </w:r>
                </w:p>
              </w:tc>
              <w:tc>
                <w:tcPr>
                  <w:tcW w:w="576" w:type="pct"/>
                  <w:noWrap w:val="0"/>
                  <w:vAlign w:val="center"/>
                </w:tcPr>
                <w:p w14:paraId="68590FE9">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900-214-08</w:t>
                  </w:r>
                </w:p>
              </w:tc>
              <w:tc>
                <w:tcPr>
                  <w:tcW w:w="777" w:type="pct"/>
                  <w:noWrap w:val="0"/>
                  <w:vAlign w:val="center"/>
                </w:tcPr>
                <w:p w14:paraId="3C306FA1">
                  <w:pPr>
                    <w:pStyle w:val="74"/>
                    <w:bidi w:val="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液态</w:t>
                  </w:r>
                </w:p>
              </w:tc>
              <w:tc>
                <w:tcPr>
                  <w:tcW w:w="730" w:type="pct"/>
                  <w:noWrap w:val="0"/>
                  <w:vAlign w:val="center"/>
                </w:tcPr>
                <w:p w14:paraId="5130E0A4">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0.</w:t>
                  </w:r>
                  <w:r>
                    <w:rPr>
                      <w:rFonts w:hint="eastAsia" w:cs="Times New Roman"/>
                      <w:b w:val="0"/>
                      <w:bCs w:val="0"/>
                      <w:color w:val="auto"/>
                      <w:highlight w:val="none"/>
                      <w:lang w:val="en-US" w:eastAsia="zh-CN"/>
                    </w:rPr>
                    <w:t>2</w:t>
                  </w:r>
                </w:p>
              </w:tc>
              <w:tc>
                <w:tcPr>
                  <w:tcW w:w="1074" w:type="pct"/>
                  <w:vMerge w:val="restart"/>
                  <w:noWrap w:val="0"/>
                  <w:vAlign w:val="center"/>
                </w:tcPr>
                <w:p w14:paraId="66622126">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暂存于危废暂存间，委托有资质单位清运处置</w:t>
                  </w:r>
                </w:p>
              </w:tc>
            </w:tr>
            <w:tr w14:paraId="44FE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686" w:type="pct"/>
                  <w:noWrap w:val="0"/>
                  <w:vAlign w:val="center"/>
                </w:tcPr>
                <w:p w14:paraId="0F8F06CF">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废弃的含油抹布、劳保用品</w:t>
                  </w:r>
                </w:p>
              </w:tc>
              <w:tc>
                <w:tcPr>
                  <w:tcW w:w="440" w:type="pct"/>
                  <w:vMerge w:val="continue"/>
                  <w:noWrap w:val="0"/>
                  <w:vAlign w:val="center"/>
                </w:tcPr>
                <w:p w14:paraId="52F11A3E">
                  <w:pPr>
                    <w:pStyle w:val="74"/>
                    <w:bidi w:val="0"/>
                    <w:rPr>
                      <w:rFonts w:hint="default" w:ascii="Times New Roman" w:hAnsi="Times New Roman" w:cs="Times New Roman"/>
                      <w:b w:val="0"/>
                      <w:bCs w:val="0"/>
                      <w:color w:val="auto"/>
                      <w:highlight w:val="none"/>
                      <w:lang w:val="en-US" w:eastAsia="zh-CN"/>
                    </w:rPr>
                  </w:pPr>
                </w:p>
              </w:tc>
              <w:tc>
                <w:tcPr>
                  <w:tcW w:w="712" w:type="pct"/>
                  <w:vMerge w:val="continue"/>
                  <w:noWrap w:val="0"/>
                  <w:vAlign w:val="center"/>
                </w:tcPr>
                <w:p w14:paraId="4B8AA07E">
                  <w:pPr>
                    <w:pStyle w:val="74"/>
                    <w:bidi w:val="0"/>
                    <w:rPr>
                      <w:rFonts w:hint="default" w:ascii="Times New Roman" w:hAnsi="Times New Roman" w:cs="Times New Roman"/>
                      <w:b w:val="0"/>
                      <w:bCs w:val="0"/>
                      <w:color w:val="auto"/>
                      <w:highlight w:val="none"/>
                      <w:lang w:val="en-US" w:eastAsia="zh-CN"/>
                    </w:rPr>
                  </w:pPr>
                </w:p>
              </w:tc>
              <w:tc>
                <w:tcPr>
                  <w:tcW w:w="576" w:type="pct"/>
                  <w:noWrap w:val="0"/>
                  <w:vAlign w:val="center"/>
                </w:tcPr>
                <w:p w14:paraId="5FE01EA3">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900-249-08</w:t>
                  </w:r>
                </w:p>
              </w:tc>
              <w:tc>
                <w:tcPr>
                  <w:tcW w:w="777" w:type="pct"/>
                  <w:noWrap w:val="0"/>
                  <w:vAlign w:val="center"/>
                </w:tcPr>
                <w:p w14:paraId="12C2C876">
                  <w:pPr>
                    <w:pStyle w:val="74"/>
                    <w:bidi w:val="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固态</w:t>
                  </w:r>
                </w:p>
              </w:tc>
              <w:tc>
                <w:tcPr>
                  <w:tcW w:w="730" w:type="pct"/>
                  <w:noWrap w:val="0"/>
                  <w:vAlign w:val="center"/>
                </w:tcPr>
                <w:p w14:paraId="7F2EB801">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0.01</w:t>
                  </w:r>
                </w:p>
              </w:tc>
              <w:tc>
                <w:tcPr>
                  <w:tcW w:w="1074" w:type="pct"/>
                  <w:vMerge w:val="continue"/>
                  <w:noWrap w:val="0"/>
                  <w:vAlign w:val="center"/>
                </w:tcPr>
                <w:p w14:paraId="5263A147">
                  <w:pPr>
                    <w:pStyle w:val="74"/>
                    <w:bidi w:val="0"/>
                    <w:rPr>
                      <w:rFonts w:hint="default" w:ascii="Times New Roman" w:hAnsi="Times New Roman" w:cs="Times New Roman"/>
                      <w:b w:val="0"/>
                      <w:bCs w:val="0"/>
                      <w:color w:val="auto"/>
                      <w:highlight w:val="none"/>
                      <w:lang w:val="en-US" w:eastAsia="zh-CN"/>
                    </w:rPr>
                  </w:pPr>
                </w:p>
              </w:tc>
            </w:tr>
            <w:tr w14:paraId="6B10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trPr>
              <w:tc>
                <w:tcPr>
                  <w:tcW w:w="686" w:type="pct"/>
                  <w:noWrap w:val="0"/>
                  <w:vAlign w:val="center"/>
                </w:tcPr>
                <w:p w14:paraId="2EC172BD">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剥离表土</w:t>
                  </w:r>
                </w:p>
              </w:tc>
              <w:tc>
                <w:tcPr>
                  <w:tcW w:w="440" w:type="pct"/>
                  <w:vMerge w:val="restart"/>
                  <w:noWrap w:val="0"/>
                  <w:vAlign w:val="center"/>
                </w:tcPr>
                <w:p w14:paraId="0EB10843">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一般固体废物</w:t>
                  </w:r>
                </w:p>
              </w:tc>
              <w:tc>
                <w:tcPr>
                  <w:tcW w:w="712" w:type="pct"/>
                  <w:noWrap w:val="0"/>
                  <w:vAlign w:val="center"/>
                </w:tcPr>
                <w:p w14:paraId="0ECD1214">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w:t>
                  </w:r>
                </w:p>
              </w:tc>
              <w:tc>
                <w:tcPr>
                  <w:tcW w:w="576" w:type="pct"/>
                  <w:noWrap w:val="0"/>
                  <w:vAlign w:val="center"/>
                </w:tcPr>
                <w:p w14:paraId="1B59A40C">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w:t>
                  </w:r>
                </w:p>
              </w:tc>
              <w:tc>
                <w:tcPr>
                  <w:tcW w:w="777" w:type="pct"/>
                  <w:noWrap w:val="0"/>
                  <w:vAlign w:val="center"/>
                </w:tcPr>
                <w:p w14:paraId="160B6812">
                  <w:pPr>
                    <w:pStyle w:val="74"/>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固态</w:t>
                  </w:r>
                </w:p>
              </w:tc>
              <w:tc>
                <w:tcPr>
                  <w:tcW w:w="730" w:type="pct"/>
                  <w:noWrap w:val="0"/>
                  <w:vAlign w:val="center"/>
                </w:tcPr>
                <w:p w14:paraId="3CB94FFA">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1.25万m</w:t>
                  </w:r>
                  <w:r>
                    <w:rPr>
                      <w:rFonts w:hint="default" w:ascii="Times New Roman" w:hAnsi="Times New Roman" w:cs="Times New Roman"/>
                      <w:b w:val="0"/>
                      <w:bCs w:val="0"/>
                      <w:color w:val="auto"/>
                      <w:highlight w:val="none"/>
                      <w:vertAlign w:val="superscript"/>
                      <w:lang w:val="en-US" w:eastAsia="zh-CN"/>
                    </w:rPr>
                    <w:t>3</w:t>
                  </w:r>
                </w:p>
              </w:tc>
              <w:tc>
                <w:tcPr>
                  <w:tcW w:w="1074" w:type="pct"/>
                  <w:noWrap w:val="0"/>
                  <w:vAlign w:val="center"/>
                </w:tcPr>
                <w:p w14:paraId="2C7C3298">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2200m、2192m开采平台已剥离的表土堆放于矿界西侧的临时表土堆场，用于工业场地区、办公生活区平整及运输公路的铺垫，后期剥离的表土可全部用于采空区覆土复垦，进行植被恢复</w:t>
                  </w:r>
                </w:p>
              </w:tc>
            </w:tr>
            <w:tr w14:paraId="14EAB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86" w:type="pct"/>
                  <w:noWrap w:val="0"/>
                  <w:vAlign w:val="center"/>
                </w:tcPr>
                <w:p w14:paraId="04716797">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生活垃圾</w:t>
                  </w:r>
                </w:p>
              </w:tc>
              <w:tc>
                <w:tcPr>
                  <w:tcW w:w="440" w:type="pct"/>
                  <w:vMerge w:val="continue"/>
                  <w:noWrap w:val="0"/>
                  <w:vAlign w:val="center"/>
                </w:tcPr>
                <w:p w14:paraId="0D2BECF1">
                  <w:pPr>
                    <w:pStyle w:val="74"/>
                    <w:bidi w:val="0"/>
                    <w:rPr>
                      <w:rFonts w:hint="default" w:ascii="Times New Roman" w:hAnsi="Times New Roman" w:cs="Times New Roman"/>
                      <w:b w:val="0"/>
                      <w:bCs w:val="0"/>
                      <w:color w:val="auto"/>
                      <w:highlight w:val="none"/>
                      <w:lang w:val="en-US" w:eastAsia="zh-CN"/>
                    </w:rPr>
                  </w:pPr>
                </w:p>
              </w:tc>
              <w:tc>
                <w:tcPr>
                  <w:tcW w:w="712" w:type="pct"/>
                  <w:vMerge w:val="restart"/>
                  <w:noWrap w:val="0"/>
                  <w:vAlign w:val="center"/>
                </w:tcPr>
                <w:p w14:paraId="23B1F37A">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SW64其他垃圾</w:t>
                  </w:r>
                </w:p>
              </w:tc>
              <w:tc>
                <w:tcPr>
                  <w:tcW w:w="576" w:type="pct"/>
                  <w:noWrap w:val="0"/>
                  <w:vAlign w:val="center"/>
                </w:tcPr>
                <w:p w14:paraId="0B13879B">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900-999-</w:t>
                  </w:r>
                  <w:r>
                    <w:rPr>
                      <w:rFonts w:hint="eastAsia" w:cs="Times New Roman"/>
                      <w:b w:val="0"/>
                      <w:bCs w:val="0"/>
                      <w:color w:val="auto"/>
                      <w:highlight w:val="none"/>
                      <w:lang w:val="en-US" w:eastAsia="zh-CN"/>
                    </w:rPr>
                    <w:t>S64</w:t>
                  </w:r>
                </w:p>
              </w:tc>
              <w:tc>
                <w:tcPr>
                  <w:tcW w:w="777" w:type="pct"/>
                  <w:noWrap w:val="0"/>
                  <w:vAlign w:val="center"/>
                </w:tcPr>
                <w:p w14:paraId="077C504B">
                  <w:pPr>
                    <w:pStyle w:val="74"/>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固态</w:t>
                  </w:r>
                </w:p>
              </w:tc>
              <w:tc>
                <w:tcPr>
                  <w:tcW w:w="730" w:type="pct"/>
                  <w:noWrap w:val="0"/>
                  <w:vAlign w:val="center"/>
                </w:tcPr>
                <w:p w14:paraId="0EE51387">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3.6</w:t>
                  </w:r>
                </w:p>
              </w:tc>
              <w:tc>
                <w:tcPr>
                  <w:tcW w:w="1074" w:type="pct"/>
                  <w:noWrap w:val="0"/>
                  <w:vAlign w:val="center"/>
                </w:tcPr>
                <w:p w14:paraId="0CD22DC6">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委托环卫部门清运处置</w:t>
                  </w:r>
                </w:p>
              </w:tc>
            </w:tr>
            <w:tr w14:paraId="5970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686" w:type="pct"/>
                  <w:noWrap w:val="0"/>
                  <w:vAlign w:val="center"/>
                </w:tcPr>
                <w:p w14:paraId="75096BD0">
                  <w:pPr>
                    <w:pStyle w:val="74"/>
                    <w:bidi w:val="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化粪池污泥</w:t>
                  </w:r>
                </w:p>
              </w:tc>
              <w:tc>
                <w:tcPr>
                  <w:tcW w:w="440" w:type="pct"/>
                  <w:vMerge w:val="continue"/>
                  <w:noWrap w:val="0"/>
                  <w:vAlign w:val="center"/>
                </w:tcPr>
                <w:p w14:paraId="54DD5CE6">
                  <w:pPr>
                    <w:pStyle w:val="74"/>
                    <w:bidi w:val="0"/>
                    <w:rPr>
                      <w:rFonts w:hint="default" w:ascii="Times New Roman" w:hAnsi="Times New Roman" w:cs="Times New Roman"/>
                      <w:b w:val="0"/>
                      <w:bCs w:val="0"/>
                      <w:color w:val="auto"/>
                      <w:highlight w:val="none"/>
                      <w:lang w:val="en-US" w:eastAsia="zh-CN"/>
                    </w:rPr>
                  </w:pPr>
                </w:p>
              </w:tc>
              <w:tc>
                <w:tcPr>
                  <w:tcW w:w="712" w:type="pct"/>
                  <w:vMerge w:val="continue"/>
                  <w:noWrap w:val="0"/>
                  <w:vAlign w:val="center"/>
                </w:tcPr>
                <w:p w14:paraId="66D05D79">
                  <w:pPr>
                    <w:pStyle w:val="74"/>
                    <w:bidi w:val="0"/>
                    <w:rPr>
                      <w:rFonts w:hint="default" w:ascii="Times New Roman" w:hAnsi="Times New Roman" w:cs="Times New Roman"/>
                      <w:b w:val="0"/>
                      <w:bCs w:val="0"/>
                      <w:color w:val="auto"/>
                      <w:highlight w:val="none"/>
                      <w:lang w:val="en-US" w:eastAsia="zh-CN"/>
                    </w:rPr>
                  </w:pPr>
                </w:p>
              </w:tc>
              <w:tc>
                <w:tcPr>
                  <w:tcW w:w="576" w:type="pct"/>
                  <w:noWrap w:val="0"/>
                  <w:vAlign w:val="center"/>
                </w:tcPr>
                <w:p w14:paraId="550C4D23">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900-999-</w:t>
                  </w:r>
                  <w:r>
                    <w:rPr>
                      <w:rFonts w:hint="eastAsia" w:cs="Times New Roman"/>
                      <w:b w:val="0"/>
                      <w:bCs w:val="0"/>
                      <w:color w:val="auto"/>
                      <w:highlight w:val="none"/>
                      <w:lang w:val="en-US" w:eastAsia="zh-CN"/>
                    </w:rPr>
                    <w:t>S64</w:t>
                  </w:r>
                </w:p>
              </w:tc>
              <w:tc>
                <w:tcPr>
                  <w:tcW w:w="777" w:type="pct"/>
                  <w:noWrap w:val="0"/>
                  <w:vAlign w:val="center"/>
                </w:tcPr>
                <w:p w14:paraId="466DB0C6">
                  <w:pPr>
                    <w:pStyle w:val="74"/>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固态</w:t>
                  </w:r>
                </w:p>
              </w:tc>
              <w:tc>
                <w:tcPr>
                  <w:tcW w:w="730" w:type="pct"/>
                  <w:noWrap w:val="0"/>
                  <w:vAlign w:val="center"/>
                </w:tcPr>
                <w:p w14:paraId="7F4148B1">
                  <w:pPr>
                    <w:pStyle w:val="74"/>
                    <w:bidi w:val="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0.0346</w:t>
                  </w:r>
                </w:p>
              </w:tc>
              <w:tc>
                <w:tcPr>
                  <w:tcW w:w="1074" w:type="pct"/>
                  <w:noWrap w:val="0"/>
                  <w:vAlign w:val="center"/>
                </w:tcPr>
                <w:p w14:paraId="59DA2F03">
                  <w:pPr>
                    <w:pStyle w:val="74"/>
                    <w:bidi w:val="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定期清掏用作农肥</w:t>
                  </w:r>
                </w:p>
              </w:tc>
            </w:tr>
            <w:tr w14:paraId="65E8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86" w:type="pct"/>
                  <w:noWrap w:val="0"/>
                  <w:vAlign w:val="center"/>
                </w:tcPr>
                <w:p w14:paraId="5B0796DE">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布袋除尘器收尘</w:t>
                  </w:r>
                </w:p>
              </w:tc>
              <w:tc>
                <w:tcPr>
                  <w:tcW w:w="440" w:type="pct"/>
                  <w:vMerge w:val="continue"/>
                  <w:noWrap w:val="0"/>
                  <w:vAlign w:val="center"/>
                </w:tcPr>
                <w:p w14:paraId="21F0B9C2">
                  <w:pPr>
                    <w:pStyle w:val="74"/>
                    <w:bidi w:val="0"/>
                    <w:rPr>
                      <w:rFonts w:hint="default" w:ascii="Times New Roman" w:hAnsi="Times New Roman" w:cs="Times New Roman"/>
                      <w:b w:val="0"/>
                      <w:bCs w:val="0"/>
                      <w:color w:val="auto"/>
                      <w:highlight w:val="none"/>
                      <w:lang w:val="en-US" w:eastAsia="zh-CN"/>
                    </w:rPr>
                  </w:pPr>
                </w:p>
              </w:tc>
              <w:tc>
                <w:tcPr>
                  <w:tcW w:w="712" w:type="pct"/>
                  <w:vMerge w:val="restart"/>
                  <w:noWrap w:val="0"/>
                  <w:vAlign w:val="center"/>
                </w:tcPr>
                <w:p w14:paraId="4664692F">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SW59其他工业固体废物</w:t>
                  </w:r>
                </w:p>
              </w:tc>
              <w:tc>
                <w:tcPr>
                  <w:tcW w:w="576" w:type="pct"/>
                  <w:noWrap w:val="0"/>
                  <w:vAlign w:val="center"/>
                </w:tcPr>
                <w:p w14:paraId="36659EC2">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900-099-S59</w:t>
                  </w:r>
                </w:p>
              </w:tc>
              <w:tc>
                <w:tcPr>
                  <w:tcW w:w="777" w:type="pct"/>
                  <w:noWrap w:val="0"/>
                  <w:vAlign w:val="center"/>
                </w:tcPr>
                <w:p w14:paraId="2E314B91">
                  <w:pPr>
                    <w:pStyle w:val="74"/>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固态</w:t>
                  </w:r>
                </w:p>
              </w:tc>
              <w:tc>
                <w:tcPr>
                  <w:tcW w:w="730" w:type="pct"/>
                  <w:noWrap w:val="0"/>
                  <w:vAlign w:val="center"/>
                </w:tcPr>
                <w:p w14:paraId="67F373C3">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129.159</w:t>
                  </w:r>
                </w:p>
              </w:tc>
              <w:tc>
                <w:tcPr>
                  <w:tcW w:w="1074" w:type="pct"/>
                  <w:noWrap w:val="0"/>
                  <w:vAlign w:val="center"/>
                </w:tcPr>
                <w:p w14:paraId="09871414">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经收集后作为产品外售</w:t>
                  </w:r>
                </w:p>
              </w:tc>
            </w:tr>
            <w:tr w14:paraId="1F02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686" w:type="pct"/>
                  <w:noWrap w:val="0"/>
                  <w:vAlign w:val="center"/>
                </w:tcPr>
                <w:p w14:paraId="0268A041">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废布袋</w:t>
                  </w:r>
                </w:p>
              </w:tc>
              <w:tc>
                <w:tcPr>
                  <w:tcW w:w="440" w:type="pct"/>
                  <w:vMerge w:val="continue"/>
                  <w:noWrap w:val="0"/>
                  <w:vAlign w:val="center"/>
                </w:tcPr>
                <w:p w14:paraId="6787A768">
                  <w:pPr>
                    <w:pStyle w:val="74"/>
                    <w:bidi w:val="0"/>
                    <w:rPr>
                      <w:rFonts w:hint="default" w:ascii="Times New Roman" w:hAnsi="Times New Roman" w:cs="Times New Roman"/>
                      <w:b w:val="0"/>
                      <w:bCs w:val="0"/>
                      <w:color w:val="auto"/>
                      <w:highlight w:val="none"/>
                      <w:lang w:val="en-US" w:eastAsia="zh-CN"/>
                    </w:rPr>
                  </w:pPr>
                </w:p>
              </w:tc>
              <w:tc>
                <w:tcPr>
                  <w:tcW w:w="712" w:type="pct"/>
                  <w:vMerge w:val="continue"/>
                  <w:noWrap w:val="0"/>
                  <w:vAlign w:val="center"/>
                </w:tcPr>
                <w:p w14:paraId="7B51BA1C">
                  <w:pPr>
                    <w:pStyle w:val="74"/>
                    <w:bidi w:val="0"/>
                    <w:rPr>
                      <w:rFonts w:hint="default" w:ascii="Times New Roman" w:hAnsi="Times New Roman" w:cs="Times New Roman"/>
                      <w:b w:val="0"/>
                      <w:bCs w:val="0"/>
                      <w:color w:val="auto"/>
                      <w:highlight w:val="none"/>
                      <w:lang w:val="en-US" w:eastAsia="zh-CN"/>
                    </w:rPr>
                  </w:pPr>
                </w:p>
              </w:tc>
              <w:tc>
                <w:tcPr>
                  <w:tcW w:w="576" w:type="pct"/>
                  <w:noWrap w:val="0"/>
                  <w:vAlign w:val="center"/>
                </w:tcPr>
                <w:p w14:paraId="0346C068">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900-009-S59</w:t>
                  </w:r>
                </w:p>
              </w:tc>
              <w:tc>
                <w:tcPr>
                  <w:tcW w:w="777" w:type="pct"/>
                  <w:noWrap w:val="0"/>
                  <w:vAlign w:val="center"/>
                </w:tcPr>
                <w:p w14:paraId="7221FF35">
                  <w:pPr>
                    <w:pStyle w:val="74"/>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固态</w:t>
                  </w:r>
                </w:p>
              </w:tc>
              <w:tc>
                <w:tcPr>
                  <w:tcW w:w="730" w:type="pct"/>
                  <w:noWrap w:val="0"/>
                  <w:vAlign w:val="center"/>
                </w:tcPr>
                <w:p w14:paraId="7C4DC8CD">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eastAsia="宋体" w:cs="Times New Roman"/>
                      <w:b w:val="0"/>
                      <w:bCs/>
                      <w:color w:val="auto"/>
                      <w:sz w:val="24"/>
                      <w:szCs w:val="24"/>
                      <w:highlight w:val="none"/>
                      <w:lang w:val="en-US" w:eastAsia="zh-CN"/>
                    </w:rPr>
                    <w:t>0.02</w:t>
                  </w:r>
                </w:p>
              </w:tc>
              <w:tc>
                <w:tcPr>
                  <w:tcW w:w="1074" w:type="pct"/>
                  <w:noWrap w:val="0"/>
                  <w:vAlign w:val="center"/>
                </w:tcPr>
                <w:p w14:paraId="67E869C7">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经收集后交由厂家回收处理</w:t>
                  </w:r>
                </w:p>
              </w:tc>
            </w:tr>
            <w:tr w14:paraId="2D90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686" w:type="pct"/>
                  <w:noWrap w:val="0"/>
                  <w:vAlign w:val="center"/>
                </w:tcPr>
                <w:p w14:paraId="7AC9556E">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沉砂池</w:t>
                  </w:r>
                  <w:r>
                    <w:rPr>
                      <w:rFonts w:hint="eastAsia" w:cs="Times New Roman"/>
                      <w:b w:val="0"/>
                      <w:bCs w:val="0"/>
                      <w:color w:val="auto"/>
                      <w:highlight w:val="none"/>
                      <w:lang w:val="en-US" w:eastAsia="zh-CN"/>
                    </w:rPr>
                    <w:t>泥沙</w:t>
                  </w:r>
                </w:p>
              </w:tc>
              <w:tc>
                <w:tcPr>
                  <w:tcW w:w="440" w:type="pct"/>
                  <w:vMerge w:val="continue"/>
                  <w:noWrap w:val="0"/>
                  <w:vAlign w:val="center"/>
                </w:tcPr>
                <w:p w14:paraId="70099612">
                  <w:pPr>
                    <w:pStyle w:val="74"/>
                    <w:bidi w:val="0"/>
                    <w:rPr>
                      <w:rFonts w:hint="default" w:ascii="Times New Roman" w:hAnsi="Times New Roman" w:cs="Times New Roman"/>
                      <w:b w:val="0"/>
                      <w:bCs w:val="0"/>
                      <w:color w:val="auto"/>
                      <w:highlight w:val="none"/>
                      <w:lang w:val="en-US" w:eastAsia="zh-CN"/>
                    </w:rPr>
                  </w:pPr>
                </w:p>
              </w:tc>
              <w:tc>
                <w:tcPr>
                  <w:tcW w:w="712" w:type="pct"/>
                  <w:noWrap w:val="0"/>
                  <w:vAlign w:val="center"/>
                </w:tcPr>
                <w:p w14:paraId="4142855A">
                  <w:pPr>
                    <w:pStyle w:val="74"/>
                    <w:bidi w:val="0"/>
                    <w:ind w:firstLine="0" w:firstLineChars="0"/>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SW07污泥</w:t>
                  </w:r>
                </w:p>
              </w:tc>
              <w:tc>
                <w:tcPr>
                  <w:tcW w:w="576" w:type="pct"/>
                  <w:noWrap w:val="0"/>
                  <w:vAlign w:val="center"/>
                </w:tcPr>
                <w:p w14:paraId="03CD2EDA">
                  <w:pPr>
                    <w:pStyle w:val="74"/>
                    <w:bidi w:val="0"/>
                    <w:ind w:firstLine="0" w:firstLineChars="0"/>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900-099-S07</w:t>
                  </w:r>
                </w:p>
              </w:tc>
              <w:tc>
                <w:tcPr>
                  <w:tcW w:w="777" w:type="pct"/>
                  <w:noWrap w:val="0"/>
                  <w:vAlign w:val="center"/>
                </w:tcPr>
                <w:p w14:paraId="5AECD621">
                  <w:pPr>
                    <w:pStyle w:val="74"/>
                    <w:bidi w:val="0"/>
                    <w:rPr>
                      <w:rFonts w:hint="default" w:cs="Times New Roman"/>
                      <w:b w:val="0"/>
                      <w:bCs w:val="0"/>
                      <w:color w:val="auto"/>
                      <w:highlight w:val="none"/>
                      <w:lang w:val="en-US" w:eastAsia="zh-CN"/>
                    </w:rPr>
                  </w:pPr>
                  <w:r>
                    <w:rPr>
                      <w:rFonts w:hint="eastAsia" w:cs="Times New Roman"/>
                      <w:b w:val="0"/>
                      <w:bCs w:val="0"/>
                      <w:color w:val="auto"/>
                      <w:highlight w:val="none"/>
                      <w:lang w:val="en-US" w:eastAsia="zh-CN"/>
                    </w:rPr>
                    <w:t>固态</w:t>
                  </w:r>
                </w:p>
              </w:tc>
              <w:tc>
                <w:tcPr>
                  <w:tcW w:w="730" w:type="pct"/>
                  <w:noWrap w:val="0"/>
                  <w:vAlign w:val="center"/>
                </w:tcPr>
                <w:p w14:paraId="0E67C50A">
                  <w:pPr>
                    <w:pStyle w:val="74"/>
                    <w:bidi w:val="0"/>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20.78</w:t>
                  </w:r>
                </w:p>
              </w:tc>
              <w:tc>
                <w:tcPr>
                  <w:tcW w:w="1074" w:type="pct"/>
                  <w:noWrap w:val="0"/>
                  <w:vAlign w:val="center"/>
                </w:tcPr>
                <w:p w14:paraId="608DB8E6">
                  <w:pPr>
                    <w:pStyle w:val="74"/>
                    <w:bidi w:val="0"/>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定期清掏堆存于临时表土堆场用于项目采空区回填及绿化覆土</w:t>
                  </w:r>
                </w:p>
              </w:tc>
            </w:tr>
          </w:tbl>
          <w:p w14:paraId="58A07612">
            <w:pPr>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rPr>
              <w:t>、环境管理要求</w:t>
            </w:r>
          </w:p>
          <w:p w14:paraId="759A59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从项目采用的固废利用及处置方式来分析，对产生的各类固废按其性质分类分区收集和暂存，并均能得到有效利用或妥善处置。在严格管理下，本项目的固体废物对周围环境不会产生二次污染。</w:t>
            </w:r>
          </w:p>
          <w:p w14:paraId="1AFCC3F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b/>
                <w:bCs/>
                <w:caps w:val="0"/>
                <w:smallCaps w:val="0"/>
                <w:color w:val="auto"/>
                <w:kern w:val="2"/>
                <w:sz w:val="24"/>
                <w:szCs w:val="22"/>
                <w:highlight w:val="none"/>
                <w:lang w:val="en-US" w:eastAsia="zh-CN" w:bidi="ar-SA"/>
              </w:rPr>
              <w:t>1）一般工业固废暂存场所（设施）污染防治措施及环境影响分析</w:t>
            </w:r>
          </w:p>
          <w:p w14:paraId="30C4E8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按照《一般工业固体废物贮存和填埋污染控制标准》（GB18599-2020）及《固体废物分类与代码目录》（2024年1月24日施行）的相关标准要求建设，一般工业固废应当分类存放；应按GB15562.2设置环境保护图形标志；贮存设置需防风、防雨、防晒、防渗漏；禁止危险废物和生活垃圾混入；建立档案制度，将一般工业固废的种类和数量等内容详细记录在案，长期保存，供随时查阅等。</w:t>
            </w:r>
          </w:p>
          <w:p w14:paraId="2EC43AE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aps w:val="0"/>
                <w:smallCaps w:val="0"/>
                <w:color w:val="auto"/>
                <w:kern w:val="2"/>
                <w:sz w:val="24"/>
                <w:szCs w:val="22"/>
                <w:highlight w:val="none"/>
                <w:lang w:val="en-US" w:eastAsia="zh-CN" w:bidi="ar-SA"/>
              </w:rPr>
            </w:pPr>
            <w:r>
              <w:rPr>
                <w:rFonts w:hint="default" w:ascii="Times New Roman" w:hAnsi="Times New Roman" w:eastAsia="宋体" w:cs="Times New Roman"/>
                <w:b/>
                <w:bCs/>
                <w:caps w:val="0"/>
                <w:smallCaps w:val="0"/>
                <w:color w:val="auto"/>
                <w:kern w:val="2"/>
                <w:sz w:val="24"/>
                <w:szCs w:val="22"/>
                <w:highlight w:val="none"/>
                <w:lang w:val="en-US" w:eastAsia="zh-CN" w:bidi="ar-SA"/>
              </w:rPr>
              <w:t>2）危险废物暂存场所（设施）污染防治措施及环境影响分析</w:t>
            </w:r>
          </w:p>
          <w:p w14:paraId="4F34F5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本次评价要求设立1间危废暂存间，面积5m</w:t>
            </w:r>
            <w:r>
              <w:rPr>
                <w:rFonts w:hint="default" w:ascii="Times New Roman" w:hAnsi="Times New Roman" w:eastAsia="宋体" w:cs="Times New Roman"/>
                <w:caps w:val="0"/>
                <w:smallCaps w:val="0"/>
                <w:color w:val="auto"/>
                <w:kern w:val="2"/>
                <w:sz w:val="24"/>
                <w:szCs w:val="22"/>
                <w:highlight w:val="none"/>
                <w:vertAlign w:val="superscript"/>
                <w:lang w:val="en-US" w:eastAsia="zh-CN" w:bidi="ar-SA"/>
              </w:rPr>
              <w:t>2</w:t>
            </w:r>
            <w:r>
              <w:rPr>
                <w:rFonts w:hint="default" w:ascii="Times New Roman" w:hAnsi="Times New Roman" w:eastAsia="宋体" w:cs="Times New Roman"/>
                <w:caps w:val="0"/>
                <w:smallCaps w:val="0"/>
                <w:color w:val="auto"/>
                <w:kern w:val="2"/>
                <w:sz w:val="24"/>
                <w:szCs w:val="22"/>
                <w:highlight w:val="none"/>
                <w:lang w:val="en-US" w:eastAsia="zh-CN" w:bidi="ar-SA"/>
              </w:rPr>
              <w:t>，产生的危险废物委托有资质单位定期清运处置。为保证暂存的危险废物不对环境产生污染，危险废物暂存、转运、处置应严格按照《危险废物贮存污染控制标准》（GB18597-2023）和《危险废物收集贮存运输技术规范》（HJ 2025-2012）执行。本方案对危险废物暂存场地提出如下安全措施：</w:t>
            </w:r>
          </w:p>
          <w:p w14:paraId="2F00A9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①贮存设施应根据危险废物的形态、物理化学性质、包装形式和污染物迁移途径，采取必要的防风、防晒、防雨、防漏、防渗、防腐以及其他环境污染防治措施，不应露天堆放危险废物。</w:t>
            </w:r>
          </w:p>
          <w:p w14:paraId="455520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②贮存设施应根据危险废物的类别、数量、形态、物理化学性质和污染防治等要求设置必要的贮存分区，避免不相容的危险废物接触、混合。</w:t>
            </w:r>
          </w:p>
          <w:p w14:paraId="67A4E7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③贮存设施或贮存分区内地面、墙面裙脚、堵截泄漏的围堰、接触危险废物的隔板和墙体等应采用坚固的材料建造，表面无裂缝。</w:t>
            </w:r>
          </w:p>
          <w:p w14:paraId="6C02D0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④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2mm厚高密度聚乙烯膜等人工防渗材料（渗透系数不大于10</w:t>
            </w:r>
            <w:r>
              <w:rPr>
                <w:rFonts w:hint="default" w:ascii="Times New Roman" w:hAnsi="Times New Roman" w:eastAsia="宋体" w:cs="Times New Roman"/>
                <w:caps w:val="0"/>
                <w:smallCaps w:val="0"/>
                <w:color w:val="auto"/>
                <w:kern w:val="2"/>
                <w:sz w:val="24"/>
                <w:szCs w:val="22"/>
                <w:highlight w:val="none"/>
                <w:vertAlign w:val="superscript"/>
                <w:lang w:val="en-US" w:eastAsia="zh-CN" w:bidi="ar-SA"/>
              </w:rPr>
              <w:t>-10</w:t>
            </w:r>
            <w:r>
              <w:rPr>
                <w:rFonts w:hint="default" w:ascii="Times New Roman" w:hAnsi="Times New Roman" w:eastAsia="宋体" w:cs="Times New Roman"/>
                <w:caps w:val="0"/>
                <w:smallCaps w:val="0"/>
                <w:color w:val="auto"/>
                <w:kern w:val="2"/>
                <w:sz w:val="24"/>
                <w:szCs w:val="22"/>
                <w:highlight w:val="none"/>
                <w:lang w:val="en-US" w:eastAsia="zh-CN" w:bidi="ar-SA"/>
              </w:rPr>
              <w:t>cm/s），或其他防渗性能等效的材料。</w:t>
            </w:r>
          </w:p>
          <w:p w14:paraId="2035A6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⑤同一贮存设施宜采用相同的防渗、防腐工艺（包括防渗、防腐结构或材料），防渗、防腐材料应覆盖所有可能与废物及其渗滤液、渗漏液等接触的构筑物表面；采用不同防渗、防腐工艺应分别建设贮存分区。</w:t>
            </w:r>
          </w:p>
          <w:p w14:paraId="6CBFB1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⑥贮存设施应采取技术和管理措施防止无关人员进入。</w:t>
            </w:r>
          </w:p>
          <w:p w14:paraId="37B300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⑦贮存库内不同贮存分区之间应采取隔离措施。隔离措施可根据危险废物特性采用过道、隔板或隔墙等方式。</w:t>
            </w:r>
          </w:p>
          <w:p w14:paraId="6A2A6E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⑧在贮存库内或通过贮存分区方式贮存液态危险废物的，应具有液体泄漏堵截设施，堵截设施最小容积不应低于对应贮存区域最大液态废物容器容积或液态废物总储量1/10（二者取较大者）；用于贮存可能产生渗滤液的危险废物的贮存库或贮存分区应设计渗滤液收集设施，收集设施容积应满足渗滤液的收集要求。</w:t>
            </w:r>
          </w:p>
          <w:p w14:paraId="44F3E8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⑨建立档案制度，对暂存的废物种类、数量、特性、包装容器类别、存放库位、存入日期、运出日期等详细记录在案并长期保存，建立定期巡查、维护制度；</w:t>
            </w:r>
          </w:p>
          <w:p w14:paraId="1763C0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aps w:val="0"/>
                <w:smallCaps w:val="0"/>
                <w:color w:val="auto"/>
                <w:kern w:val="2"/>
                <w:sz w:val="24"/>
                <w:szCs w:val="22"/>
                <w:highlight w:val="none"/>
                <w:lang w:val="en-US" w:eastAsia="zh-CN" w:bidi="ar-SA"/>
              </w:rPr>
            </w:pPr>
            <w:r>
              <w:rPr>
                <w:rFonts w:hint="default" w:ascii="Times New Roman" w:hAnsi="Times New Roman" w:eastAsia="宋体" w:cs="Times New Roman"/>
                <w:caps w:val="0"/>
                <w:smallCaps w:val="0"/>
                <w:color w:val="auto"/>
                <w:kern w:val="2"/>
                <w:sz w:val="24"/>
                <w:szCs w:val="22"/>
                <w:highlight w:val="none"/>
                <w:lang w:val="en-US" w:eastAsia="zh-CN" w:bidi="ar-SA"/>
              </w:rPr>
              <w:t>⑩危险废物须定期委托危险废物处理资质单位处理，并建立转移联单及管理台账。</w:t>
            </w:r>
          </w:p>
          <w:p w14:paraId="2AEE8BD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aps w:val="0"/>
                <w:smallCaps w:val="0"/>
                <w:color w:val="auto"/>
                <w:kern w:val="2"/>
                <w:sz w:val="24"/>
                <w:szCs w:val="22"/>
                <w:highlight w:val="none"/>
                <w:lang w:val="en-US" w:eastAsia="zh-CN" w:bidi="ar-SA"/>
              </w:rPr>
            </w:pPr>
            <w:r>
              <w:rPr>
                <w:rFonts w:hint="default" w:ascii="Times New Roman" w:hAnsi="Times New Roman" w:eastAsia="宋体" w:cs="Times New Roman"/>
                <w:b/>
                <w:bCs/>
                <w:caps w:val="0"/>
                <w:smallCaps w:val="0"/>
                <w:color w:val="auto"/>
                <w:kern w:val="2"/>
                <w:sz w:val="24"/>
                <w:szCs w:val="22"/>
                <w:highlight w:val="none"/>
                <w:lang w:val="en-US" w:eastAsia="zh-CN" w:bidi="ar-SA"/>
              </w:rPr>
              <w:t>3）危险废物贮存点环境管理要求、环境应急要求</w:t>
            </w:r>
          </w:p>
          <w:p w14:paraId="24CB984F">
            <w:pPr>
              <w:adjustRightInd w:val="0"/>
              <w:snapToGrid w:val="0"/>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贮存点环境管理要求：</w:t>
            </w:r>
          </w:p>
          <w:p w14:paraId="7A99B197">
            <w:pPr>
              <w:adjustRightInd w:val="0"/>
              <w:snapToGrid w:val="0"/>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①贮存点应具有固定的区域边界，并应采取与其他区域进行隔离的措施。</w:t>
            </w:r>
          </w:p>
          <w:p w14:paraId="7A661A47">
            <w:pPr>
              <w:adjustRightInd w:val="0"/>
              <w:snapToGrid w:val="0"/>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②贮存点应采取防风、防雨、防晒和防止危险废物流失、扬散等措施。</w:t>
            </w:r>
          </w:p>
          <w:p w14:paraId="7A9D8E57">
            <w:pPr>
              <w:adjustRightInd w:val="0"/>
              <w:snapToGrid w:val="0"/>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③贮存点贮存的危险废物应置于容器或包装物中，不应直接散堆。</w:t>
            </w:r>
          </w:p>
          <w:p w14:paraId="7A3E0A90">
            <w:pPr>
              <w:adjustRightInd w:val="0"/>
              <w:snapToGrid w:val="0"/>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④贮存点应根据危险废物的形态、物理化学性质、包装形式等，采取防渗、防漏等污染防治措施或采用具有相应功能的装置。</w:t>
            </w:r>
          </w:p>
          <w:p w14:paraId="57794014">
            <w:pPr>
              <w:adjustRightInd w:val="0"/>
              <w:snapToGrid w:val="0"/>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⑤贮存点应及时清运贮存的危险废物，实时贮存量不应超过最大贮存量。</w:t>
            </w:r>
          </w:p>
          <w:p w14:paraId="5965C25A">
            <w:pPr>
              <w:adjustRightInd w:val="0"/>
              <w:snapToGrid w:val="0"/>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环境应急要求：</w:t>
            </w:r>
          </w:p>
          <w:p w14:paraId="6E2A90EF">
            <w:pPr>
              <w:adjustRightInd w:val="0"/>
              <w:snapToGrid w:val="0"/>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①贮存设施所有者或运营者应按照国家有关规定编制突发环境事件应急预案，定期开展必要的培训和环境应急演练，并做好培训、演练记录。</w:t>
            </w:r>
          </w:p>
          <w:p w14:paraId="4A20DC20">
            <w:pPr>
              <w:adjustRightInd w:val="0"/>
              <w:snapToGrid w:val="0"/>
              <w:spacing w:line="360" w:lineRule="auto"/>
              <w:ind w:firstLine="480" w:firstLineChars="200"/>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②贮存设施所有者或运营者应配备满足其突发环境事件应急要求的应急人员、装备和物资，并应设置应急照明系统。</w:t>
            </w:r>
          </w:p>
          <w:p w14:paraId="74B60732">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Cs/>
                <w:color w:val="auto"/>
                <w:sz w:val="24"/>
                <w:highlight w:val="none"/>
              </w:rPr>
              <w:t>③相关部门发布自然灾害或恶劣天气预警后，贮存设施所有者或运营者应启动相应防控措施，若有必要可将危险废物转移至其他具有防护条件的地点贮存。</w:t>
            </w:r>
          </w:p>
          <w:p w14:paraId="2B71A2E1">
            <w:pPr>
              <w:spacing w:line="360" w:lineRule="auto"/>
              <w:ind w:firstLine="482"/>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w:t>
            </w:r>
            <w:r>
              <w:rPr>
                <w:rFonts w:hint="default" w:ascii="Times New Roman" w:hAnsi="Times New Roman" w:cs="Times New Roman"/>
                <w:b/>
                <w:bCs/>
                <w:color w:val="auto"/>
                <w:highlight w:val="none"/>
              </w:rPr>
              <w:t>固废影响分析</w:t>
            </w:r>
          </w:p>
          <w:p w14:paraId="266AA8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color w:val="auto"/>
                <w:kern w:val="0"/>
                <w:sz w:val="24"/>
                <w:highlight w:val="none"/>
              </w:rPr>
            </w:pPr>
            <w:r>
              <w:rPr>
                <w:rFonts w:hint="default" w:ascii="Times New Roman" w:hAnsi="Times New Roman" w:cs="Times New Roman"/>
                <w:color w:val="auto"/>
                <w:highlight w:val="none"/>
              </w:rPr>
              <w:t>综上，项目固废处置以“无害化、减量化、资源化”为原则，</w:t>
            </w:r>
            <w:r>
              <w:rPr>
                <w:rFonts w:hint="default" w:ascii="Times New Roman" w:hAnsi="Times New Roman" w:eastAsia="宋体" w:cs="Times New Roman"/>
                <w:color w:val="auto"/>
                <w:sz w:val="24"/>
                <w:szCs w:val="24"/>
                <w:highlight w:val="none"/>
              </w:rPr>
              <w:t>项目在严格落实环评提出的各项固体废弃物收集、储存设施确实实施的情况下，一般固体废弃物的储存处置能够达到《一般工业固体废物贮存</w:t>
            </w:r>
            <w:r>
              <w:rPr>
                <w:rFonts w:hint="default" w:ascii="Times New Roman" w:hAnsi="Times New Roman" w:eastAsia="宋体" w:cs="Times New Roman"/>
                <w:color w:val="auto"/>
                <w:sz w:val="24"/>
                <w:szCs w:val="24"/>
                <w:highlight w:val="none"/>
                <w:lang w:val="en-US" w:eastAsia="zh-CN"/>
              </w:rPr>
              <w:t>和填埋</w:t>
            </w:r>
            <w:r>
              <w:rPr>
                <w:rFonts w:hint="default" w:ascii="Times New Roman" w:hAnsi="Times New Roman" w:eastAsia="宋体" w:cs="Times New Roman"/>
                <w:color w:val="auto"/>
                <w:sz w:val="24"/>
                <w:szCs w:val="24"/>
                <w:highlight w:val="none"/>
              </w:rPr>
              <w:t>污染控制标准》（GB18599-20</w:t>
            </w:r>
            <w:r>
              <w:rPr>
                <w:rFonts w:hint="default" w:ascii="Times New Roman" w:hAnsi="Times New Roman" w:eastAsia="宋体" w:cs="Times New Roman"/>
                <w:color w:val="auto"/>
                <w:sz w:val="24"/>
                <w:szCs w:val="24"/>
                <w:highlight w:val="none"/>
                <w:lang w:val="en-US" w:eastAsia="zh-CN"/>
              </w:rPr>
              <w:t>20</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kern w:val="0"/>
                <w:sz w:val="24"/>
                <w:szCs w:val="24"/>
                <w:highlight w:val="none"/>
                <w:lang w:eastAsia="zh-CN"/>
              </w:rPr>
              <w:t>中有关规定</w:t>
            </w:r>
            <w:r>
              <w:rPr>
                <w:rFonts w:hint="default" w:ascii="Times New Roman" w:hAnsi="Times New Roman" w:eastAsia="宋体" w:cs="Times New Roman"/>
                <w:color w:val="auto"/>
                <w:sz w:val="24"/>
                <w:szCs w:val="24"/>
                <w:highlight w:val="none"/>
              </w:rPr>
              <w:t>，项目所产生的危险废物能够满足</w:t>
            </w:r>
            <w:r>
              <w:rPr>
                <w:rStyle w:val="93"/>
                <w:rFonts w:hint="default" w:ascii="Times New Roman" w:hAnsi="Times New Roman" w:eastAsia="宋体" w:cs="Times New Roman"/>
                <w:color w:val="auto"/>
                <w:sz w:val="24"/>
                <w:szCs w:val="24"/>
                <w:highlight w:val="none"/>
              </w:rPr>
              <w:t>《危险废物贮存污染控制标准》（GB18597-2023）</w:t>
            </w:r>
            <w:r>
              <w:rPr>
                <w:rFonts w:hint="default" w:ascii="Times New Roman" w:hAnsi="Times New Roman" w:eastAsia="宋体" w:cs="Times New Roman"/>
                <w:color w:val="auto"/>
                <w:kern w:val="0"/>
                <w:sz w:val="24"/>
                <w:szCs w:val="24"/>
                <w:highlight w:val="none"/>
                <w:lang w:eastAsia="zh-CN"/>
              </w:rPr>
              <w:t>中有关规定</w:t>
            </w:r>
            <w:r>
              <w:rPr>
                <w:rFonts w:hint="default" w:ascii="Times New Roman" w:hAnsi="Times New Roman" w:eastAsia="宋体" w:cs="Times New Roman"/>
                <w:color w:val="auto"/>
                <w:sz w:val="24"/>
                <w:szCs w:val="24"/>
                <w:highlight w:val="none"/>
              </w:rPr>
              <w:t>，项目所产生的固体废弃物能够得到合理、有效</w:t>
            </w:r>
            <w:r>
              <w:rPr>
                <w:rFonts w:hint="eastAsia" w:cs="Times New Roman"/>
                <w:color w:val="auto"/>
                <w:sz w:val="24"/>
                <w:szCs w:val="24"/>
                <w:highlight w:val="none"/>
                <w:lang w:eastAsia="zh-CN"/>
              </w:rPr>
              <w:t>地</w:t>
            </w:r>
            <w:r>
              <w:rPr>
                <w:rFonts w:hint="default" w:ascii="Times New Roman" w:hAnsi="Times New Roman" w:eastAsia="宋体" w:cs="Times New Roman"/>
                <w:color w:val="auto"/>
                <w:sz w:val="24"/>
                <w:szCs w:val="24"/>
                <w:highlight w:val="none"/>
              </w:rPr>
              <w:t>处置，各固体废弃物去向明确，处置率达到100%，对环境的影响较小。</w:t>
            </w:r>
          </w:p>
          <w:p w14:paraId="753F760F">
            <w:pPr>
              <w:keepNext w:val="0"/>
              <w:keepLines w:val="0"/>
              <w:pageBreakBefore w:val="0"/>
              <w:widowControl w:val="0"/>
              <w:kinsoku/>
              <w:wordWrap/>
              <w:overflowPunct/>
              <w:topLinePunct w:val="0"/>
              <w:autoSpaceDE/>
              <w:autoSpaceDN/>
              <w:bidi w:val="0"/>
              <w:adjustRightInd/>
              <w:snapToGrid/>
              <w:ind w:firstLine="482"/>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四、运营期噪声环境影响分析</w:t>
            </w:r>
          </w:p>
          <w:p w14:paraId="3946A385">
            <w:pPr>
              <w:ind w:firstLine="480"/>
              <w:rPr>
                <w:rFonts w:hint="default" w:ascii="Times New Roman" w:hAnsi="Times New Roman" w:cs="Times New Roman"/>
                <w:bCs/>
                <w:color w:val="auto"/>
                <w:kern w:val="0"/>
                <w:szCs w:val="21"/>
                <w:highlight w:val="none"/>
              </w:rPr>
            </w:pPr>
            <w:r>
              <w:rPr>
                <w:rFonts w:hint="default" w:ascii="Times New Roman" w:hAnsi="Times New Roman" w:cs="Times New Roman"/>
                <w:color w:val="auto"/>
                <w:highlight w:val="none"/>
              </w:rPr>
              <w:t>根据项目特点，运营期噪声可分为固定声源的稳态噪声、瞬时噪声和移动线声源噪声，其中固定声源的稳态噪声主要包括挖掘机、装载机、潜孔钻机、空压机、颚式破碎机、</w:t>
            </w:r>
            <w:r>
              <w:rPr>
                <w:rFonts w:hint="default" w:ascii="Times New Roman" w:hAnsi="Times New Roman" w:cs="Times New Roman"/>
                <w:color w:val="auto"/>
                <w:highlight w:val="none"/>
                <w:lang w:val="en-US" w:eastAsia="zh-CN"/>
              </w:rPr>
              <w:t>制砂机、</w:t>
            </w:r>
            <w:r>
              <w:rPr>
                <w:rFonts w:hint="default" w:ascii="Times New Roman" w:hAnsi="Times New Roman" w:cs="Times New Roman"/>
                <w:color w:val="auto"/>
                <w:highlight w:val="none"/>
              </w:rPr>
              <w:t>振动筛等开采和加工设备，生产过程中其噪声的位置和声源大小相对固定，也是本项目的主要声环境影响源；瞬时噪声主要是爆破噪声，爆破噪声具有产生时间短，噪声源强大等特点；移动线声源噪声主要为运输车辆噪声，其影响主要集中在运输线路附近。</w:t>
            </w:r>
          </w:p>
          <w:p w14:paraId="26547D7C">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1、爆破振动影响分析</w:t>
            </w:r>
          </w:p>
          <w:p w14:paraId="125EB25A">
            <w:pPr>
              <w:adjustRightInd w:val="0"/>
              <w:ind w:firstLine="482"/>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①爆破振动影响分析</w:t>
            </w:r>
          </w:p>
          <w:p w14:paraId="55ECD1EE">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矿山开采过程中最大的振动源是矿山爆破，当进行深孔爆破时，能量主要消耗在岩石内，因此可导致地面的振动。这种地面振动自爆破中心向四周传播，当强度足够大时会破坏地面建筑，因此必须给予足够的重视。项目矿山爆破工作由专业爆破队实施，矿山应定时定量组织爆破作业，控制一段雷管起爆炸药量，防止冲天炮和飞石产生。大块矿岩应当采用机械方式进行破碎，不得使用爆破方式进行二次破碎。根据开发利用方案，空气冲击波对建筑物的安全距离，对避炮人员的安全距离，以及爆破飞石对人员的安全距离小于300m。根据爆破安全规程（GB6722-2014）规定：露天土岩深孔爆破个别飞石对人员的最小安全距离不得小于300m，据此确定矿区的爆破影响范围为300m。由于周围自然村与采区的距离均较远，最近的</w:t>
            </w:r>
            <w:r>
              <w:rPr>
                <w:rFonts w:hint="default" w:ascii="Times New Roman" w:hAnsi="Times New Roman" w:cs="Times New Roman"/>
                <w:bCs/>
                <w:color w:val="auto"/>
                <w:kern w:val="0"/>
                <w:szCs w:val="21"/>
                <w:highlight w:val="none"/>
                <w:lang w:val="en-US" w:eastAsia="zh-CN"/>
              </w:rPr>
              <w:t>稗子田</w:t>
            </w:r>
            <w:r>
              <w:rPr>
                <w:rFonts w:hint="default" w:ascii="Times New Roman" w:hAnsi="Times New Roman" w:cs="Times New Roman"/>
                <w:bCs/>
                <w:color w:val="auto"/>
                <w:kern w:val="0"/>
                <w:szCs w:val="21"/>
                <w:highlight w:val="none"/>
              </w:rPr>
              <w:t>村距离矿区</w:t>
            </w:r>
            <w:r>
              <w:rPr>
                <w:rFonts w:hint="default" w:ascii="Times New Roman" w:hAnsi="Times New Roman" w:cs="Times New Roman"/>
                <w:bCs/>
                <w:color w:val="auto"/>
                <w:kern w:val="0"/>
                <w:szCs w:val="21"/>
                <w:highlight w:val="none"/>
                <w:lang w:val="en-US" w:eastAsia="zh-CN"/>
              </w:rPr>
              <w:t>546</w:t>
            </w:r>
            <w:r>
              <w:rPr>
                <w:rFonts w:hint="default" w:ascii="Times New Roman" w:hAnsi="Times New Roman" w:cs="Times New Roman"/>
                <w:bCs/>
                <w:color w:val="auto"/>
                <w:kern w:val="0"/>
                <w:szCs w:val="21"/>
                <w:highlight w:val="none"/>
              </w:rPr>
              <w:t>m，大于安全距离，故项目采矿过程中的爆破振动对矿区周围的村庄影响不大。</w:t>
            </w:r>
          </w:p>
          <w:p w14:paraId="793E69E1">
            <w:pPr>
              <w:adjustRightInd w:val="0"/>
              <w:ind w:firstLine="482"/>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②爆破噪声影响分析</w:t>
            </w:r>
          </w:p>
          <w:p w14:paraId="6A70D572">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爆破工序往往伴随着巨大的能量释放可产生噪声、扬尘等影响。本项目爆破以非电导爆管微差爆破，现将工程在爆破工序所产生的噪声及其防治对策进行如下分析。</w:t>
            </w:r>
          </w:p>
          <w:p w14:paraId="05B9683C">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本项目爆破采用深孔爆破，深孔爆破噪声较小，噪声强度在100m远处为110dB，并可感觉到气浪的冲击。</w:t>
            </w:r>
          </w:p>
          <w:p w14:paraId="34E075E7">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采用《环境影响评价技术导则 声环境》所推荐的噪声点源衰减预测模式进行预测，并将预测值与标准值进行比较，评价建设项目爆破噪声对周围环境的影响程度和范围。采用的预测模式为噪声点源衰减模式：</w:t>
            </w:r>
          </w:p>
          <w:p w14:paraId="2217E9EC">
            <w:pPr>
              <w:adjustRightInd w:val="0"/>
              <w:ind w:firstLine="480"/>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Lp=Lpo-20log（r/r0）</w:t>
            </w:r>
          </w:p>
          <w:p w14:paraId="0A75D5C2">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式中：Lp——距点声源r米处的噪声预测值，单位dB（A）；</w:t>
            </w:r>
          </w:p>
          <w:p w14:paraId="659630D7">
            <w:pPr>
              <w:adjustRightInd w:val="0"/>
              <w:ind w:firstLine="1200" w:firstLineChars="50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Lp0——距点声源r0米处的噪声值，单位dB（A）。</w:t>
            </w:r>
          </w:p>
          <w:p w14:paraId="4DDC9F3E">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根据噪声源强以及点源衰减预测模式，可以计算出在距噪声源一定距离的噪声值，计算结果见下表：</w:t>
            </w:r>
          </w:p>
          <w:p w14:paraId="23D5E006">
            <w:pPr>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表4-</w:t>
            </w:r>
            <w:r>
              <w:rPr>
                <w:rFonts w:hint="default" w:ascii="Times New Roman" w:hAnsi="Times New Roman" w:cs="Times New Roman"/>
                <w:b/>
                <w:bCs/>
                <w:color w:val="auto"/>
                <w:kern w:val="0"/>
                <w:sz w:val="21"/>
                <w:szCs w:val="21"/>
                <w:highlight w:val="none"/>
                <w:lang w:val="en-US" w:eastAsia="zh-CN"/>
              </w:rPr>
              <w:t>16</w:t>
            </w:r>
            <w:r>
              <w:rPr>
                <w:rFonts w:hint="default" w:ascii="Times New Roman" w:hAnsi="Times New Roman" w:cs="Times New Roman"/>
                <w:b/>
                <w:bCs/>
                <w:color w:val="auto"/>
                <w:kern w:val="0"/>
                <w:sz w:val="21"/>
                <w:szCs w:val="21"/>
                <w:highlight w:val="none"/>
              </w:rPr>
              <w:t xml:space="preserve"> 爆破噪声在不同距离的噪声衰减值  单位：dB（A）</w:t>
            </w:r>
          </w:p>
          <w:tbl>
            <w:tblPr>
              <w:tblStyle w:val="30"/>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8"/>
              <w:gridCol w:w="653"/>
              <w:gridCol w:w="698"/>
              <w:gridCol w:w="717"/>
              <w:gridCol w:w="721"/>
              <w:gridCol w:w="837"/>
              <w:gridCol w:w="718"/>
              <w:gridCol w:w="641"/>
              <w:gridCol w:w="724"/>
              <w:gridCol w:w="721"/>
            </w:tblGrid>
            <w:tr w14:paraId="0A08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pct"/>
                  <w:vAlign w:val="center"/>
                </w:tcPr>
                <w:p w14:paraId="5EFFF921">
                  <w:pPr>
                    <w:adjustRightInd w:val="0"/>
                    <w:spacing w:line="240" w:lineRule="auto"/>
                    <w:ind w:firstLine="0" w:firstLineChars="0"/>
                    <w:jc w:val="center"/>
                    <w:rPr>
                      <w:rFonts w:hint="default" w:ascii="Times New Roman" w:hAnsi="Times New Roman" w:cs="Times New Roman"/>
                      <w:b/>
                      <w:color w:val="auto"/>
                      <w:kern w:val="0"/>
                      <w:sz w:val="21"/>
                      <w:szCs w:val="18"/>
                      <w:highlight w:val="none"/>
                    </w:rPr>
                  </w:pPr>
                  <w:r>
                    <w:rPr>
                      <w:rFonts w:hint="default" w:ascii="Times New Roman" w:hAnsi="Times New Roman" w:cs="Times New Roman"/>
                      <w:b/>
                      <w:color w:val="auto"/>
                      <w:kern w:val="0"/>
                      <w:sz w:val="21"/>
                      <w:szCs w:val="18"/>
                      <w:highlight w:val="none"/>
                    </w:rPr>
                    <w:t>距离（m）</w:t>
                  </w:r>
                </w:p>
              </w:tc>
              <w:tc>
                <w:tcPr>
                  <w:tcW w:w="417" w:type="pct"/>
                  <w:vAlign w:val="center"/>
                </w:tcPr>
                <w:p w14:paraId="1D05549C">
                  <w:pPr>
                    <w:adjustRightInd w:val="0"/>
                    <w:spacing w:line="240" w:lineRule="auto"/>
                    <w:ind w:firstLine="0" w:firstLineChars="0"/>
                    <w:jc w:val="center"/>
                    <w:rPr>
                      <w:rFonts w:hint="default" w:ascii="Times New Roman" w:hAnsi="Times New Roman" w:cs="Times New Roman"/>
                      <w:b/>
                      <w:color w:val="auto"/>
                      <w:kern w:val="0"/>
                      <w:sz w:val="21"/>
                      <w:szCs w:val="18"/>
                      <w:highlight w:val="none"/>
                    </w:rPr>
                  </w:pPr>
                  <w:r>
                    <w:rPr>
                      <w:rFonts w:hint="default" w:ascii="Times New Roman" w:hAnsi="Times New Roman" w:cs="Times New Roman"/>
                      <w:b/>
                      <w:color w:val="auto"/>
                      <w:kern w:val="0"/>
                      <w:sz w:val="21"/>
                      <w:szCs w:val="18"/>
                      <w:highlight w:val="none"/>
                    </w:rPr>
                    <w:t>100</w:t>
                  </w:r>
                </w:p>
              </w:tc>
              <w:tc>
                <w:tcPr>
                  <w:tcW w:w="446" w:type="pct"/>
                  <w:vAlign w:val="center"/>
                </w:tcPr>
                <w:p w14:paraId="708BB48B">
                  <w:pPr>
                    <w:adjustRightInd w:val="0"/>
                    <w:spacing w:line="240" w:lineRule="auto"/>
                    <w:ind w:firstLine="0" w:firstLineChars="0"/>
                    <w:jc w:val="center"/>
                    <w:rPr>
                      <w:rFonts w:hint="default" w:ascii="Times New Roman" w:hAnsi="Times New Roman" w:cs="Times New Roman"/>
                      <w:b/>
                      <w:color w:val="auto"/>
                      <w:kern w:val="0"/>
                      <w:sz w:val="21"/>
                      <w:szCs w:val="18"/>
                      <w:highlight w:val="none"/>
                    </w:rPr>
                  </w:pPr>
                  <w:r>
                    <w:rPr>
                      <w:rFonts w:hint="default" w:ascii="Times New Roman" w:hAnsi="Times New Roman" w:cs="Times New Roman"/>
                      <w:b/>
                      <w:color w:val="auto"/>
                      <w:kern w:val="0"/>
                      <w:sz w:val="21"/>
                      <w:szCs w:val="18"/>
                      <w:highlight w:val="none"/>
                    </w:rPr>
                    <w:t>200</w:t>
                  </w:r>
                </w:p>
              </w:tc>
              <w:tc>
                <w:tcPr>
                  <w:tcW w:w="458" w:type="pct"/>
                  <w:vAlign w:val="center"/>
                </w:tcPr>
                <w:p w14:paraId="3A9A2A76">
                  <w:pPr>
                    <w:adjustRightInd w:val="0"/>
                    <w:spacing w:line="240" w:lineRule="auto"/>
                    <w:ind w:firstLine="0" w:firstLineChars="0"/>
                    <w:jc w:val="center"/>
                    <w:rPr>
                      <w:rFonts w:hint="default" w:ascii="Times New Roman" w:hAnsi="Times New Roman" w:cs="Times New Roman"/>
                      <w:b/>
                      <w:color w:val="auto"/>
                      <w:kern w:val="0"/>
                      <w:sz w:val="21"/>
                      <w:szCs w:val="18"/>
                      <w:highlight w:val="none"/>
                    </w:rPr>
                  </w:pPr>
                  <w:r>
                    <w:rPr>
                      <w:rFonts w:hint="default" w:ascii="Times New Roman" w:hAnsi="Times New Roman" w:cs="Times New Roman"/>
                      <w:b/>
                      <w:color w:val="auto"/>
                      <w:kern w:val="0"/>
                      <w:sz w:val="21"/>
                      <w:szCs w:val="18"/>
                      <w:highlight w:val="none"/>
                    </w:rPr>
                    <w:t>250</w:t>
                  </w:r>
                </w:p>
              </w:tc>
              <w:tc>
                <w:tcPr>
                  <w:tcW w:w="461" w:type="pct"/>
                  <w:vAlign w:val="center"/>
                </w:tcPr>
                <w:p w14:paraId="475BD559">
                  <w:pPr>
                    <w:adjustRightInd w:val="0"/>
                    <w:spacing w:line="240" w:lineRule="auto"/>
                    <w:ind w:firstLine="0" w:firstLineChars="0"/>
                    <w:jc w:val="center"/>
                    <w:rPr>
                      <w:rFonts w:hint="default" w:ascii="Times New Roman" w:hAnsi="Times New Roman" w:cs="Times New Roman"/>
                      <w:b/>
                      <w:color w:val="auto"/>
                      <w:kern w:val="0"/>
                      <w:sz w:val="21"/>
                      <w:szCs w:val="18"/>
                      <w:highlight w:val="none"/>
                    </w:rPr>
                  </w:pPr>
                  <w:r>
                    <w:rPr>
                      <w:rFonts w:hint="default" w:ascii="Times New Roman" w:hAnsi="Times New Roman" w:cs="Times New Roman"/>
                      <w:b/>
                      <w:color w:val="auto"/>
                      <w:kern w:val="0"/>
                      <w:sz w:val="21"/>
                      <w:szCs w:val="18"/>
                      <w:highlight w:val="none"/>
                    </w:rPr>
                    <w:t>300</w:t>
                  </w:r>
                </w:p>
              </w:tc>
              <w:tc>
                <w:tcPr>
                  <w:tcW w:w="535" w:type="pct"/>
                  <w:vAlign w:val="center"/>
                </w:tcPr>
                <w:p w14:paraId="29148110">
                  <w:pPr>
                    <w:adjustRightInd w:val="0"/>
                    <w:spacing w:line="240" w:lineRule="auto"/>
                    <w:ind w:firstLine="0" w:firstLineChars="0"/>
                    <w:jc w:val="center"/>
                    <w:rPr>
                      <w:rFonts w:hint="default" w:ascii="Times New Roman" w:hAnsi="Times New Roman" w:cs="Times New Roman"/>
                      <w:b/>
                      <w:color w:val="auto"/>
                      <w:kern w:val="0"/>
                      <w:sz w:val="21"/>
                      <w:szCs w:val="18"/>
                      <w:highlight w:val="none"/>
                    </w:rPr>
                  </w:pPr>
                  <w:r>
                    <w:rPr>
                      <w:rFonts w:hint="default" w:ascii="Times New Roman" w:hAnsi="Times New Roman" w:cs="Times New Roman"/>
                      <w:b/>
                      <w:color w:val="auto"/>
                      <w:kern w:val="0"/>
                      <w:sz w:val="21"/>
                      <w:szCs w:val="18"/>
                      <w:highlight w:val="none"/>
                    </w:rPr>
                    <w:t>350</w:t>
                  </w:r>
                </w:p>
              </w:tc>
              <w:tc>
                <w:tcPr>
                  <w:tcW w:w="459" w:type="pct"/>
                  <w:vAlign w:val="center"/>
                </w:tcPr>
                <w:p w14:paraId="12A81277">
                  <w:pPr>
                    <w:adjustRightInd w:val="0"/>
                    <w:spacing w:line="240" w:lineRule="auto"/>
                    <w:ind w:firstLine="0" w:firstLineChars="0"/>
                    <w:jc w:val="center"/>
                    <w:rPr>
                      <w:rFonts w:hint="default" w:ascii="Times New Roman" w:hAnsi="Times New Roman" w:cs="Times New Roman"/>
                      <w:b/>
                      <w:color w:val="auto"/>
                      <w:kern w:val="0"/>
                      <w:sz w:val="21"/>
                      <w:szCs w:val="18"/>
                      <w:highlight w:val="none"/>
                    </w:rPr>
                  </w:pPr>
                  <w:r>
                    <w:rPr>
                      <w:rFonts w:hint="default" w:ascii="Times New Roman" w:hAnsi="Times New Roman" w:cs="Times New Roman"/>
                      <w:b/>
                      <w:color w:val="auto"/>
                      <w:kern w:val="0"/>
                      <w:sz w:val="21"/>
                      <w:szCs w:val="18"/>
                      <w:highlight w:val="none"/>
                    </w:rPr>
                    <w:t>400</w:t>
                  </w:r>
                </w:p>
              </w:tc>
              <w:tc>
                <w:tcPr>
                  <w:tcW w:w="410" w:type="pct"/>
                  <w:vAlign w:val="center"/>
                </w:tcPr>
                <w:p w14:paraId="54D915ED">
                  <w:pPr>
                    <w:adjustRightInd w:val="0"/>
                    <w:spacing w:line="240" w:lineRule="auto"/>
                    <w:ind w:firstLine="0" w:firstLineChars="0"/>
                    <w:jc w:val="center"/>
                    <w:rPr>
                      <w:rFonts w:hint="default" w:ascii="Times New Roman" w:hAnsi="Times New Roman" w:cs="Times New Roman"/>
                      <w:b/>
                      <w:color w:val="auto"/>
                      <w:kern w:val="0"/>
                      <w:sz w:val="21"/>
                      <w:szCs w:val="18"/>
                      <w:highlight w:val="none"/>
                    </w:rPr>
                  </w:pPr>
                  <w:r>
                    <w:rPr>
                      <w:rFonts w:hint="default" w:ascii="Times New Roman" w:hAnsi="Times New Roman" w:cs="Times New Roman"/>
                      <w:b/>
                      <w:color w:val="auto"/>
                      <w:kern w:val="0"/>
                      <w:sz w:val="21"/>
                      <w:szCs w:val="18"/>
                      <w:highlight w:val="none"/>
                    </w:rPr>
                    <w:t>450</w:t>
                  </w:r>
                </w:p>
              </w:tc>
              <w:tc>
                <w:tcPr>
                  <w:tcW w:w="463" w:type="pct"/>
                  <w:vAlign w:val="center"/>
                </w:tcPr>
                <w:p w14:paraId="272B15DE">
                  <w:pPr>
                    <w:adjustRightInd w:val="0"/>
                    <w:spacing w:line="240" w:lineRule="auto"/>
                    <w:ind w:firstLine="0" w:firstLineChars="0"/>
                    <w:jc w:val="center"/>
                    <w:rPr>
                      <w:rFonts w:hint="default" w:ascii="Times New Roman" w:hAnsi="Times New Roman" w:cs="Times New Roman"/>
                      <w:b/>
                      <w:color w:val="auto"/>
                      <w:kern w:val="0"/>
                      <w:sz w:val="21"/>
                      <w:szCs w:val="18"/>
                      <w:highlight w:val="none"/>
                    </w:rPr>
                  </w:pPr>
                  <w:r>
                    <w:rPr>
                      <w:rFonts w:hint="default" w:ascii="Times New Roman" w:hAnsi="Times New Roman" w:cs="Times New Roman"/>
                      <w:b/>
                      <w:color w:val="auto"/>
                      <w:kern w:val="0"/>
                      <w:sz w:val="21"/>
                      <w:szCs w:val="18"/>
                      <w:highlight w:val="none"/>
                    </w:rPr>
                    <w:t>500</w:t>
                  </w:r>
                </w:p>
              </w:tc>
              <w:tc>
                <w:tcPr>
                  <w:tcW w:w="460" w:type="pct"/>
                  <w:vAlign w:val="center"/>
                </w:tcPr>
                <w:p w14:paraId="3AF2A749">
                  <w:pPr>
                    <w:adjustRightInd w:val="0"/>
                    <w:spacing w:line="240" w:lineRule="auto"/>
                    <w:ind w:firstLine="0" w:firstLineChars="0"/>
                    <w:jc w:val="center"/>
                    <w:rPr>
                      <w:rFonts w:hint="default" w:ascii="Times New Roman" w:hAnsi="Times New Roman" w:cs="Times New Roman"/>
                      <w:b/>
                      <w:color w:val="auto"/>
                      <w:kern w:val="0"/>
                      <w:sz w:val="21"/>
                      <w:szCs w:val="18"/>
                      <w:highlight w:val="none"/>
                    </w:rPr>
                  </w:pPr>
                  <w:r>
                    <w:rPr>
                      <w:rFonts w:hint="default" w:ascii="Times New Roman" w:hAnsi="Times New Roman" w:cs="Times New Roman"/>
                      <w:b/>
                      <w:color w:val="auto"/>
                      <w:kern w:val="0"/>
                      <w:sz w:val="21"/>
                      <w:szCs w:val="18"/>
                      <w:highlight w:val="none"/>
                    </w:rPr>
                    <w:t>600</w:t>
                  </w:r>
                </w:p>
              </w:tc>
            </w:tr>
            <w:tr w14:paraId="1931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pct"/>
                  <w:vAlign w:val="center"/>
                </w:tcPr>
                <w:p w14:paraId="02379457">
                  <w:pPr>
                    <w:adjustRightInd w:val="0"/>
                    <w:spacing w:line="240" w:lineRule="auto"/>
                    <w:ind w:firstLine="0" w:firstLineChars="0"/>
                    <w:jc w:val="center"/>
                    <w:rPr>
                      <w:rFonts w:hint="default" w:ascii="Times New Roman" w:hAnsi="Times New Roman" w:cs="Times New Roman"/>
                      <w:color w:val="auto"/>
                      <w:kern w:val="0"/>
                      <w:sz w:val="21"/>
                      <w:szCs w:val="18"/>
                      <w:highlight w:val="none"/>
                    </w:rPr>
                  </w:pPr>
                  <w:r>
                    <w:rPr>
                      <w:rFonts w:hint="default" w:ascii="Times New Roman" w:hAnsi="Times New Roman" w:cs="Times New Roman"/>
                      <w:color w:val="auto"/>
                      <w:kern w:val="0"/>
                      <w:sz w:val="21"/>
                      <w:szCs w:val="18"/>
                      <w:highlight w:val="none"/>
                    </w:rPr>
                    <w:t>爆破</w:t>
                  </w:r>
                </w:p>
              </w:tc>
              <w:tc>
                <w:tcPr>
                  <w:tcW w:w="417" w:type="pct"/>
                  <w:vAlign w:val="center"/>
                </w:tcPr>
                <w:p w14:paraId="29426F8D">
                  <w:pPr>
                    <w:adjustRightInd w:val="0"/>
                    <w:spacing w:line="240" w:lineRule="auto"/>
                    <w:ind w:firstLine="0" w:firstLineChars="0"/>
                    <w:jc w:val="center"/>
                    <w:rPr>
                      <w:rFonts w:hint="default" w:ascii="Times New Roman" w:hAnsi="Times New Roman" w:cs="Times New Roman"/>
                      <w:color w:val="auto"/>
                      <w:kern w:val="0"/>
                      <w:sz w:val="21"/>
                      <w:szCs w:val="18"/>
                      <w:highlight w:val="none"/>
                    </w:rPr>
                  </w:pPr>
                  <w:r>
                    <w:rPr>
                      <w:rFonts w:hint="default" w:ascii="Times New Roman" w:hAnsi="Times New Roman" w:cs="Times New Roman"/>
                      <w:color w:val="auto"/>
                      <w:kern w:val="0"/>
                      <w:sz w:val="21"/>
                      <w:szCs w:val="18"/>
                      <w:highlight w:val="none"/>
                    </w:rPr>
                    <w:t>110</w:t>
                  </w:r>
                </w:p>
              </w:tc>
              <w:tc>
                <w:tcPr>
                  <w:tcW w:w="446" w:type="pct"/>
                  <w:vAlign w:val="center"/>
                </w:tcPr>
                <w:p w14:paraId="74BE3290">
                  <w:pPr>
                    <w:adjustRightInd w:val="0"/>
                    <w:spacing w:line="240" w:lineRule="auto"/>
                    <w:ind w:firstLine="0" w:firstLineChars="0"/>
                    <w:jc w:val="center"/>
                    <w:rPr>
                      <w:rFonts w:hint="default" w:ascii="Times New Roman" w:hAnsi="Times New Roman" w:cs="Times New Roman"/>
                      <w:color w:val="auto"/>
                      <w:kern w:val="0"/>
                      <w:sz w:val="21"/>
                      <w:szCs w:val="18"/>
                      <w:highlight w:val="none"/>
                    </w:rPr>
                  </w:pPr>
                  <w:r>
                    <w:rPr>
                      <w:rFonts w:hint="default" w:ascii="Times New Roman" w:hAnsi="Times New Roman" w:cs="Times New Roman"/>
                      <w:color w:val="auto"/>
                      <w:kern w:val="0"/>
                      <w:sz w:val="21"/>
                      <w:szCs w:val="18"/>
                      <w:highlight w:val="none"/>
                    </w:rPr>
                    <w:t>102</w:t>
                  </w:r>
                </w:p>
              </w:tc>
              <w:tc>
                <w:tcPr>
                  <w:tcW w:w="458" w:type="pct"/>
                  <w:vAlign w:val="center"/>
                </w:tcPr>
                <w:p w14:paraId="3FA6B3F3">
                  <w:pPr>
                    <w:adjustRightInd w:val="0"/>
                    <w:spacing w:line="240" w:lineRule="auto"/>
                    <w:ind w:firstLine="0" w:firstLineChars="0"/>
                    <w:jc w:val="center"/>
                    <w:rPr>
                      <w:rFonts w:hint="default" w:ascii="Times New Roman" w:hAnsi="Times New Roman" w:cs="Times New Roman"/>
                      <w:color w:val="auto"/>
                      <w:kern w:val="0"/>
                      <w:sz w:val="21"/>
                      <w:szCs w:val="18"/>
                      <w:highlight w:val="none"/>
                    </w:rPr>
                  </w:pPr>
                  <w:r>
                    <w:rPr>
                      <w:rFonts w:hint="default" w:ascii="Times New Roman" w:hAnsi="Times New Roman" w:cs="Times New Roman"/>
                      <w:color w:val="auto"/>
                      <w:kern w:val="0"/>
                      <w:sz w:val="21"/>
                      <w:szCs w:val="18"/>
                      <w:highlight w:val="none"/>
                    </w:rPr>
                    <w:t>95</w:t>
                  </w:r>
                </w:p>
              </w:tc>
              <w:tc>
                <w:tcPr>
                  <w:tcW w:w="461" w:type="pct"/>
                  <w:vAlign w:val="center"/>
                </w:tcPr>
                <w:p w14:paraId="79525202">
                  <w:pPr>
                    <w:adjustRightInd w:val="0"/>
                    <w:spacing w:line="240" w:lineRule="auto"/>
                    <w:ind w:firstLine="0" w:firstLineChars="0"/>
                    <w:jc w:val="center"/>
                    <w:rPr>
                      <w:rFonts w:hint="default" w:ascii="Times New Roman" w:hAnsi="Times New Roman" w:cs="Times New Roman"/>
                      <w:color w:val="auto"/>
                      <w:kern w:val="0"/>
                      <w:sz w:val="21"/>
                      <w:szCs w:val="18"/>
                      <w:highlight w:val="none"/>
                    </w:rPr>
                  </w:pPr>
                  <w:r>
                    <w:rPr>
                      <w:rFonts w:hint="default" w:ascii="Times New Roman" w:hAnsi="Times New Roman" w:cs="Times New Roman"/>
                      <w:color w:val="auto"/>
                      <w:kern w:val="0"/>
                      <w:sz w:val="21"/>
                      <w:szCs w:val="18"/>
                      <w:highlight w:val="none"/>
                    </w:rPr>
                    <w:t>88</w:t>
                  </w:r>
                </w:p>
              </w:tc>
              <w:tc>
                <w:tcPr>
                  <w:tcW w:w="535" w:type="pct"/>
                  <w:vAlign w:val="center"/>
                </w:tcPr>
                <w:p w14:paraId="662103AC">
                  <w:pPr>
                    <w:adjustRightInd w:val="0"/>
                    <w:spacing w:line="240" w:lineRule="auto"/>
                    <w:ind w:firstLine="0" w:firstLineChars="0"/>
                    <w:jc w:val="center"/>
                    <w:rPr>
                      <w:rFonts w:hint="default" w:ascii="Times New Roman" w:hAnsi="Times New Roman" w:cs="Times New Roman"/>
                      <w:color w:val="auto"/>
                      <w:kern w:val="0"/>
                      <w:sz w:val="21"/>
                      <w:szCs w:val="18"/>
                      <w:highlight w:val="none"/>
                    </w:rPr>
                  </w:pPr>
                  <w:r>
                    <w:rPr>
                      <w:rFonts w:hint="default" w:ascii="Times New Roman" w:hAnsi="Times New Roman" w:cs="Times New Roman"/>
                      <w:color w:val="auto"/>
                      <w:kern w:val="0"/>
                      <w:sz w:val="21"/>
                      <w:szCs w:val="18"/>
                      <w:highlight w:val="none"/>
                    </w:rPr>
                    <w:t>82</w:t>
                  </w:r>
                </w:p>
              </w:tc>
              <w:tc>
                <w:tcPr>
                  <w:tcW w:w="459" w:type="pct"/>
                  <w:vAlign w:val="center"/>
                </w:tcPr>
                <w:p w14:paraId="1B96BB86">
                  <w:pPr>
                    <w:adjustRightInd w:val="0"/>
                    <w:spacing w:line="240" w:lineRule="auto"/>
                    <w:ind w:firstLine="0" w:firstLineChars="0"/>
                    <w:jc w:val="center"/>
                    <w:rPr>
                      <w:rFonts w:hint="default" w:ascii="Times New Roman" w:hAnsi="Times New Roman" w:cs="Times New Roman"/>
                      <w:color w:val="auto"/>
                      <w:kern w:val="0"/>
                      <w:sz w:val="21"/>
                      <w:szCs w:val="18"/>
                      <w:highlight w:val="none"/>
                    </w:rPr>
                  </w:pPr>
                  <w:r>
                    <w:rPr>
                      <w:rFonts w:hint="default" w:ascii="Times New Roman" w:hAnsi="Times New Roman" w:cs="Times New Roman"/>
                      <w:color w:val="auto"/>
                      <w:kern w:val="0"/>
                      <w:sz w:val="21"/>
                      <w:szCs w:val="18"/>
                      <w:highlight w:val="none"/>
                    </w:rPr>
                    <w:t>74</w:t>
                  </w:r>
                </w:p>
              </w:tc>
              <w:tc>
                <w:tcPr>
                  <w:tcW w:w="410" w:type="pct"/>
                  <w:vAlign w:val="center"/>
                </w:tcPr>
                <w:p w14:paraId="00A4B596">
                  <w:pPr>
                    <w:adjustRightInd w:val="0"/>
                    <w:spacing w:line="240" w:lineRule="auto"/>
                    <w:ind w:firstLine="0" w:firstLineChars="0"/>
                    <w:jc w:val="center"/>
                    <w:rPr>
                      <w:rFonts w:hint="default" w:ascii="Times New Roman" w:hAnsi="Times New Roman" w:cs="Times New Roman"/>
                      <w:color w:val="auto"/>
                      <w:kern w:val="0"/>
                      <w:sz w:val="21"/>
                      <w:szCs w:val="18"/>
                      <w:highlight w:val="none"/>
                    </w:rPr>
                  </w:pPr>
                  <w:r>
                    <w:rPr>
                      <w:rFonts w:hint="default" w:ascii="Times New Roman" w:hAnsi="Times New Roman" w:cs="Times New Roman"/>
                      <w:color w:val="auto"/>
                      <w:kern w:val="0"/>
                      <w:sz w:val="21"/>
                      <w:szCs w:val="18"/>
                      <w:highlight w:val="none"/>
                    </w:rPr>
                    <w:t>68</w:t>
                  </w:r>
                </w:p>
              </w:tc>
              <w:tc>
                <w:tcPr>
                  <w:tcW w:w="463" w:type="pct"/>
                  <w:vAlign w:val="center"/>
                </w:tcPr>
                <w:p w14:paraId="49D6EDEB">
                  <w:pPr>
                    <w:adjustRightInd w:val="0"/>
                    <w:spacing w:line="240" w:lineRule="auto"/>
                    <w:ind w:firstLine="0" w:firstLineChars="0"/>
                    <w:jc w:val="center"/>
                    <w:rPr>
                      <w:rFonts w:hint="default" w:ascii="Times New Roman" w:hAnsi="Times New Roman" w:cs="Times New Roman"/>
                      <w:color w:val="auto"/>
                      <w:kern w:val="0"/>
                      <w:sz w:val="21"/>
                      <w:szCs w:val="18"/>
                      <w:highlight w:val="none"/>
                    </w:rPr>
                  </w:pPr>
                  <w:r>
                    <w:rPr>
                      <w:rFonts w:hint="default" w:ascii="Times New Roman" w:hAnsi="Times New Roman" w:cs="Times New Roman"/>
                      <w:color w:val="auto"/>
                      <w:kern w:val="0"/>
                      <w:sz w:val="21"/>
                      <w:szCs w:val="18"/>
                      <w:highlight w:val="none"/>
                    </w:rPr>
                    <w:t>56</w:t>
                  </w:r>
                </w:p>
              </w:tc>
              <w:tc>
                <w:tcPr>
                  <w:tcW w:w="460" w:type="pct"/>
                  <w:vAlign w:val="center"/>
                </w:tcPr>
                <w:p w14:paraId="55723394">
                  <w:pPr>
                    <w:adjustRightInd w:val="0"/>
                    <w:spacing w:line="240" w:lineRule="auto"/>
                    <w:ind w:firstLine="0" w:firstLineChars="0"/>
                    <w:jc w:val="center"/>
                    <w:rPr>
                      <w:rFonts w:hint="default" w:ascii="Times New Roman" w:hAnsi="Times New Roman" w:cs="Times New Roman"/>
                      <w:color w:val="auto"/>
                      <w:kern w:val="0"/>
                      <w:sz w:val="21"/>
                      <w:szCs w:val="18"/>
                      <w:highlight w:val="none"/>
                    </w:rPr>
                  </w:pPr>
                  <w:r>
                    <w:rPr>
                      <w:rFonts w:hint="default" w:ascii="Times New Roman" w:hAnsi="Times New Roman" w:cs="Times New Roman"/>
                      <w:color w:val="auto"/>
                      <w:kern w:val="0"/>
                      <w:sz w:val="21"/>
                      <w:szCs w:val="18"/>
                      <w:highlight w:val="none"/>
                    </w:rPr>
                    <w:t>48</w:t>
                  </w:r>
                </w:p>
              </w:tc>
            </w:tr>
          </w:tbl>
          <w:p w14:paraId="1C050FD2">
            <w:pPr>
              <w:adjustRightInd w:val="0"/>
              <w:spacing w:before="156" w:beforeLines="5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由表可知，爆破时在450m范围内噪声超过2类标准限值；500m范围外噪声符合2类标准限值。距离项目</w:t>
            </w:r>
            <w:r>
              <w:rPr>
                <w:rFonts w:hint="default" w:ascii="Times New Roman" w:hAnsi="Times New Roman" w:cs="Times New Roman"/>
                <w:bCs/>
                <w:color w:val="auto"/>
                <w:kern w:val="0"/>
                <w:szCs w:val="21"/>
                <w:highlight w:val="none"/>
                <w:lang w:val="en-US" w:eastAsia="zh-CN"/>
              </w:rPr>
              <w:t>采区</w:t>
            </w:r>
            <w:r>
              <w:rPr>
                <w:rFonts w:hint="default" w:ascii="Times New Roman" w:hAnsi="Times New Roman" w:cs="Times New Roman"/>
                <w:bCs/>
                <w:color w:val="auto"/>
                <w:kern w:val="0"/>
                <w:szCs w:val="21"/>
                <w:highlight w:val="none"/>
              </w:rPr>
              <w:t>最近的</w:t>
            </w:r>
            <w:r>
              <w:rPr>
                <w:rFonts w:hint="default" w:ascii="Times New Roman" w:hAnsi="Times New Roman" w:cs="Times New Roman"/>
                <w:bCs/>
                <w:color w:val="auto"/>
                <w:kern w:val="0"/>
                <w:szCs w:val="21"/>
                <w:highlight w:val="none"/>
                <w:lang w:val="en-US" w:eastAsia="zh-CN"/>
              </w:rPr>
              <w:t>稗子田</w:t>
            </w:r>
            <w:r>
              <w:rPr>
                <w:rFonts w:hint="default" w:ascii="Times New Roman" w:hAnsi="Times New Roman" w:cs="Times New Roman"/>
                <w:bCs/>
                <w:color w:val="auto"/>
                <w:kern w:val="0"/>
                <w:szCs w:val="21"/>
                <w:highlight w:val="none"/>
              </w:rPr>
              <w:t>村距离矿区</w:t>
            </w:r>
            <w:r>
              <w:rPr>
                <w:rFonts w:hint="default" w:ascii="Times New Roman" w:hAnsi="Times New Roman" w:cs="Times New Roman"/>
                <w:bCs/>
                <w:color w:val="auto"/>
                <w:kern w:val="0"/>
                <w:szCs w:val="21"/>
                <w:highlight w:val="none"/>
                <w:lang w:val="en-US" w:eastAsia="zh-CN"/>
              </w:rPr>
              <w:t>546</w:t>
            </w:r>
            <w:r>
              <w:rPr>
                <w:rFonts w:hint="default" w:ascii="Times New Roman" w:hAnsi="Times New Roman" w:cs="Times New Roman"/>
                <w:bCs/>
                <w:color w:val="auto"/>
                <w:kern w:val="0"/>
                <w:szCs w:val="21"/>
                <w:highlight w:val="none"/>
              </w:rPr>
              <w:t>m，距离较远，本项目爆破噪声对其影响较小。矿山爆破作业时间较短，影响随着爆破结束噪声对周边影响消除，具有暂时性，对周围声环境影响不大，是可以接受的。</w:t>
            </w:r>
          </w:p>
          <w:p w14:paraId="65A2DC92">
            <w:pPr>
              <w:adjustRightInd w:val="0"/>
              <w:ind w:firstLine="482"/>
              <w:rPr>
                <w:rFonts w:hint="default" w:ascii="Times New Roman" w:hAnsi="Times New Roman" w:eastAsia="宋体" w:cs="Times New Roman"/>
                <w:b/>
                <w:bCs/>
                <w:color w:val="auto"/>
                <w:kern w:val="0"/>
                <w:szCs w:val="21"/>
                <w:highlight w:val="none"/>
                <w:lang w:val="en-US" w:eastAsia="zh-CN"/>
              </w:rPr>
            </w:pPr>
            <w:r>
              <w:rPr>
                <w:rFonts w:hint="default" w:ascii="Times New Roman" w:hAnsi="Times New Roman" w:eastAsia="宋体" w:cs="Times New Roman"/>
                <w:b/>
                <w:bCs/>
                <w:color w:val="auto"/>
                <w:kern w:val="0"/>
                <w:szCs w:val="21"/>
                <w:highlight w:val="none"/>
                <w:lang w:val="en-US" w:eastAsia="zh-CN"/>
              </w:rPr>
              <w:t>2、运输噪声</w:t>
            </w:r>
          </w:p>
          <w:p w14:paraId="719D126E">
            <w:pPr>
              <w:adjustRightInd w:val="0"/>
              <w:ind w:firstLine="480"/>
              <w:rPr>
                <w:rFonts w:hint="default" w:ascii="Times New Roman" w:hAnsi="Times New Roman" w:cs="Times New Roman"/>
                <w:b/>
                <w:bCs/>
                <w:color w:val="auto"/>
                <w:kern w:val="0"/>
                <w:szCs w:val="21"/>
                <w:highlight w:val="none"/>
                <w:lang w:val="en-US" w:eastAsia="zh-CN"/>
              </w:rPr>
            </w:pPr>
            <w:r>
              <w:rPr>
                <w:rFonts w:hint="default" w:ascii="Times New Roman" w:hAnsi="Times New Roman" w:eastAsia="宋体" w:cs="Times New Roman"/>
                <w:bCs/>
                <w:color w:val="auto"/>
                <w:kern w:val="0"/>
                <w:szCs w:val="21"/>
                <w:highlight w:val="none"/>
                <w:lang w:val="en-US" w:eastAsia="zh-CN"/>
              </w:rPr>
              <w:t>本项目矿山原矿运输车辆产生的噪声，影响局限于项目用地范围红线内；外售成品运输车辆产生的噪声具有时限性，对运输沿线居民有一定影响，但影响较小。</w:t>
            </w:r>
          </w:p>
          <w:p w14:paraId="093CB147">
            <w:pPr>
              <w:adjustRightInd w:val="0"/>
              <w:ind w:firstLine="482"/>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lang w:val="en-US" w:eastAsia="zh-CN"/>
              </w:rPr>
              <w:t>3</w:t>
            </w:r>
            <w:r>
              <w:rPr>
                <w:rFonts w:hint="default" w:ascii="Times New Roman" w:hAnsi="Times New Roman" w:cs="Times New Roman"/>
                <w:b/>
                <w:bCs/>
                <w:color w:val="auto"/>
                <w:kern w:val="0"/>
                <w:szCs w:val="21"/>
                <w:highlight w:val="none"/>
              </w:rPr>
              <w:t>、主要设备噪声影响分析</w:t>
            </w:r>
          </w:p>
          <w:p w14:paraId="786996EE">
            <w:pPr>
              <w:adjustRightInd w:val="0"/>
              <w:ind w:firstLine="482"/>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（1）噪声源情况</w:t>
            </w:r>
          </w:p>
          <w:p w14:paraId="05D013C3">
            <w:pPr>
              <w:adjustRightInd w:val="0"/>
              <w:ind w:firstLine="480"/>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项目所使用的机械设备主要有钻机、挖掘机、装载机、破碎机、空压机、水泵等，根据《环境噪声与振动控制工程技术导则》（HJ2034-2013）附录A和《环境工程手册 噪声控制卷》中噪声源强及类比分析，项目运营期主要设备噪声源强及治理措施见表4-</w:t>
            </w:r>
            <w:r>
              <w:rPr>
                <w:rFonts w:hint="eastAsia" w:cs="Times New Roman"/>
                <w:bCs/>
                <w:color w:val="auto"/>
                <w:kern w:val="0"/>
                <w:szCs w:val="21"/>
                <w:highlight w:val="none"/>
                <w:lang w:val="en-US" w:eastAsia="zh-CN"/>
              </w:rPr>
              <w:t>21</w:t>
            </w:r>
            <w:r>
              <w:rPr>
                <w:rFonts w:hint="default" w:ascii="Times New Roman" w:hAnsi="Times New Roman" w:cs="Times New Roman"/>
                <w:bCs/>
                <w:color w:val="auto"/>
                <w:kern w:val="0"/>
                <w:szCs w:val="21"/>
                <w:highlight w:val="none"/>
              </w:rPr>
              <w:t>。</w:t>
            </w:r>
          </w:p>
          <w:p w14:paraId="1A92D784">
            <w:pPr>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表4-</w:t>
            </w:r>
            <w:r>
              <w:rPr>
                <w:rFonts w:hint="eastAsia" w:cs="Times New Roman"/>
                <w:b/>
                <w:bCs/>
                <w:color w:val="auto"/>
                <w:kern w:val="0"/>
                <w:sz w:val="21"/>
                <w:szCs w:val="21"/>
                <w:highlight w:val="none"/>
                <w:lang w:val="en-US" w:eastAsia="zh-CN"/>
              </w:rPr>
              <w:t>21</w:t>
            </w:r>
            <w:r>
              <w:rPr>
                <w:rFonts w:hint="default" w:ascii="Times New Roman" w:hAnsi="Times New Roman" w:cs="Times New Roman"/>
                <w:b/>
                <w:bCs/>
                <w:color w:val="auto"/>
                <w:kern w:val="0"/>
                <w:sz w:val="21"/>
                <w:szCs w:val="21"/>
                <w:highlight w:val="none"/>
              </w:rPr>
              <w:t xml:space="preserve"> 噪声源强及治理措施一览表</w:t>
            </w:r>
          </w:p>
          <w:tbl>
            <w:tblPr>
              <w:tblStyle w:val="30"/>
              <w:tblW w:w="50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6"/>
              <w:gridCol w:w="540"/>
              <w:gridCol w:w="1585"/>
              <w:gridCol w:w="1195"/>
              <w:gridCol w:w="1063"/>
              <w:gridCol w:w="2820"/>
            </w:tblGrid>
            <w:tr w14:paraId="249B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trPr>
              <w:tc>
                <w:tcPr>
                  <w:tcW w:w="428" w:type="pct"/>
                  <w:tcMar>
                    <w:top w:w="15" w:type="dxa"/>
                    <w:left w:w="15" w:type="dxa"/>
                    <w:bottom w:w="0" w:type="dxa"/>
                    <w:right w:w="15" w:type="dxa"/>
                  </w:tcMar>
                  <w:vAlign w:val="center"/>
                </w:tcPr>
                <w:p w14:paraId="0E6294DC">
                  <w:pPr>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序号</w:t>
                  </w:r>
                </w:p>
              </w:tc>
              <w:tc>
                <w:tcPr>
                  <w:tcW w:w="342" w:type="pct"/>
                  <w:tcMar>
                    <w:top w:w="15" w:type="dxa"/>
                    <w:left w:w="15" w:type="dxa"/>
                    <w:bottom w:w="0" w:type="dxa"/>
                    <w:right w:w="15" w:type="dxa"/>
                  </w:tcMar>
                  <w:vAlign w:val="center"/>
                </w:tcPr>
                <w:p w14:paraId="76F56E58">
                  <w:pPr>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位置</w:t>
                  </w:r>
                </w:p>
              </w:tc>
              <w:tc>
                <w:tcPr>
                  <w:tcW w:w="1005" w:type="pct"/>
                  <w:tcMar>
                    <w:top w:w="15" w:type="dxa"/>
                    <w:left w:w="15" w:type="dxa"/>
                    <w:bottom w:w="0" w:type="dxa"/>
                    <w:right w:w="15" w:type="dxa"/>
                  </w:tcMar>
                  <w:vAlign w:val="center"/>
                </w:tcPr>
                <w:p w14:paraId="40972F8A">
                  <w:pPr>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噪声源</w:t>
                  </w:r>
                </w:p>
              </w:tc>
              <w:tc>
                <w:tcPr>
                  <w:tcW w:w="758" w:type="pct"/>
                  <w:tcMar>
                    <w:top w:w="15" w:type="dxa"/>
                    <w:left w:w="15" w:type="dxa"/>
                    <w:bottom w:w="0" w:type="dxa"/>
                    <w:right w:w="15" w:type="dxa"/>
                  </w:tcMar>
                  <w:vAlign w:val="center"/>
                </w:tcPr>
                <w:p w14:paraId="0307877F">
                  <w:pPr>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数量（台）</w:t>
                  </w:r>
                </w:p>
              </w:tc>
              <w:tc>
                <w:tcPr>
                  <w:tcW w:w="674" w:type="pct"/>
                  <w:vAlign w:val="center"/>
                </w:tcPr>
                <w:p w14:paraId="52E5B5C1">
                  <w:pPr>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噪声源强</w:t>
                  </w:r>
                </w:p>
              </w:tc>
              <w:tc>
                <w:tcPr>
                  <w:tcW w:w="1789" w:type="pct"/>
                  <w:vAlign w:val="center"/>
                </w:tcPr>
                <w:p w14:paraId="517A83CF">
                  <w:pPr>
                    <w:adjustRightInd w:val="0"/>
                    <w:spacing w:line="240" w:lineRule="auto"/>
                    <w:ind w:firstLine="0" w:firstLineChars="0"/>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降噪措施</w:t>
                  </w:r>
                </w:p>
              </w:tc>
            </w:tr>
            <w:tr w14:paraId="5079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trPr>
              <w:tc>
                <w:tcPr>
                  <w:tcW w:w="428" w:type="pct"/>
                  <w:tcMar>
                    <w:top w:w="15" w:type="dxa"/>
                    <w:left w:w="15" w:type="dxa"/>
                    <w:bottom w:w="0" w:type="dxa"/>
                    <w:right w:w="15" w:type="dxa"/>
                  </w:tcMar>
                  <w:vAlign w:val="center"/>
                </w:tcPr>
                <w:p w14:paraId="262BB7CB">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w:t>
                  </w:r>
                </w:p>
              </w:tc>
              <w:tc>
                <w:tcPr>
                  <w:tcW w:w="342" w:type="pct"/>
                  <w:vMerge w:val="restart"/>
                  <w:vAlign w:val="center"/>
                </w:tcPr>
                <w:p w14:paraId="7FAB242C">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r>
                    <w:rPr>
                      <w:rFonts w:hint="default" w:ascii="Times New Roman" w:hAnsi="Times New Roman" w:eastAsia="宋体" w:cs="Times New Roman"/>
                      <w:snapToGrid/>
                      <w:color w:val="auto"/>
                      <w:kern w:val="0"/>
                      <w:sz w:val="21"/>
                      <w:szCs w:val="21"/>
                      <w:highlight w:val="none"/>
                      <w:lang w:eastAsia="zh-CN"/>
                    </w:rPr>
                    <w:t>露天开采区</w:t>
                  </w:r>
                </w:p>
              </w:tc>
              <w:tc>
                <w:tcPr>
                  <w:tcW w:w="1005" w:type="pct"/>
                  <w:tcMar>
                    <w:top w:w="15" w:type="dxa"/>
                    <w:left w:w="15" w:type="dxa"/>
                    <w:bottom w:w="0" w:type="dxa"/>
                    <w:right w:w="15" w:type="dxa"/>
                  </w:tcMar>
                  <w:vAlign w:val="center"/>
                </w:tcPr>
                <w:p w14:paraId="15363AEE">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凿岩机</w:t>
                  </w:r>
                </w:p>
              </w:tc>
              <w:tc>
                <w:tcPr>
                  <w:tcW w:w="758" w:type="pct"/>
                  <w:tcMar>
                    <w:top w:w="15" w:type="dxa"/>
                    <w:left w:w="15" w:type="dxa"/>
                    <w:bottom w:w="0" w:type="dxa"/>
                    <w:right w:w="15" w:type="dxa"/>
                  </w:tcMar>
                  <w:vAlign w:val="center"/>
                </w:tcPr>
                <w:p w14:paraId="573D4B78">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1</w:t>
                  </w:r>
                </w:p>
              </w:tc>
              <w:tc>
                <w:tcPr>
                  <w:tcW w:w="674" w:type="pct"/>
                  <w:tcMar>
                    <w:top w:w="15" w:type="dxa"/>
                    <w:left w:w="15" w:type="dxa"/>
                    <w:bottom w:w="0" w:type="dxa"/>
                    <w:right w:w="15" w:type="dxa"/>
                  </w:tcMar>
                  <w:vAlign w:val="center"/>
                </w:tcPr>
                <w:p w14:paraId="318746EE">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90</w:t>
                  </w:r>
                </w:p>
              </w:tc>
              <w:tc>
                <w:tcPr>
                  <w:tcW w:w="1789" w:type="pct"/>
                  <w:vMerge w:val="restart"/>
                  <w:tcMar>
                    <w:top w:w="15" w:type="dxa"/>
                    <w:left w:w="15" w:type="dxa"/>
                    <w:bottom w:w="0" w:type="dxa"/>
                    <w:right w:w="15" w:type="dxa"/>
                  </w:tcMar>
                  <w:vAlign w:val="center"/>
                </w:tcPr>
                <w:p w14:paraId="15B3546A">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选用低噪声设备、基础减震、动力设备定期维护和维修，更换磨损和松动的部件，厂房隔声</w:t>
                  </w:r>
                </w:p>
              </w:tc>
            </w:tr>
            <w:tr w14:paraId="5051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 w:hRule="atLeast"/>
              </w:trPr>
              <w:tc>
                <w:tcPr>
                  <w:tcW w:w="428" w:type="pct"/>
                  <w:tcMar>
                    <w:top w:w="15" w:type="dxa"/>
                    <w:left w:w="15" w:type="dxa"/>
                    <w:bottom w:w="0" w:type="dxa"/>
                    <w:right w:w="15" w:type="dxa"/>
                  </w:tcMar>
                  <w:vAlign w:val="center"/>
                </w:tcPr>
                <w:p w14:paraId="0A17D4E4">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2</w:t>
                  </w:r>
                </w:p>
              </w:tc>
              <w:tc>
                <w:tcPr>
                  <w:tcW w:w="342" w:type="pct"/>
                  <w:vMerge w:val="continue"/>
                  <w:vAlign w:val="center"/>
                </w:tcPr>
                <w:p w14:paraId="4F4EE1FF">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p>
              </w:tc>
              <w:tc>
                <w:tcPr>
                  <w:tcW w:w="1005" w:type="pct"/>
                  <w:tcMar>
                    <w:top w:w="15" w:type="dxa"/>
                    <w:left w:w="15" w:type="dxa"/>
                    <w:bottom w:w="0" w:type="dxa"/>
                    <w:right w:w="15" w:type="dxa"/>
                  </w:tcMar>
                  <w:vAlign w:val="center"/>
                </w:tcPr>
                <w:p w14:paraId="2040C08B">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r>
                    <w:rPr>
                      <w:rFonts w:hint="default" w:ascii="Times New Roman" w:hAnsi="Times New Roman" w:eastAsia="宋体" w:cs="Times New Roman"/>
                      <w:snapToGrid/>
                      <w:color w:val="auto"/>
                      <w:kern w:val="0"/>
                      <w:sz w:val="21"/>
                      <w:szCs w:val="21"/>
                      <w:highlight w:val="none"/>
                      <w:lang w:val="en-US" w:eastAsia="zh-CN"/>
                    </w:rPr>
                    <w:t>挖掘机</w:t>
                  </w:r>
                </w:p>
              </w:tc>
              <w:tc>
                <w:tcPr>
                  <w:tcW w:w="758" w:type="pct"/>
                  <w:tcMar>
                    <w:top w:w="15" w:type="dxa"/>
                    <w:left w:w="15" w:type="dxa"/>
                    <w:bottom w:w="0" w:type="dxa"/>
                    <w:right w:w="15" w:type="dxa"/>
                  </w:tcMar>
                  <w:vAlign w:val="center"/>
                </w:tcPr>
                <w:p w14:paraId="6F275D53">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r>
                    <w:rPr>
                      <w:rFonts w:hint="default" w:ascii="Times New Roman" w:hAnsi="Times New Roman" w:eastAsia="宋体" w:cs="Times New Roman"/>
                      <w:snapToGrid/>
                      <w:color w:val="auto"/>
                      <w:kern w:val="0"/>
                      <w:sz w:val="21"/>
                      <w:szCs w:val="21"/>
                      <w:highlight w:val="none"/>
                      <w:lang w:val="en-US" w:eastAsia="zh-CN"/>
                    </w:rPr>
                    <w:t>2</w:t>
                  </w:r>
                </w:p>
              </w:tc>
              <w:tc>
                <w:tcPr>
                  <w:tcW w:w="674" w:type="pct"/>
                  <w:tcMar>
                    <w:top w:w="15" w:type="dxa"/>
                    <w:left w:w="15" w:type="dxa"/>
                    <w:bottom w:w="0" w:type="dxa"/>
                    <w:right w:w="15" w:type="dxa"/>
                  </w:tcMar>
                  <w:vAlign w:val="center"/>
                </w:tcPr>
                <w:p w14:paraId="54342845">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85</w:t>
                  </w:r>
                </w:p>
              </w:tc>
              <w:tc>
                <w:tcPr>
                  <w:tcW w:w="1789" w:type="pct"/>
                  <w:vMerge w:val="continue"/>
                  <w:tcMar>
                    <w:top w:w="15" w:type="dxa"/>
                    <w:left w:w="15" w:type="dxa"/>
                    <w:bottom w:w="0" w:type="dxa"/>
                    <w:right w:w="15" w:type="dxa"/>
                  </w:tcMar>
                  <w:vAlign w:val="center"/>
                </w:tcPr>
                <w:p w14:paraId="6FF9C74A">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p>
              </w:tc>
            </w:tr>
            <w:tr w14:paraId="4518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28" w:type="pct"/>
                  <w:tcMar>
                    <w:top w:w="15" w:type="dxa"/>
                    <w:left w:w="15" w:type="dxa"/>
                    <w:bottom w:w="0" w:type="dxa"/>
                    <w:right w:w="15" w:type="dxa"/>
                  </w:tcMar>
                  <w:vAlign w:val="center"/>
                </w:tcPr>
                <w:p w14:paraId="0AF1DAC0">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w:t>
                  </w:r>
                </w:p>
              </w:tc>
              <w:tc>
                <w:tcPr>
                  <w:tcW w:w="342" w:type="pct"/>
                  <w:vMerge w:val="continue"/>
                  <w:vAlign w:val="center"/>
                </w:tcPr>
                <w:p w14:paraId="7B61C0A7">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p>
              </w:tc>
              <w:tc>
                <w:tcPr>
                  <w:tcW w:w="1005" w:type="pct"/>
                  <w:tcMar>
                    <w:top w:w="15" w:type="dxa"/>
                    <w:left w:w="15" w:type="dxa"/>
                    <w:bottom w:w="0" w:type="dxa"/>
                    <w:right w:w="15" w:type="dxa"/>
                  </w:tcMar>
                  <w:vAlign w:val="center"/>
                </w:tcPr>
                <w:p w14:paraId="7028BCC1">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r>
                    <w:rPr>
                      <w:rFonts w:hint="default" w:ascii="Times New Roman" w:hAnsi="Times New Roman" w:eastAsia="宋体" w:cs="Times New Roman"/>
                      <w:snapToGrid/>
                      <w:color w:val="auto"/>
                      <w:kern w:val="0"/>
                      <w:sz w:val="21"/>
                      <w:szCs w:val="21"/>
                      <w:highlight w:val="none"/>
                      <w:lang w:eastAsia="zh-CN"/>
                    </w:rPr>
                    <w:t>装载机</w:t>
                  </w:r>
                </w:p>
              </w:tc>
              <w:tc>
                <w:tcPr>
                  <w:tcW w:w="758" w:type="pct"/>
                  <w:tcMar>
                    <w:top w:w="15" w:type="dxa"/>
                    <w:left w:w="15" w:type="dxa"/>
                    <w:bottom w:w="0" w:type="dxa"/>
                    <w:right w:w="15" w:type="dxa"/>
                  </w:tcMar>
                  <w:vAlign w:val="center"/>
                </w:tcPr>
                <w:p w14:paraId="65DE1C24">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r>
                    <w:rPr>
                      <w:rFonts w:hint="default" w:ascii="Times New Roman" w:hAnsi="Times New Roman" w:eastAsia="宋体" w:cs="Times New Roman"/>
                      <w:snapToGrid/>
                      <w:color w:val="auto"/>
                      <w:kern w:val="0"/>
                      <w:sz w:val="21"/>
                      <w:szCs w:val="21"/>
                      <w:highlight w:val="none"/>
                      <w:lang w:val="en-US" w:eastAsia="zh-CN"/>
                    </w:rPr>
                    <w:t>2</w:t>
                  </w:r>
                </w:p>
              </w:tc>
              <w:tc>
                <w:tcPr>
                  <w:tcW w:w="674" w:type="pct"/>
                  <w:tcMar>
                    <w:top w:w="15" w:type="dxa"/>
                    <w:left w:w="15" w:type="dxa"/>
                    <w:bottom w:w="0" w:type="dxa"/>
                    <w:right w:w="15" w:type="dxa"/>
                  </w:tcMar>
                  <w:vAlign w:val="center"/>
                </w:tcPr>
                <w:p w14:paraId="14EA7DCD">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90</w:t>
                  </w:r>
                </w:p>
              </w:tc>
              <w:tc>
                <w:tcPr>
                  <w:tcW w:w="1789" w:type="pct"/>
                  <w:vMerge w:val="continue"/>
                  <w:tcMar>
                    <w:top w:w="15" w:type="dxa"/>
                    <w:left w:w="15" w:type="dxa"/>
                    <w:bottom w:w="0" w:type="dxa"/>
                    <w:right w:w="15" w:type="dxa"/>
                  </w:tcMar>
                  <w:vAlign w:val="center"/>
                </w:tcPr>
                <w:p w14:paraId="02E8EA75">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p>
              </w:tc>
            </w:tr>
            <w:tr w14:paraId="2BED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28" w:type="pct"/>
                  <w:tcMar>
                    <w:top w:w="15" w:type="dxa"/>
                    <w:left w:w="15" w:type="dxa"/>
                    <w:bottom w:w="0" w:type="dxa"/>
                    <w:right w:w="15" w:type="dxa"/>
                  </w:tcMar>
                  <w:vAlign w:val="center"/>
                </w:tcPr>
                <w:p w14:paraId="65EE3D8B">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w:t>
                  </w:r>
                </w:p>
              </w:tc>
              <w:tc>
                <w:tcPr>
                  <w:tcW w:w="342" w:type="pct"/>
                  <w:vMerge w:val="continue"/>
                  <w:vAlign w:val="center"/>
                </w:tcPr>
                <w:p w14:paraId="7FBBD948">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p>
              </w:tc>
              <w:tc>
                <w:tcPr>
                  <w:tcW w:w="1005" w:type="pct"/>
                  <w:tcMar>
                    <w:top w:w="15" w:type="dxa"/>
                    <w:left w:w="15" w:type="dxa"/>
                    <w:bottom w:w="0" w:type="dxa"/>
                    <w:right w:w="15" w:type="dxa"/>
                  </w:tcMar>
                  <w:vAlign w:val="center"/>
                </w:tcPr>
                <w:p w14:paraId="648B8C8D">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r>
                    <w:rPr>
                      <w:rFonts w:hint="default" w:ascii="Times New Roman" w:hAnsi="Times New Roman" w:eastAsia="宋体" w:cs="Times New Roman"/>
                      <w:snapToGrid/>
                      <w:color w:val="auto"/>
                      <w:kern w:val="0"/>
                      <w:sz w:val="21"/>
                      <w:szCs w:val="21"/>
                      <w:highlight w:val="none"/>
                      <w:lang w:eastAsia="zh-CN"/>
                    </w:rPr>
                    <w:t>运输</w:t>
                  </w:r>
                  <w:r>
                    <w:rPr>
                      <w:rFonts w:hint="default" w:ascii="Times New Roman" w:hAnsi="Times New Roman" w:eastAsia="宋体" w:cs="Times New Roman"/>
                      <w:snapToGrid/>
                      <w:color w:val="auto"/>
                      <w:kern w:val="0"/>
                      <w:sz w:val="21"/>
                      <w:szCs w:val="21"/>
                      <w:highlight w:val="none"/>
                      <w:lang w:val="en-US" w:eastAsia="zh-CN"/>
                    </w:rPr>
                    <w:t>汽车</w:t>
                  </w:r>
                  <w:r>
                    <w:rPr>
                      <w:rFonts w:hint="default" w:ascii="Times New Roman" w:hAnsi="Times New Roman" w:eastAsia="宋体" w:cs="Times New Roman"/>
                      <w:snapToGrid/>
                      <w:color w:val="auto"/>
                      <w:kern w:val="0"/>
                      <w:sz w:val="21"/>
                      <w:szCs w:val="21"/>
                      <w:highlight w:val="none"/>
                      <w:lang w:eastAsia="zh-CN"/>
                    </w:rPr>
                    <w:t>（</w:t>
                  </w:r>
                  <w:r>
                    <w:rPr>
                      <w:rFonts w:hint="default" w:ascii="Times New Roman" w:hAnsi="Times New Roman" w:eastAsia="宋体" w:cs="Times New Roman"/>
                      <w:snapToGrid/>
                      <w:color w:val="auto"/>
                      <w:kern w:val="0"/>
                      <w:sz w:val="21"/>
                      <w:szCs w:val="21"/>
                      <w:highlight w:val="none"/>
                      <w:lang w:val="en-US" w:eastAsia="zh-CN"/>
                    </w:rPr>
                    <w:t>25</w:t>
                  </w:r>
                  <w:r>
                    <w:rPr>
                      <w:rFonts w:hint="default" w:ascii="Times New Roman" w:hAnsi="Times New Roman" w:eastAsia="宋体" w:cs="Times New Roman"/>
                      <w:snapToGrid/>
                      <w:color w:val="auto"/>
                      <w:kern w:val="0"/>
                      <w:sz w:val="21"/>
                      <w:szCs w:val="21"/>
                      <w:highlight w:val="none"/>
                      <w:lang w:eastAsia="zh-CN"/>
                    </w:rPr>
                    <w:t>t）</w:t>
                  </w:r>
                </w:p>
              </w:tc>
              <w:tc>
                <w:tcPr>
                  <w:tcW w:w="758" w:type="pct"/>
                  <w:tcMar>
                    <w:top w:w="15" w:type="dxa"/>
                    <w:left w:w="15" w:type="dxa"/>
                    <w:bottom w:w="0" w:type="dxa"/>
                    <w:right w:w="15" w:type="dxa"/>
                  </w:tcMar>
                  <w:vAlign w:val="center"/>
                </w:tcPr>
                <w:p w14:paraId="589BDE8E">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r>
                    <w:rPr>
                      <w:rFonts w:hint="default" w:ascii="Times New Roman" w:hAnsi="Times New Roman" w:eastAsia="宋体" w:cs="Times New Roman"/>
                      <w:snapToGrid/>
                      <w:color w:val="auto"/>
                      <w:kern w:val="0"/>
                      <w:sz w:val="21"/>
                      <w:szCs w:val="21"/>
                      <w:highlight w:val="none"/>
                      <w:lang w:val="en-US" w:eastAsia="zh-CN"/>
                    </w:rPr>
                    <w:t>4</w:t>
                  </w:r>
                </w:p>
              </w:tc>
              <w:tc>
                <w:tcPr>
                  <w:tcW w:w="674" w:type="pct"/>
                  <w:tcMar>
                    <w:top w:w="15" w:type="dxa"/>
                    <w:left w:w="15" w:type="dxa"/>
                    <w:bottom w:w="0" w:type="dxa"/>
                    <w:right w:w="15" w:type="dxa"/>
                  </w:tcMar>
                  <w:vAlign w:val="center"/>
                </w:tcPr>
                <w:p w14:paraId="6EB5C58D">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r>
                    <w:rPr>
                      <w:rFonts w:hint="default" w:ascii="Times New Roman" w:hAnsi="Times New Roman" w:eastAsia="宋体" w:cs="Times New Roman"/>
                      <w:snapToGrid/>
                      <w:color w:val="auto"/>
                      <w:kern w:val="0"/>
                      <w:sz w:val="21"/>
                      <w:szCs w:val="21"/>
                      <w:highlight w:val="none"/>
                      <w:lang w:eastAsia="zh-CN"/>
                    </w:rPr>
                    <w:t>85</w:t>
                  </w:r>
                </w:p>
              </w:tc>
              <w:tc>
                <w:tcPr>
                  <w:tcW w:w="1789" w:type="pct"/>
                  <w:vMerge w:val="continue"/>
                  <w:tcMar>
                    <w:top w:w="15" w:type="dxa"/>
                    <w:left w:w="15" w:type="dxa"/>
                    <w:bottom w:w="0" w:type="dxa"/>
                    <w:right w:w="15" w:type="dxa"/>
                  </w:tcMar>
                  <w:vAlign w:val="center"/>
                </w:tcPr>
                <w:p w14:paraId="4E689581">
                  <w:pPr>
                    <w:widowControl w:val="0"/>
                    <w:kinsoku/>
                    <w:autoSpaceDE w:val="0"/>
                    <w:autoSpaceDN w:val="0"/>
                    <w:adjustRightInd w:val="0"/>
                    <w:snapToGrid/>
                    <w:spacing w:line="240" w:lineRule="auto"/>
                    <w:ind w:firstLine="0" w:firstLineChars="0"/>
                    <w:jc w:val="center"/>
                    <w:textAlignment w:val="auto"/>
                    <w:rPr>
                      <w:rFonts w:hint="default" w:ascii="Times New Roman" w:hAnsi="Times New Roman" w:eastAsia="宋体" w:cs="Times New Roman"/>
                      <w:snapToGrid/>
                      <w:color w:val="auto"/>
                      <w:kern w:val="0"/>
                      <w:sz w:val="21"/>
                      <w:szCs w:val="21"/>
                      <w:highlight w:val="none"/>
                      <w:lang w:eastAsia="zh-CN"/>
                    </w:rPr>
                  </w:pPr>
                </w:p>
              </w:tc>
            </w:tr>
            <w:tr w14:paraId="4B19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28" w:type="pct"/>
                  <w:tcMar>
                    <w:top w:w="15" w:type="dxa"/>
                    <w:left w:w="15" w:type="dxa"/>
                    <w:bottom w:w="0" w:type="dxa"/>
                    <w:right w:w="15" w:type="dxa"/>
                  </w:tcMar>
                  <w:vAlign w:val="center"/>
                </w:tcPr>
                <w:p w14:paraId="4AAA5B5A">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w:t>
                  </w:r>
                </w:p>
              </w:tc>
              <w:tc>
                <w:tcPr>
                  <w:tcW w:w="342" w:type="pct"/>
                  <w:vMerge w:val="continue"/>
                  <w:vAlign w:val="center"/>
                </w:tcPr>
                <w:p w14:paraId="047F6876">
                  <w:pPr>
                    <w:widowControl/>
                    <w:spacing w:line="240" w:lineRule="auto"/>
                    <w:ind w:firstLine="0" w:firstLineChars="0"/>
                    <w:jc w:val="left"/>
                    <w:rPr>
                      <w:rFonts w:hint="default" w:ascii="Times New Roman" w:hAnsi="Times New Roman" w:cs="Times New Roman"/>
                      <w:bCs/>
                      <w:color w:val="auto"/>
                      <w:kern w:val="0"/>
                      <w:sz w:val="21"/>
                      <w:szCs w:val="21"/>
                      <w:highlight w:val="none"/>
                    </w:rPr>
                  </w:pPr>
                </w:p>
              </w:tc>
              <w:tc>
                <w:tcPr>
                  <w:tcW w:w="1005" w:type="pct"/>
                  <w:tcMar>
                    <w:top w:w="15" w:type="dxa"/>
                    <w:left w:w="15" w:type="dxa"/>
                    <w:bottom w:w="0" w:type="dxa"/>
                    <w:right w:w="15" w:type="dxa"/>
                  </w:tcMar>
                  <w:vAlign w:val="center"/>
                </w:tcPr>
                <w:p w14:paraId="26D72566">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洒水车(10</w:t>
                  </w:r>
                  <w:r>
                    <w:rPr>
                      <w:rFonts w:hint="default" w:ascii="Times New Roman" w:hAnsi="Times New Roman" w:cs="Times New Roman"/>
                      <w:color w:val="auto"/>
                      <w:kern w:val="0"/>
                      <w:sz w:val="21"/>
                      <w:szCs w:val="21"/>
                      <w:highlight w:val="none"/>
                      <w:lang w:val="en-US" w:eastAsia="zh-CN"/>
                    </w:rPr>
                    <w:t>m</w:t>
                  </w:r>
                  <w:r>
                    <w:rPr>
                      <w:rFonts w:hint="default" w:ascii="Times New Roman" w:hAnsi="Times New Roman" w:cs="Times New Roman"/>
                      <w:color w:val="auto"/>
                      <w:kern w:val="0"/>
                      <w:sz w:val="21"/>
                      <w:szCs w:val="21"/>
                      <w:highlight w:val="none"/>
                      <w:vertAlign w:val="superscript"/>
                      <w:lang w:val="en-US" w:eastAsia="zh-CN"/>
                    </w:rPr>
                    <w:t>3</w:t>
                  </w:r>
                  <w:r>
                    <w:rPr>
                      <w:rFonts w:hint="default" w:ascii="Times New Roman" w:hAnsi="Times New Roman" w:cs="Times New Roman"/>
                      <w:color w:val="auto"/>
                      <w:kern w:val="0"/>
                      <w:sz w:val="21"/>
                      <w:szCs w:val="21"/>
                      <w:highlight w:val="none"/>
                    </w:rPr>
                    <w:t>)</w:t>
                  </w:r>
                </w:p>
              </w:tc>
              <w:tc>
                <w:tcPr>
                  <w:tcW w:w="758" w:type="pct"/>
                  <w:tcMar>
                    <w:top w:w="15" w:type="dxa"/>
                    <w:left w:w="15" w:type="dxa"/>
                    <w:bottom w:w="0" w:type="dxa"/>
                    <w:right w:w="15" w:type="dxa"/>
                  </w:tcMar>
                  <w:vAlign w:val="center"/>
                </w:tcPr>
                <w:p w14:paraId="26C28C2E">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w:t>
                  </w:r>
                </w:p>
              </w:tc>
              <w:tc>
                <w:tcPr>
                  <w:tcW w:w="674" w:type="pct"/>
                  <w:tcMar>
                    <w:top w:w="15" w:type="dxa"/>
                    <w:left w:w="15" w:type="dxa"/>
                    <w:bottom w:w="0" w:type="dxa"/>
                    <w:right w:w="15" w:type="dxa"/>
                  </w:tcMar>
                  <w:vAlign w:val="center"/>
                </w:tcPr>
                <w:p w14:paraId="10887730">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rPr>
                    <w:t>8</w:t>
                  </w:r>
                  <w:r>
                    <w:rPr>
                      <w:rFonts w:hint="default" w:ascii="Times New Roman" w:hAnsi="Times New Roman" w:cs="Times New Roman"/>
                      <w:color w:val="auto"/>
                      <w:kern w:val="0"/>
                      <w:sz w:val="21"/>
                      <w:szCs w:val="21"/>
                      <w:highlight w:val="none"/>
                      <w:lang w:val="en-US" w:eastAsia="zh-CN"/>
                    </w:rPr>
                    <w:t>0</w:t>
                  </w:r>
                </w:p>
              </w:tc>
              <w:tc>
                <w:tcPr>
                  <w:tcW w:w="1789" w:type="pct"/>
                  <w:vMerge w:val="continue"/>
                  <w:tcMar>
                    <w:top w:w="15" w:type="dxa"/>
                    <w:left w:w="15" w:type="dxa"/>
                    <w:bottom w:w="0" w:type="dxa"/>
                    <w:right w:w="15" w:type="dxa"/>
                  </w:tcMar>
                  <w:vAlign w:val="center"/>
                </w:tcPr>
                <w:p w14:paraId="5E5121EF">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p>
              </w:tc>
            </w:tr>
            <w:tr w14:paraId="0C92F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428" w:type="pct"/>
                  <w:shd w:val="clear" w:color="auto" w:fill="auto"/>
                  <w:tcMar>
                    <w:top w:w="15" w:type="dxa"/>
                    <w:left w:w="15" w:type="dxa"/>
                    <w:bottom w:w="0" w:type="dxa"/>
                    <w:right w:w="15" w:type="dxa"/>
                  </w:tcMar>
                  <w:vAlign w:val="center"/>
                </w:tcPr>
                <w:p w14:paraId="6949B67C">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6</w:t>
                  </w:r>
                </w:p>
              </w:tc>
              <w:tc>
                <w:tcPr>
                  <w:tcW w:w="342" w:type="pct"/>
                  <w:vMerge w:val="restart"/>
                  <w:shd w:val="clear" w:color="auto" w:fill="auto"/>
                  <w:vAlign w:val="center"/>
                </w:tcPr>
                <w:p w14:paraId="49E350CB">
                  <w:pPr>
                    <w:widowControl/>
                    <w:spacing w:line="240" w:lineRule="auto"/>
                    <w:ind w:firstLine="0" w:firstLineChars="0"/>
                    <w:jc w:val="left"/>
                    <w:rPr>
                      <w:rFonts w:hint="default" w:ascii="Times New Roman" w:hAnsi="Times New Roman" w:eastAsia="宋体" w:cs="Times New Roman"/>
                      <w:color w:val="auto"/>
                      <w:kern w:val="0"/>
                      <w:sz w:val="21"/>
                      <w:szCs w:val="21"/>
                      <w:highlight w:val="none"/>
                      <w:lang w:val="en-US" w:eastAsia="zh-CN" w:bidi="ar-SA"/>
                    </w:rPr>
                  </w:pPr>
                </w:p>
                <w:p w14:paraId="11835E42">
                  <w:pPr>
                    <w:widowControl/>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工业场地区</w:t>
                  </w:r>
                </w:p>
              </w:tc>
              <w:tc>
                <w:tcPr>
                  <w:tcW w:w="1005" w:type="pct"/>
                  <w:shd w:val="clear" w:color="auto" w:fill="auto"/>
                  <w:tcMar>
                    <w:top w:w="15" w:type="dxa"/>
                    <w:left w:w="15" w:type="dxa"/>
                    <w:bottom w:w="0" w:type="dxa"/>
                    <w:right w:w="15" w:type="dxa"/>
                  </w:tcMar>
                  <w:vAlign w:val="center"/>
                </w:tcPr>
                <w:p w14:paraId="7A5B7056">
                  <w:pPr>
                    <w:widowControl w:val="0"/>
                    <w:kinsoku/>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color w:val="auto"/>
                      <w:sz w:val="21"/>
                      <w:highlight w:val="none"/>
                      <w:lang w:eastAsia="zh-CN"/>
                    </w:rPr>
                    <w:t>颚式破碎机</w:t>
                  </w:r>
                </w:p>
              </w:tc>
              <w:tc>
                <w:tcPr>
                  <w:tcW w:w="758" w:type="pct"/>
                  <w:shd w:val="clear" w:color="auto" w:fill="auto"/>
                  <w:tcMar>
                    <w:top w:w="15" w:type="dxa"/>
                    <w:left w:w="15" w:type="dxa"/>
                    <w:bottom w:w="0" w:type="dxa"/>
                    <w:right w:w="15" w:type="dxa"/>
                  </w:tcMar>
                  <w:vAlign w:val="center"/>
                </w:tcPr>
                <w:p w14:paraId="59E66454">
                  <w:pPr>
                    <w:widowControl w:val="0"/>
                    <w:kinsoku/>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color w:val="auto"/>
                      <w:sz w:val="21"/>
                      <w:highlight w:val="none"/>
                      <w:lang w:val="en-US" w:eastAsia="zh-CN"/>
                    </w:rPr>
                    <w:t>1</w:t>
                  </w:r>
                </w:p>
              </w:tc>
              <w:tc>
                <w:tcPr>
                  <w:tcW w:w="674" w:type="pct"/>
                  <w:shd w:val="clear" w:color="auto" w:fill="auto"/>
                  <w:tcMar>
                    <w:top w:w="15" w:type="dxa"/>
                    <w:left w:w="15" w:type="dxa"/>
                    <w:bottom w:w="0" w:type="dxa"/>
                    <w:right w:w="15" w:type="dxa"/>
                  </w:tcMar>
                  <w:vAlign w:val="center"/>
                </w:tcPr>
                <w:p w14:paraId="05D8EA91">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90</w:t>
                  </w:r>
                </w:p>
              </w:tc>
              <w:tc>
                <w:tcPr>
                  <w:tcW w:w="1789" w:type="pct"/>
                  <w:vMerge w:val="continue"/>
                  <w:tcMar>
                    <w:top w:w="15" w:type="dxa"/>
                    <w:left w:w="15" w:type="dxa"/>
                    <w:bottom w:w="0" w:type="dxa"/>
                    <w:right w:w="15" w:type="dxa"/>
                  </w:tcMar>
                  <w:vAlign w:val="center"/>
                </w:tcPr>
                <w:p w14:paraId="14D54C75">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p>
              </w:tc>
            </w:tr>
            <w:tr w14:paraId="5D25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428" w:type="pct"/>
                  <w:shd w:val="clear" w:color="auto" w:fill="auto"/>
                  <w:tcMar>
                    <w:top w:w="15" w:type="dxa"/>
                    <w:left w:w="15" w:type="dxa"/>
                    <w:bottom w:w="0" w:type="dxa"/>
                    <w:right w:w="15" w:type="dxa"/>
                  </w:tcMar>
                  <w:vAlign w:val="center"/>
                </w:tcPr>
                <w:p w14:paraId="1951C500">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7</w:t>
                  </w:r>
                </w:p>
              </w:tc>
              <w:tc>
                <w:tcPr>
                  <w:tcW w:w="342" w:type="pct"/>
                  <w:vMerge w:val="continue"/>
                  <w:vAlign w:val="center"/>
                </w:tcPr>
                <w:p w14:paraId="0567BB44">
                  <w:pPr>
                    <w:widowControl/>
                    <w:spacing w:line="240" w:lineRule="auto"/>
                    <w:ind w:firstLine="0" w:firstLineChars="0"/>
                    <w:jc w:val="left"/>
                    <w:rPr>
                      <w:rFonts w:hint="default" w:ascii="Times New Roman" w:hAnsi="Times New Roman" w:cs="Times New Roman"/>
                      <w:color w:val="auto"/>
                      <w:kern w:val="0"/>
                      <w:sz w:val="21"/>
                      <w:szCs w:val="21"/>
                      <w:highlight w:val="none"/>
                    </w:rPr>
                  </w:pPr>
                </w:p>
              </w:tc>
              <w:tc>
                <w:tcPr>
                  <w:tcW w:w="1005" w:type="pct"/>
                  <w:shd w:val="clear" w:color="auto" w:fill="auto"/>
                  <w:tcMar>
                    <w:top w:w="15" w:type="dxa"/>
                    <w:left w:w="15" w:type="dxa"/>
                    <w:bottom w:w="0" w:type="dxa"/>
                    <w:right w:w="15" w:type="dxa"/>
                  </w:tcMar>
                  <w:vAlign w:val="center"/>
                </w:tcPr>
                <w:p w14:paraId="40B51786">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pacing w:val="0"/>
                      <w:w w:val="100"/>
                      <w:position w:val="0"/>
                      <w:sz w:val="21"/>
                      <w:szCs w:val="21"/>
                      <w:highlight w:val="none"/>
                      <w:lang w:val="en-US" w:eastAsia="zh-CN"/>
                    </w:rPr>
                    <w:t>反击式破碎机</w:t>
                  </w:r>
                </w:p>
              </w:tc>
              <w:tc>
                <w:tcPr>
                  <w:tcW w:w="758" w:type="pct"/>
                  <w:shd w:val="clear" w:color="auto" w:fill="auto"/>
                  <w:tcMar>
                    <w:top w:w="15" w:type="dxa"/>
                    <w:left w:w="15" w:type="dxa"/>
                    <w:bottom w:w="0" w:type="dxa"/>
                    <w:right w:w="15" w:type="dxa"/>
                  </w:tcMar>
                  <w:vAlign w:val="center"/>
                </w:tcPr>
                <w:p w14:paraId="46D23F1E">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1</w:t>
                  </w:r>
                </w:p>
              </w:tc>
              <w:tc>
                <w:tcPr>
                  <w:tcW w:w="674" w:type="pct"/>
                  <w:shd w:val="clear" w:color="auto" w:fill="auto"/>
                  <w:tcMar>
                    <w:top w:w="15" w:type="dxa"/>
                    <w:left w:w="15" w:type="dxa"/>
                    <w:bottom w:w="0" w:type="dxa"/>
                    <w:right w:w="15" w:type="dxa"/>
                  </w:tcMar>
                  <w:vAlign w:val="center"/>
                </w:tcPr>
                <w:p w14:paraId="2E55F747">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90</w:t>
                  </w:r>
                </w:p>
              </w:tc>
              <w:tc>
                <w:tcPr>
                  <w:tcW w:w="1789" w:type="pct"/>
                  <w:vMerge w:val="continue"/>
                  <w:tcMar>
                    <w:top w:w="15" w:type="dxa"/>
                    <w:left w:w="15" w:type="dxa"/>
                    <w:bottom w:w="0" w:type="dxa"/>
                    <w:right w:w="15" w:type="dxa"/>
                  </w:tcMar>
                  <w:vAlign w:val="center"/>
                </w:tcPr>
                <w:p w14:paraId="6AA9BCB7">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p>
              </w:tc>
            </w:tr>
            <w:tr w14:paraId="1C70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428" w:type="pct"/>
                  <w:shd w:val="clear" w:color="auto" w:fill="auto"/>
                  <w:tcMar>
                    <w:top w:w="15" w:type="dxa"/>
                    <w:left w:w="15" w:type="dxa"/>
                    <w:bottom w:w="0" w:type="dxa"/>
                    <w:right w:w="15" w:type="dxa"/>
                  </w:tcMar>
                  <w:vAlign w:val="center"/>
                </w:tcPr>
                <w:p w14:paraId="718B12FE">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8</w:t>
                  </w:r>
                </w:p>
              </w:tc>
              <w:tc>
                <w:tcPr>
                  <w:tcW w:w="342" w:type="pct"/>
                  <w:vMerge w:val="continue"/>
                  <w:vAlign w:val="center"/>
                </w:tcPr>
                <w:p w14:paraId="157D9889">
                  <w:pPr>
                    <w:widowControl/>
                    <w:spacing w:line="240" w:lineRule="auto"/>
                    <w:ind w:firstLine="0" w:firstLineChars="0"/>
                    <w:jc w:val="left"/>
                    <w:rPr>
                      <w:rFonts w:hint="default" w:ascii="Times New Roman" w:hAnsi="Times New Roman" w:cs="Times New Roman"/>
                      <w:color w:val="auto"/>
                      <w:kern w:val="0"/>
                      <w:sz w:val="21"/>
                      <w:szCs w:val="21"/>
                      <w:highlight w:val="none"/>
                    </w:rPr>
                  </w:pPr>
                </w:p>
              </w:tc>
              <w:tc>
                <w:tcPr>
                  <w:tcW w:w="1005" w:type="pct"/>
                  <w:shd w:val="clear" w:color="auto" w:fill="auto"/>
                  <w:tcMar>
                    <w:top w:w="15" w:type="dxa"/>
                    <w:left w:w="15" w:type="dxa"/>
                    <w:bottom w:w="0" w:type="dxa"/>
                    <w:right w:w="15" w:type="dxa"/>
                  </w:tcMar>
                  <w:vAlign w:val="center"/>
                </w:tcPr>
                <w:p w14:paraId="2C7D0860">
                  <w:pPr>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pacing w:val="0"/>
                      <w:w w:val="100"/>
                      <w:position w:val="0"/>
                      <w:sz w:val="21"/>
                      <w:szCs w:val="21"/>
                      <w:highlight w:val="none"/>
                      <w:lang w:val="en-US" w:eastAsia="zh-CN"/>
                    </w:rPr>
                    <w:t>振动筛</w:t>
                  </w:r>
                </w:p>
              </w:tc>
              <w:tc>
                <w:tcPr>
                  <w:tcW w:w="758" w:type="pct"/>
                  <w:shd w:val="clear" w:color="auto" w:fill="auto"/>
                  <w:tcMar>
                    <w:top w:w="15" w:type="dxa"/>
                    <w:left w:w="15" w:type="dxa"/>
                    <w:bottom w:w="0" w:type="dxa"/>
                    <w:right w:w="15" w:type="dxa"/>
                  </w:tcMar>
                  <w:vAlign w:val="center"/>
                </w:tcPr>
                <w:p w14:paraId="5B31260A">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2</w:t>
                  </w:r>
                </w:p>
              </w:tc>
              <w:tc>
                <w:tcPr>
                  <w:tcW w:w="674" w:type="pct"/>
                  <w:shd w:val="clear" w:color="auto" w:fill="auto"/>
                  <w:tcMar>
                    <w:top w:w="15" w:type="dxa"/>
                    <w:left w:w="15" w:type="dxa"/>
                    <w:bottom w:w="0" w:type="dxa"/>
                    <w:right w:w="15" w:type="dxa"/>
                  </w:tcMar>
                  <w:vAlign w:val="center"/>
                </w:tcPr>
                <w:p w14:paraId="2187605D">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90</w:t>
                  </w:r>
                </w:p>
              </w:tc>
              <w:tc>
                <w:tcPr>
                  <w:tcW w:w="1789" w:type="pct"/>
                  <w:vMerge w:val="continue"/>
                  <w:tcMar>
                    <w:top w:w="15" w:type="dxa"/>
                    <w:left w:w="15" w:type="dxa"/>
                    <w:bottom w:w="0" w:type="dxa"/>
                    <w:right w:w="15" w:type="dxa"/>
                  </w:tcMar>
                  <w:vAlign w:val="center"/>
                </w:tcPr>
                <w:p w14:paraId="6D551FEA">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p>
              </w:tc>
            </w:tr>
            <w:tr w14:paraId="7C677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428" w:type="pct"/>
                  <w:shd w:val="clear" w:color="auto" w:fill="auto"/>
                  <w:tcMar>
                    <w:top w:w="15" w:type="dxa"/>
                    <w:left w:w="15" w:type="dxa"/>
                    <w:bottom w:w="0" w:type="dxa"/>
                    <w:right w:w="15" w:type="dxa"/>
                  </w:tcMar>
                  <w:vAlign w:val="center"/>
                </w:tcPr>
                <w:p w14:paraId="3148DC96">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9</w:t>
                  </w:r>
                </w:p>
              </w:tc>
              <w:tc>
                <w:tcPr>
                  <w:tcW w:w="342" w:type="pct"/>
                  <w:vMerge w:val="continue"/>
                  <w:vAlign w:val="center"/>
                </w:tcPr>
                <w:p w14:paraId="402BA9C6">
                  <w:pPr>
                    <w:widowControl/>
                    <w:spacing w:line="240" w:lineRule="auto"/>
                    <w:ind w:firstLine="0" w:firstLineChars="0"/>
                    <w:jc w:val="left"/>
                    <w:rPr>
                      <w:rFonts w:hint="default" w:ascii="Times New Roman" w:hAnsi="Times New Roman" w:cs="Times New Roman"/>
                      <w:color w:val="auto"/>
                      <w:kern w:val="0"/>
                      <w:sz w:val="21"/>
                      <w:szCs w:val="21"/>
                      <w:highlight w:val="none"/>
                    </w:rPr>
                  </w:pPr>
                </w:p>
              </w:tc>
              <w:tc>
                <w:tcPr>
                  <w:tcW w:w="1005" w:type="pct"/>
                  <w:shd w:val="clear" w:color="auto" w:fill="auto"/>
                  <w:tcMar>
                    <w:top w:w="15" w:type="dxa"/>
                    <w:left w:w="15" w:type="dxa"/>
                    <w:bottom w:w="0" w:type="dxa"/>
                    <w:right w:w="15" w:type="dxa"/>
                  </w:tcMar>
                  <w:vAlign w:val="center"/>
                </w:tcPr>
                <w:p w14:paraId="0F2B8964">
                  <w:pPr>
                    <w:spacing w:line="240" w:lineRule="auto"/>
                    <w:ind w:firstLine="0" w:firstLineChars="0"/>
                    <w:jc w:val="center"/>
                    <w:rPr>
                      <w:rFonts w:hint="default" w:ascii="Times New Roman" w:hAnsi="Times New Roman" w:eastAsia="宋体" w:cs="Times New Roman"/>
                      <w:color w:val="auto"/>
                      <w:spacing w:val="0"/>
                      <w:w w:val="100"/>
                      <w:kern w:val="2"/>
                      <w:position w:val="0"/>
                      <w:sz w:val="21"/>
                      <w:szCs w:val="21"/>
                      <w:highlight w:val="none"/>
                      <w:lang w:val="en-US" w:eastAsia="zh-CN" w:bidi="ar-SA"/>
                    </w:rPr>
                  </w:pPr>
                  <w:r>
                    <w:rPr>
                      <w:rFonts w:hint="default" w:ascii="Times New Roman" w:hAnsi="Times New Roman" w:cs="Times New Roman"/>
                      <w:color w:val="auto"/>
                      <w:spacing w:val="0"/>
                      <w:w w:val="100"/>
                      <w:position w:val="0"/>
                      <w:sz w:val="21"/>
                      <w:szCs w:val="21"/>
                      <w:highlight w:val="none"/>
                      <w:lang w:val="en-US" w:eastAsia="zh-CN"/>
                    </w:rPr>
                    <w:t>制砂机</w:t>
                  </w:r>
                </w:p>
              </w:tc>
              <w:tc>
                <w:tcPr>
                  <w:tcW w:w="758" w:type="pct"/>
                  <w:shd w:val="clear" w:color="auto" w:fill="auto"/>
                  <w:tcMar>
                    <w:top w:w="15" w:type="dxa"/>
                    <w:left w:w="15" w:type="dxa"/>
                    <w:bottom w:w="0" w:type="dxa"/>
                    <w:right w:w="15" w:type="dxa"/>
                  </w:tcMar>
                  <w:vAlign w:val="center"/>
                </w:tcPr>
                <w:p w14:paraId="21D68E68">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1</w:t>
                  </w:r>
                </w:p>
              </w:tc>
              <w:tc>
                <w:tcPr>
                  <w:tcW w:w="674" w:type="pct"/>
                  <w:shd w:val="clear" w:color="auto" w:fill="auto"/>
                  <w:tcMar>
                    <w:top w:w="15" w:type="dxa"/>
                    <w:left w:w="15" w:type="dxa"/>
                    <w:bottom w:w="0" w:type="dxa"/>
                    <w:right w:w="15" w:type="dxa"/>
                  </w:tcMar>
                  <w:vAlign w:val="center"/>
                </w:tcPr>
                <w:p w14:paraId="31DDC14D">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90</w:t>
                  </w:r>
                </w:p>
              </w:tc>
              <w:tc>
                <w:tcPr>
                  <w:tcW w:w="1789" w:type="pct"/>
                  <w:vMerge w:val="continue"/>
                  <w:tcMar>
                    <w:top w:w="15" w:type="dxa"/>
                    <w:left w:w="15" w:type="dxa"/>
                    <w:bottom w:w="0" w:type="dxa"/>
                    <w:right w:w="15" w:type="dxa"/>
                  </w:tcMar>
                  <w:vAlign w:val="center"/>
                </w:tcPr>
                <w:p w14:paraId="4EAD51DB">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p>
              </w:tc>
            </w:tr>
            <w:tr w14:paraId="38580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428" w:type="pct"/>
                  <w:shd w:val="clear" w:color="auto" w:fill="auto"/>
                  <w:tcMar>
                    <w:top w:w="15" w:type="dxa"/>
                    <w:left w:w="15" w:type="dxa"/>
                    <w:bottom w:w="0" w:type="dxa"/>
                    <w:right w:w="15" w:type="dxa"/>
                  </w:tcMar>
                  <w:vAlign w:val="center"/>
                </w:tcPr>
                <w:p w14:paraId="4AA2D78E">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10</w:t>
                  </w:r>
                </w:p>
              </w:tc>
              <w:tc>
                <w:tcPr>
                  <w:tcW w:w="342" w:type="pct"/>
                  <w:vMerge w:val="continue"/>
                  <w:vAlign w:val="center"/>
                </w:tcPr>
                <w:p w14:paraId="13471505">
                  <w:pPr>
                    <w:widowControl/>
                    <w:spacing w:line="240" w:lineRule="auto"/>
                    <w:ind w:firstLine="0" w:firstLineChars="0"/>
                    <w:jc w:val="left"/>
                    <w:rPr>
                      <w:rFonts w:hint="default" w:ascii="Times New Roman" w:hAnsi="Times New Roman" w:cs="Times New Roman"/>
                      <w:color w:val="auto"/>
                      <w:kern w:val="0"/>
                      <w:sz w:val="21"/>
                      <w:szCs w:val="21"/>
                      <w:highlight w:val="none"/>
                    </w:rPr>
                  </w:pPr>
                </w:p>
              </w:tc>
              <w:tc>
                <w:tcPr>
                  <w:tcW w:w="1005" w:type="pct"/>
                  <w:shd w:val="clear" w:color="auto" w:fill="auto"/>
                  <w:tcMar>
                    <w:top w:w="15" w:type="dxa"/>
                    <w:left w:w="15" w:type="dxa"/>
                    <w:bottom w:w="0" w:type="dxa"/>
                    <w:right w:w="15" w:type="dxa"/>
                  </w:tcMar>
                  <w:vAlign w:val="center"/>
                </w:tcPr>
                <w:p w14:paraId="62CC32FC">
                  <w:pPr>
                    <w:spacing w:line="240" w:lineRule="auto"/>
                    <w:ind w:firstLine="0" w:firstLineChars="0"/>
                    <w:jc w:val="center"/>
                    <w:rPr>
                      <w:rFonts w:hint="default" w:ascii="Times New Roman" w:hAnsi="Times New Roman" w:eastAsia="宋体" w:cs="Times New Roman"/>
                      <w:color w:val="auto"/>
                      <w:spacing w:val="0"/>
                      <w:w w:val="100"/>
                      <w:kern w:val="2"/>
                      <w:position w:val="0"/>
                      <w:sz w:val="21"/>
                      <w:szCs w:val="21"/>
                      <w:highlight w:val="none"/>
                      <w:lang w:val="en-US" w:eastAsia="zh-CN" w:bidi="ar-SA"/>
                    </w:rPr>
                  </w:pPr>
                  <w:r>
                    <w:rPr>
                      <w:rFonts w:hint="default" w:ascii="Times New Roman" w:hAnsi="Times New Roman" w:cs="Times New Roman"/>
                      <w:color w:val="auto"/>
                      <w:spacing w:val="0"/>
                      <w:w w:val="100"/>
                      <w:position w:val="0"/>
                      <w:sz w:val="21"/>
                      <w:szCs w:val="21"/>
                      <w:highlight w:val="none"/>
                      <w:lang w:val="en-US" w:eastAsia="zh-CN"/>
                    </w:rPr>
                    <w:t>变压器</w:t>
                  </w:r>
                </w:p>
              </w:tc>
              <w:tc>
                <w:tcPr>
                  <w:tcW w:w="758" w:type="pct"/>
                  <w:shd w:val="clear" w:color="auto" w:fill="auto"/>
                  <w:tcMar>
                    <w:top w:w="15" w:type="dxa"/>
                    <w:left w:w="15" w:type="dxa"/>
                    <w:bottom w:w="0" w:type="dxa"/>
                    <w:right w:w="15" w:type="dxa"/>
                  </w:tcMar>
                  <w:vAlign w:val="center"/>
                </w:tcPr>
                <w:p w14:paraId="42A65270">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1</w:t>
                  </w:r>
                </w:p>
              </w:tc>
              <w:tc>
                <w:tcPr>
                  <w:tcW w:w="674" w:type="pct"/>
                  <w:shd w:val="clear" w:color="auto" w:fill="auto"/>
                  <w:tcMar>
                    <w:top w:w="15" w:type="dxa"/>
                    <w:left w:w="15" w:type="dxa"/>
                    <w:bottom w:w="0" w:type="dxa"/>
                    <w:right w:w="15" w:type="dxa"/>
                  </w:tcMar>
                  <w:vAlign w:val="center"/>
                </w:tcPr>
                <w:p w14:paraId="4104E47F">
                  <w:pPr>
                    <w:adjustRightIn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rPr>
                    <w:t>90</w:t>
                  </w:r>
                </w:p>
              </w:tc>
              <w:tc>
                <w:tcPr>
                  <w:tcW w:w="1789" w:type="pct"/>
                  <w:vMerge w:val="continue"/>
                  <w:tcMar>
                    <w:top w:w="15" w:type="dxa"/>
                    <w:left w:w="15" w:type="dxa"/>
                    <w:bottom w:w="0" w:type="dxa"/>
                    <w:right w:w="15" w:type="dxa"/>
                  </w:tcMar>
                  <w:vAlign w:val="center"/>
                </w:tcPr>
                <w:p w14:paraId="734AB86C">
                  <w:pPr>
                    <w:adjustRightInd w:val="0"/>
                    <w:spacing w:line="240" w:lineRule="auto"/>
                    <w:ind w:firstLine="0" w:firstLineChars="0"/>
                    <w:jc w:val="center"/>
                    <w:rPr>
                      <w:rFonts w:hint="default" w:ascii="Times New Roman" w:hAnsi="Times New Roman" w:cs="Times New Roman"/>
                      <w:color w:val="auto"/>
                      <w:kern w:val="0"/>
                      <w:sz w:val="21"/>
                      <w:szCs w:val="21"/>
                      <w:highlight w:val="none"/>
                    </w:rPr>
                  </w:pPr>
                </w:p>
              </w:tc>
            </w:tr>
          </w:tbl>
          <w:p w14:paraId="3FD7EF34">
            <w:pPr>
              <w:adjustRightInd w:val="0"/>
              <w:spacing w:before="156" w:beforeLines="50"/>
              <w:ind w:firstLine="482"/>
              <w:rPr>
                <w:rFonts w:hint="default" w:ascii="Times New Roman" w:hAnsi="Times New Roman" w:cs="Times New Roman"/>
                <w:b/>
                <w:color w:val="auto"/>
                <w:kern w:val="0"/>
                <w:szCs w:val="21"/>
                <w:highlight w:val="none"/>
                <w:lang w:eastAsia="zh-CN"/>
              </w:rPr>
            </w:pPr>
            <w:r>
              <w:rPr>
                <w:rFonts w:hint="default" w:ascii="Times New Roman" w:hAnsi="Times New Roman" w:cs="Times New Roman"/>
                <w:b/>
                <w:color w:val="auto"/>
                <w:kern w:val="0"/>
                <w:szCs w:val="21"/>
                <w:highlight w:val="none"/>
                <w:lang w:eastAsia="zh-CN"/>
              </w:rPr>
              <w:t>（2）噪声预测与分析</w:t>
            </w:r>
          </w:p>
          <w:p w14:paraId="72C3406A">
            <w:pPr>
              <w:adjustRightInd w:val="0"/>
              <w:ind w:firstLine="480"/>
              <w:rPr>
                <w:rFonts w:hint="default" w:ascii="Times New Roman" w:hAnsi="Times New Roman" w:eastAsia="宋体" w:cs="Times New Roman"/>
                <w:bCs/>
                <w:color w:val="auto"/>
                <w:kern w:val="0"/>
                <w:szCs w:val="21"/>
                <w:highlight w:val="none"/>
                <w:lang w:eastAsia="zh-CN"/>
              </w:rPr>
            </w:pPr>
            <w:r>
              <w:rPr>
                <w:rFonts w:hint="default" w:ascii="Times New Roman" w:hAnsi="Times New Roman" w:eastAsia="宋体" w:cs="Times New Roman"/>
                <w:bCs/>
                <w:color w:val="auto"/>
                <w:kern w:val="0"/>
                <w:szCs w:val="21"/>
                <w:highlight w:val="none"/>
                <w:lang w:eastAsia="zh-CN"/>
              </w:rPr>
              <w:t>A、预测模式</w:t>
            </w:r>
          </w:p>
          <w:p w14:paraId="1E42FCF5">
            <w:pPr>
              <w:adjustRightInd w:val="0"/>
              <w:ind w:firstLine="480"/>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eastAsia="宋体" w:cs="Times New Roman"/>
                <w:bCs/>
                <w:color w:val="auto"/>
                <w:kern w:val="0"/>
                <w:szCs w:val="21"/>
                <w:highlight w:val="none"/>
                <w:lang w:val="en-US" w:eastAsia="zh-CN"/>
              </w:rPr>
              <w:t>根据《环境影响评价技术导则 声环境》（HJ2.4-2021）的要求，项目声环境预测采用的模型为《环境影响评价技术导则 声环境》（HJ2.4-2021）附录 A（规范性附录）户外声传播的衰减和附录 B（规范性附录）中“B.1  工业噪声预测计算模型”。</w:t>
            </w:r>
          </w:p>
          <w:p w14:paraId="282E0E97">
            <w:pPr>
              <w:adjustRightInd w:val="0"/>
              <w:ind w:firstLine="480"/>
              <w:rPr>
                <w:rFonts w:hint="default" w:ascii="Times New Roman" w:hAnsi="Times New Roman" w:cs="Times New Roman"/>
                <w:b/>
                <w:color w:val="auto"/>
                <w:kern w:val="0"/>
                <w:szCs w:val="21"/>
                <w:highlight w:val="none"/>
                <w:lang w:eastAsia="zh-CN"/>
              </w:rPr>
            </w:pPr>
            <w:r>
              <w:rPr>
                <w:rFonts w:hint="default" w:ascii="Times New Roman" w:hAnsi="Times New Roman" w:eastAsia="宋体" w:cs="Times New Roman"/>
                <w:bCs/>
                <w:color w:val="auto"/>
                <w:kern w:val="0"/>
                <w:szCs w:val="21"/>
                <w:highlight w:val="none"/>
                <w:lang w:eastAsia="zh-CN"/>
              </w:rPr>
              <w:t>B、声源数据</w:t>
            </w:r>
          </w:p>
          <w:p w14:paraId="6E2150D0">
            <w:pPr>
              <w:adjustRightInd w:val="0"/>
              <w:ind w:firstLine="480"/>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eastAsia="宋体" w:cs="Times New Roman"/>
                <w:bCs/>
                <w:color w:val="auto"/>
                <w:kern w:val="0"/>
                <w:szCs w:val="21"/>
                <w:highlight w:val="none"/>
                <w:lang w:val="en-US" w:eastAsia="zh-CN"/>
              </w:rPr>
              <w:t>本项目噪声源主要为破碎机等，项目产生的噪声源强调查清单见表4-</w:t>
            </w:r>
            <w:r>
              <w:rPr>
                <w:rFonts w:hint="eastAsia" w:cs="Times New Roman"/>
                <w:bCs/>
                <w:color w:val="auto"/>
                <w:kern w:val="0"/>
                <w:szCs w:val="21"/>
                <w:highlight w:val="none"/>
                <w:lang w:val="en-US" w:eastAsia="zh-CN"/>
              </w:rPr>
              <w:t>22</w:t>
            </w:r>
            <w:r>
              <w:rPr>
                <w:rFonts w:hint="default" w:ascii="Times New Roman" w:hAnsi="Times New Roman" w:eastAsia="宋体" w:cs="Times New Roman"/>
                <w:bCs/>
                <w:color w:val="auto"/>
                <w:kern w:val="0"/>
                <w:szCs w:val="21"/>
                <w:highlight w:val="none"/>
                <w:lang w:val="en-US" w:eastAsia="zh-CN"/>
              </w:rPr>
              <w:t>。</w:t>
            </w:r>
          </w:p>
          <w:p w14:paraId="5A5D78CB">
            <w:pPr>
              <w:adjustRightInd w:val="0"/>
              <w:ind w:firstLine="480"/>
              <w:rPr>
                <w:rFonts w:hint="default" w:ascii="Times New Roman" w:hAnsi="Times New Roman" w:eastAsia="宋体" w:cs="Times New Roman"/>
                <w:bCs/>
                <w:color w:val="auto"/>
                <w:kern w:val="0"/>
                <w:szCs w:val="21"/>
                <w:highlight w:val="none"/>
                <w:lang w:val="en-US" w:eastAsia="zh-CN"/>
              </w:rPr>
            </w:pPr>
            <w:r>
              <w:rPr>
                <w:rFonts w:hint="default" w:ascii="Times New Roman" w:hAnsi="Times New Roman" w:eastAsia="宋体" w:cs="Times New Roman"/>
                <w:bCs/>
                <w:color w:val="auto"/>
                <w:kern w:val="0"/>
                <w:szCs w:val="21"/>
                <w:highlight w:val="none"/>
                <w:lang w:val="en-US" w:eastAsia="zh-CN"/>
              </w:rPr>
              <w:t>本项目以破碎站中心</w:t>
            </w:r>
            <w:r>
              <w:rPr>
                <w:rFonts w:hint="default" w:ascii="Times New Roman" w:hAnsi="Times New Roman" w:cs="Times New Roman"/>
                <w:bCs/>
                <w:color w:val="auto"/>
                <w:kern w:val="0"/>
                <w:szCs w:val="21"/>
                <w:highlight w:val="none"/>
                <w:lang w:val="en-US" w:eastAsia="zh-CN"/>
              </w:rPr>
              <w:t>（</w:t>
            </w:r>
            <w:r>
              <w:rPr>
                <w:rFonts w:hint="default" w:ascii="Times New Roman" w:hAnsi="Times New Roman" w:eastAsia="宋体" w:cs="Times New Roman"/>
                <w:bCs/>
                <w:color w:val="auto"/>
                <w:kern w:val="0"/>
                <w:szCs w:val="21"/>
                <w:highlight w:val="none"/>
                <w:lang w:val="en-US" w:eastAsia="zh-CN"/>
              </w:rPr>
              <w:t>E102.78061664，N25.49097299</w:t>
            </w:r>
            <w:r>
              <w:rPr>
                <w:rFonts w:hint="default" w:ascii="Times New Roman" w:hAnsi="Times New Roman" w:cs="Times New Roman"/>
                <w:bCs/>
                <w:color w:val="auto"/>
                <w:kern w:val="0"/>
                <w:szCs w:val="21"/>
                <w:highlight w:val="none"/>
                <w:lang w:val="en-US" w:eastAsia="zh-CN"/>
              </w:rPr>
              <w:t>）</w:t>
            </w:r>
            <w:r>
              <w:rPr>
                <w:rFonts w:hint="default" w:ascii="Times New Roman" w:hAnsi="Times New Roman" w:eastAsia="宋体" w:cs="Times New Roman"/>
                <w:bCs/>
                <w:color w:val="auto"/>
                <w:kern w:val="0"/>
                <w:szCs w:val="21"/>
                <w:highlight w:val="none"/>
                <w:lang w:val="en-US" w:eastAsia="zh-CN"/>
              </w:rPr>
              <w:t>为坐标原点，正东向为X轴正方向，正北向为Y轴正方向。</w:t>
            </w:r>
          </w:p>
          <w:p w14:paraId="5594AC0E">
            <w:pPr>
              <w:spacing w:line="240" w:lineRule="auto"/>
              <w:ind w:firstLine="422"/>
              <w:jc w:val="center"/>
              <w:rPr>
                <w:rFonts w:hint="default" w:ascii="Times New Roman" w:hAnsi="Times New Roman" w:cs="Times New Roman"/>
                <w:b/>
                <w:bCs/>
                <w:color w:val="auto"/>
                <w:sz w:val="21"/>
                <w:highlight w:val="none"/>
                <w:lang w:eastAsia="zh-CN"/>
              </w:rPr>
            </w:pPr>
            <w:r>
              <w:rPr>
                <w:rFonts w:hint="default" w:ascii="Times New Roman" w:hAnsi="Times New Roman" w:cs="Times New Roman"/>
                <w:b/>
                <w:bCs/>
                <w:color w:val="auto"/>
                <w:sz w:val="21"/>
                <w:highlight w:val="none"/>
                <w:lang w:eastAsia="zh-CN"/>
              </w:rPr>
              <w:t>表 4-</w:t>
            </w:r>
            <w:r>
              <w:rPr>
                <w:rFonts w:hint="eastAsia" w:cs="Times New Roman"/>
                <w:b/>
                <w:bCs/>
                <w:color w:val="auto"/>
                <w:sz w:val="21"/>
                <w:highlight w:val="none"/>
                <w:lang w:val="en-US" w:eastAsia="zh-CN"/>
              </w:rPr>
              <w:t>22</w:t>
            </w:r>
            <w:r>
              <w:rPr>
                <w:rFonts w:hint="default" w:ascii="Times New Roman" w:hAnsi="Times New Roman" w:cs="Times New Roman"/>
                <w:b/>
                <w:bCs/>
                <w:color w:val="auto"/>
                <w:sz w:val="21"/>
                <w:highlight w:val="none"/>
                <w:lang w:eastAsia="zh-CN"/>
              </w:rPr>
              <w:t xml:space="preserve"> 工业企业噪声源强调查清单（室外声源）</w:t>
            </w:r>
          </w:p>
          <w:tbl>
            <w:tblPr>
              <w:tblStyle w:val="70"/>
              <w:tblW w:w="785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8"/>
              <w:gridCol w:w="731"/>
              <w:gridCol w:w="968"/>
              <w:gridCol w:w="707"/>
              <w:gridCol w:w="688"/>
              <w:gridCol w:w="553"/>
              <w:gridCol w:w="1652"/>
              <w:gridCol w:w="873"/>
              <w:gridCol w:w="764"/>
              <w:gridCol w:w="608"/>
            </w:tblGrid>
            <w:tr w14:paraId="75874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08" w:type="dxa"/>
                  <w:vMerge w:val="restart"/>
                  <w:vAlign w:val="center"/>
                </w:tcPr>
                <w:p w14:paraId="55040D35">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序号</w:t>
                  </w:r>
                </w:p>
              </w:tc>
              <w:tc>
                <w:tcPr>
                  <w:tcW w:w="731" w:type="dxa"/>
                  <w:vMerge w:val="restart"/>
                  <w:vAlign w:val="center"/>
                </w:tcPr>
                <w:p w14:paraId="157674C4">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声源名称</w:t>
                  </w:r>
                </w:p>
              </w:tc>
              <w:tc>
                <w:tcPr>
                  <w:tcW w:w="968" w:type="dxa"/>
                  <w:vMerge w:val="restart"/>
                  <w:vAlign w:val="center"/>
                </w:tcPr>
                <w:p w14:paraId="0DC33EBC">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型号</w:t>
                  </w:r>
                </w:p>
              </w:tc>
              <w:tc>
                <w:tcPr>
                  <w:tcW w:w="1948" w:type="dxa"/>
                  <w:gridSpan w:val="3"/>
                  <w:vAlign w:val="center"/>
                </w:tcPr>
                <w:p w14:paraId="59128757">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空间相对位置/m</w:t>
                  </w:r>
                </w:p>
              </w:tc>
              <w:tc>
                <w:tcPr>
                  <w:tcW w:w="2525" w:type="dxa"/>
                  <w:gridSpan w:val="2"/>
                  <w:vAlign w:val="center"/>
                </w:tcPr>
                <w:p w14:paraId="5B739F61">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声源源强</w:t>
                  </w:r>
                  <w:r>
                    <w:rPr>
                      <w:rFonts w:hint="default" w:ascii="Times New Roman" w:hAnsi="Times New Roman" w:cs="Times New Roman"/>
                      <w:b/>
                      <w:bCs/>
                      <w:color w:val="auto"/>
                      <w:spacing w:val="-38"/>
                      <w:sz w:val="21"/>
                      <w:highlight w:val="none"/>
                      <w:lang w:eastAsia="zh-CN"/>
                    </w:rPr>
                    <w:t xml:space="preserve"> （任选一种）</w:t>
                  </w:r>
                </w:p>
              </w:tc>
              <w:tc>
                <w:tcPr>
                  <w:tcW w:w="764" w:type="dxa"/>
                  <w:vMerge w:val="restart"/>
                  <w:vAlign w:val="center"/>
                </w:tcPr>
                <w:p w14:paraId="21966FB7">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声源控制措施</w:t>
                  </w:r>
                </w:p>
              </w:tc>
              <w:tc>
                <w:tcPr>
                  <w:tcW w:w="608" w:type="dxa"/>
                  <w:vMerge w:val="restart"/>
                  <w:vAlign w:val="center"/>
                </w:tcPr>
                <w:p w14:paraId="6BEA4618">
                  <w:pPr>
                    <w:widowControl w:val="0"/>
                    <w:kinsoku/>
                    <w:snapToGrid/>
                    <w:spacing w:line="240" w:lineRule="auto"/>
                    <w:ind w:firstLine="0" w:firstLineChars="0"/>
                    <w:jc w:val="center"/>
                    <w:textAlignment w:val="auto"/>
                    <w:rPr>
                      <w:rFonts w:hint="default" w:ascii="Times New Roman" w:hAnsi="Times New Roman" w:cs="Times New Roman"/>
                      <w:b/>
                      <w:bCs/>
                      <w:snapToGrid/>
                      <w:color w:val="auto"/>
                      <w:sz w:val="21"/>
                      <w:highlight w:val="none"/>
                      <w:lang w:eastAsia="zh-CN"/>
                    </w:rPr>
                  </w:pPr>
                  <w:r>
                    <w:rPr>
                      <w:rFonts w:hint="default" w:ascii="Times New Roman" w:hAnsi="Times New Roman" w:cs="Times New Roman"/>
                      <w:b/>
                      <w:bCs/>
                      <w:snapToGrid/>
                      <w:color w:val="auto"/>
                      <w:sz w:val="21"/>
                      <w:highlight w:val="none"/>
                      <w:lang w:eastAsia="zh-CN"/>
                    </w:rPr>
                    <w:t>运行时段</w:t>
                  </w:r>
                </w:p>
              </w:tc>
            </w:tr>
            <w:tr w14:paraId="4741C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 w:hRule="atLeast"/>
                <w:jc w:val="center"/>
              </w:trPr>
              <w:tc>
                <w:tcPr>
                  <w:tcW w:w="308" w:type="dxa"/>
                  <w:vMerge w:val="continue"/>
                  <w:vAlign w:val="center"/>
                </w:tcPr>
                <w:p w14:paraId="09E7AAA2">
                  <w:pPr>
                    <w:widowControl w:val="0"/>
                    <w:kinsoku/>
                    <w:snapToGrid/>
                    <w:spacing w:line="240" w:lineRule="auto"/>
                    <w:ind w:firstLine="0" w:firstLineChars="0"/>
                    <w:jc w:val="center"/>
                    <w:textAlignment w:val="auto"/>
                    <w:rPr>
                      <w:rFonts w:hint="default" w:ascii="Times New Roman" w:hAnsi="Times New Roman" w:cs="Times New Roman"/>
                      <w:color w:val="auto"/>
                      <w:sz w:val="21"/>
                      <w:highlight w:val="none"/>
                    </w:rPr>
                  </w:pPr>
                </w:p>
              </w:tc>
              <w:tc>
                <w:tcPr>
                  <w:tcW w:w="731" w:type="dxa"/>
                  <w:vMerge w:val="continue"/>
                  <w:vAlign w:val="center"/>
                </w:tcPr>
                <w:p w14:paraId="39037968">
                  <w:pPr>
                    <w:widowControl w:val="0"/>
                    <w:kinsoku/>
                    <w:snapToGrid/>
                    <w:spacing w:line="240" w:lineRule="auto"/>
                    <w:ind w:firstLine="0" w:firstLineChars="0"/>
                    <w:jc w:val="center"/>
                    <w:textAlignment w:val="auto"/>
                    <w:rPr>
                      <w:rFonts w:hint="default" w:ascii="Times New Roman" w:hAnsi="Times New Roman" w:cs="Times New Roman"/>
                      <w:color w:val="auto"/>
                      <w:sz w:val="21"/>
                      <w:highlight w:val="none"/>
                    </w:rPr>
                  </w:pPr>
                </w:p>
              </w:tc>
              <w:tc>
                <w:tcPr>
                  <w:tcW w:w="968" w:type="dxa"/>
                  <w:vMerge w:val="continue"/>
                  <w:vAlign w:val="center"/>
                </w:tcPr>
                <w:p w14:paraId="4FA8039B">
                  <w:pPr>
                    <w:widowControl w:val="0"/>
                    <w:kinsoku/>
                    <w:snapToGrid/>
                    <w:spacing w:line="240" w:lineRule="auto"/>
                    <w:ind w:firstLine="0" w:firstLineChars="0"/>
                    <w:jc w:val="center"/>
                    <w:textAlignment w:val="auto"/>
                    <w:rPr>
                      <w:rFonts w:hint="default" w:ascii="Times New Roman" w:hAnsi="Times New Roman" w:cs="Times New Roman"/>
                      <w:color w:val="auto"/>
                      <w:sz w:val="21"/>
                      <w:highlight w:val="none"/>
                    </w:rPr>
                  </w:pPr>
                </w:p>
              </w:tc>
              <w:tc>
                <w:tcPr>
                  <w:tcW w:w="707" w:type="dxa"/>
                  <w:vAlign w:val="center"/>
                </w:tcPr>
                <w:p w14:paraId="7585C9D1">
                  <w:pPr>
                    <w:widowControl w:val="0"/>
                    <w:kinsoku/>
                    <w:snapToGrid/>
                    <w:spacing w:line="240" w:lineRule="auto"/>
                    <w:ind w:firstLine="0" w:firstLineChars="0"/>
                    <w:jc w:val="center"/>
                    <w:textAlignment w:val="auto"/>
                    <w:rPr>
                      <w:rFonts w:hint="default" w:ascii="Times New Roman" w:hAnsi="Times New Roman" w:cs="Times New Roman"/>
                      <w:color w:val="auto"/>
                      <w:sz w:val="21"/>
                      <w:highlight w:val="none"/>
                      <w:lang w:eastAsia="zh-CN"/>
                    </w:rPr>
                  </w:pPr>
                  <w:r>
                    <w:rPr>
                      <w:rFonts w:hint="default" w:ascii="Times New Roman" w:hAnsi="Times New Roman" w:cs="Times New Roman"/>
                      <w:color w:val="auto"/>
                      <w:sz w:val="21"/>
                      <w:highlight w:val="none"/>
                      <w:lang w:eastAsia="zh-CN"/>
                    </w:rPr>
                    <w:t>X</w:t>
                  </w:r>
                </w:p>
              </w:tc>
              <w:tc>
                <w:tcPr>
                  <w:tcW w:w="688" w:type="dxa"/>
                  <w:vAlign w:val="center"/>
                </w:tcPr>
                <w:p w14:paraId="40E705D3">
                  <w:pPr>
                    <w:widowControl w:val="0"/>
                    <w:kinsoku/>
                    <w:snapToGrid/>
                    <w:spacing w:line="240" w:lineRule="auto"/>
                    <w:ind w:firstLine="0" w:firstLineChars="0"/>
                    <w:jc w:val="center"/>
                    <w:textAlignment w:val="auto"/>
                    <w:rPr>
                      <w:rFonts w:hint="default" w:ascii="Times New Roman" w:hAnsi="Times New Roman" w:cs="Times New Roman"/>
                      <w:color w:val="auto"/>
                      <w:sz w:val="21"/>
                      <w:highlight w:val="none"/>
                      <w:lang w:eastAsia="zh-CN"/>
                    </w:rPr>
                  </w:pPr>
                  <w:r>
                    <w:rPr>
                      <w:rFonts w:hint="default" w:ascii="Times New Roman" w:hAnsi="Times New Roman" w:cs="Times New Roman"/>
                      <w:color w:val="auto"/>
                      <w:sz w:val="21"/>
                      <w:highlight w:val="none"/>
                      <w:lang w:eastAsia="zh-CN"/>
                    </w:rPr>
                    <w:t>Y</w:t>
                  </w:r>
                </w:p>
              </w:tc>
              <w:tc>
                <w:tcPr>
                  <w:tcW w:w="553" w:type="dxa"/>
                  <w:vAlign w:val="center"/>
                </w:tcPr>
                <w:p w14:paraId="3AD3968B">
                  <w:pPr>
                    <w:widowControl w:val="0"/>
                    <w:kinsoku/>
                    <w:snapToGrid/>
                    <w:spacing w:line="240" w:lineRule="auto"/>
                    <w:ind w:firstLine="0" w:firstLineChars="0"/>
                    <w:jc w:val="center"/>
                    <w:textAlignment w:val="auto"/>
                    <w:rPr>
                      <w:rFonts w:hint="default" w:ascii="Times New Roman" w:hAnsi="Times New Roman" w:cs="Times New Roman"/>
                      <w:color w:val="auto"/>
                      <w:sz w:val="21"/>
                      <w:highlight w:val="none"/>
                      <w:lang w:eastAsia="zh-CN"/>
                    </w:rPr>
                  </w:pPr>
                  <w:r>
                    <w:rPr>
                      <w:rFonts w:hint="default" w:ascii="Times New Roman" w:hAnsi="Times New Roman" w:cs="Times New Roman"/>
                      <w:color w:val="auto"/>
                      <w:sz w:val="21"/>
                      <w:highlight w:val="none"/>
                      <w:lang w:eastAsia="zh-CN"/>
                    </w:rPr>
                    <w:t>Z</w:t>
                  </w:r>
                </w:p>
              </w:tc>
              <w:tc>
                <w:tcPr>
                  <w:tcW w:w="1652" w:type="dxa"/>
                  <w:vAlign w:val="center"/>
                </w:tcPr>
                <w:p w14:paraId="127C6D17">
                  <w:pPr>
                    <w:widowControl w:val="0"/>
                    <w:kinsoku/>
                    <w:snapToGrid/>
                    <w:spacing w:line="240" w:lineRule="auto"/>
                    <w:ind w:firstLine="0" w:firstLineChars="0"/>
                    <w:jc w:val="center"/>
                    <w:textAlignment w:val="auto"/>
                    <w:rPr>
                      <w:rFonts w:hint="default" w:ascii="Times New Roman" w:hAnsi="Times New Roman" w:cs="Times New Roman"/>
                      <w:color w:val="auto"/>
                      <w:sz w:val="21"/>
                      <w:highlight w:val="none"/>
                    </w:rPr>
                  </w:pPr>
                  <w:r>
                    <w:rPr>
                      <w:rFonts w:hint="default" w:ascii="Times New Roman" w:hAnsi="Times New Roman" w:cs="Times New Roman"/>
                      <w:color w:val="auto"/>
                      <w:sz w:val="21"/>
                      <w:highlight w:val="none"/>
                      <w:lang w:eastAsia="zh-CN"/>
                    </w:rPr>
                    <w:t>（声压级/距声源距离）/（dB(A )/m）</w:t>
                  </w:r>
                </w:p>
              </w:tc>
              <w:tc>
                <w:tcPr>
                  <w:tcW w:w="873" w:type="dxa"/>
                  <w:vAlign w:val="center"/>
                </w:tcPr>
                <w:p w14:paraId="164195BC">
                  <w:pPr>
                    <w:spacing w:line="240" w:lineRule="auto"/>
                    <w:ind w:firstLine="0" w:firstLineChars="0"/>
                    <w:jc w:val="center"/>
                    <w:rPr>
                      <w:rFonts w:hint="default" w:ascii="Times New Roman" w:hAnsi="Times New Roman" w:cs="Times New Roman"/>
                      <w:color w:val="auto"/>
                      <w:sz w:val="21"/>
                      <w:highlight w:val="none"/>
                      <w:lang w:eastAsia="zh-CN"/>
                    </w:rPr>
                  </w:pPr>
                  <w:r>
                    <w:rPr>
                      <w:rFonts w:hint="default" w:ascii="Times New Roman" w:hAnsi="Times New Roman" w:cs="Times New Roman"/>
                      <w:color w:val="auto"/>
                      <w:sz w:val="21"/>
                      <w:highlight w:val="none"/>
                      <w:lang w:eastAsia="zh-CN"/>
                    </w:rPr>
                    <w:t>声功率级</w:t>
                  </w:r>
                  <w:r>
                    <w:rPr>
                      <w:rFonts w:hint="default" w:ascii="Times New Roman" w:hAnsi="Times New Roman" w:cs="Times New Roman"/>
                      <w:color w:val="auto"/>
                      <w:sz w:val="21"/>
                      <w:highlight w:val="none"/>
                      <w:lang w:eastAsia="zh-CN" w:bidi="ar"/>
                    </w:rPr>
                    <w:t>/dB(A)</w:t>
                  </w:r>
                </w:p>
              </w:tc>
              <w:tc>
                <w:tcPr>
                  <w:tcW w:w="764" w:type="dxa"/>
                  <w:vMerge w:val="continue"/>
                  <w:vAlign w:val="center"/>
                </w:tcPr>
                <w:p w14:paraId="4FEF399A">
                  <w:pPr>
                    <w:widowControl w:val="0"/>
                    <w:kinsoku/>
                    <w:snapToGrid/>
                    <w:spacing w:line="240" w:lineRule="auto"/>
                    <w:ind w:firstLine="0" w:firstLineChars="0"/>
                    <w:jc w:val="center"/>
                    <w:textAlignment w:val="auto"/>
                    <w:rPr>
                      <w:rFonts w:hint="default" w:ascii="Times New Roman" w:hAnsi="Times New Roman" w:cs="Times New Roman"/>
                      <w:color w:val="auto"/>
                      <w:sz w:val="21"/>
                      <w:highlight w:val="none"/>
                    </w:rPr>
                  </w:pPr>
                </w:p>
              </w:tc>
              <w:tc>
                <w:tcPr>
                  <w:tcW w:w="608" w:type="dxa"/>
                  <w:vMerge w:val="continue"/>
                  <w:vAlign w:val="center"/>
                </w:tcPr>
                <w:p w14:paraId="6383D181">
                  <w:pPr>
                    <w:widowControl w:val="0"/>
                    <w:kinsoku/>
                    <w:snapToGrid/>
                    <w:spacing w:line="240" w:lineRule="auto"/>
                    <w:ind w:firstLine="0" w:firstLineChars="0"/>
                    <w:jc w:val="center"/>
                    <w:textAlignment w:val="auto"/>
                    <w:rPr>
                      <w:rFonts w:hint="default" w:ascii="Times New Roman" w:hAnsi="Times New Roman" w:cs="Times New Roman"/>
                      <w:color w:val="auto"/>
                      <w:sz w:val="21"/>
                      <w:highlight w:val="none"/>
                    </w:rPr>
                  </w:pPr>
                </w:p>
              </w:tc>
            </w:tr>
            <w:tr w14:paraId="5751E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jc w:val="center"/>
              </w:trPr>
              <w:tc>
                <w:tcPr>
                  <w:tcW w:w="308" w:type="dxa"/>
                  <w:vAlign w:val="center"/>
                </w:tcPr>
                <w:p w14:paraId="6CA7D3A5">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1</w:t>
                  </w:r>
                </w:p>
              </w:tc>
              <w:tc>
                <w:tcPr>
                  <w:tcW w:w="731" w:type="dxa"/>
                  <w:vAlign w:val="center"/>
                </w:tcPr>
                <w:p w14:paraId="4C39F9F6">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挖掘机1</w:t>
                  </w:r>
                </w:p>
              </w:tc>
              <w:tc>
                <w:tcPr>
                  <w:tcW w:w="968" w:type="dxa"/>
                  <w:vAlign w:val="center"/>
                </w:tcPr>
                <w:p w14:paraId="47B85557">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 xml:space="preserve">卡特326DL </w:t>
                  </w:r>
                </w:p>
              </w:tc>
              <w:tc>
                <w:tcPr>
                  <w:tcW w:w="707" w:type="dxa"/>
                  <w:vAlign w:val="center"/>
                </w:tcPr>
                <w:p w14:paraId="42809FB6">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297</w:t>
                  </w:r>
                </w:p>
              </w:tc>
              <w:tc>
                <w:tcPr>
                  <w:tcW w:w="688" w:type="dxa"/>
                  <w:vAlign w:val="center"/>
                </w:tcPr>
                <w:p w14:paraId="00337C9F">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-153</w:t>
                  </w:r>
                </w:p>
              </w:tc>
              <w:tc>
                <w:tcPr>
                  <w:tcW w:w="553" w:type="dxa"/>
                  <w:vAlign w:val="center"/>
                </w:tcPr>
                <w:p w14:paraId="364F43E1">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1.2</w:t>
                  </w:r>
                </w:p>
              </w:tc>
              <w:tc>
                <w:tcPr>
                  <w:tcW w:w="1652" w:type="dxa"/>
                  <w:vAlign w:val="center"/>
                </w:tcPr>
                <w:p w14:paraId="0F07CCA0">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w:t>
                  </w:r>
                </w:p>
              </w:tc>
              <w:tc>
                <w:tcPr>
                  <w:tcW w:w="873" w:type="dxa"/>
                  <w:vAlign w:val="center"/>
                </w:tcPr>
                <w:p w14:paraId="1A47BC1D">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eastAsia="宋体" w:cs="Times New Roman"/>
                      <w:snapToGrid/>
                      <w:color w:val="auto"/>
                      <w:sz w:val="21"/>
                      <w:highlight w:val="none"/>
                      <w:lang w:val="en-US" w:eastAsia="zh-CN"/>
                    </w:rPr>
                    <w:t>85</w:t>
                  </w:r>
                </w:p>
              </w:tc>
              <w:tc>
                <w:tcPr>
                  <w:tcW w:w="764" w:type="dxa"/>
                  <w:vMerge w:val="restart"/>
                  <w:vAlign w:val="center"/>
                </w:tcPr>
                <w:p w14:paraId="0E3F5C93">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选用低噪声设备</w:t>
                  </w:r>
                </w:p>
              </w:tc>
              <w:tc>
                <w:tcPr>
                  <w:tcW w:w="608" w:type="dxa"/>
                  <w:vAlign w:val="center"/>
                </w:tcPr>
                <w:p w14:paraId="49EDBCF8">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昼间</w:t>
                  </w:r>
                </w:p>
              </w:tc>
            </w:tr>
            <w:tr w14:paraId="39B4C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 w:hRule="atLeast"/>
                <w:jc w:val="center"/>
              </w:trPr>
              <w:tc>
                <w:tcPr>
                  <w:tcW w:w="308" w:type="dxa"/>
                  <w:vAlign w:val="center"/>
                </w:tcPr>
                <w:p w14:paraId="608B094C">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2</w:t>
                  </w:r>
                </w:p>
              </w:tc>
              <w:tc>
                <w:tcPr>
                  <w:tcW w:w="731" w:type="dxa"/>
                  <w:vAlign w:val="center"/>
                </w:tcPr>
                <w:p w14:paraId="5B9B5D98">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挖掘机2</w:t>
                  </w:r>
                </w:p>
              </w:tc>
              <w:tc>
                <w:tcPr>
                  <w:tcW w:w="968" w:type="dxa"/>
                  <w:vAlign w:val="center"/>
                </w:tcPr>
                <w:p w14:paraId="49EA3E08">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 xml:space="preserve">卡特326DL </w:t>
                  </w:r>
                </w:p>
              </w:tc>
              <w:tc>
                <w:tcPr>
                  <w:tcW w:w="707" w:type="dxa"/>
                  <w:vAlign w:val="center"/>
                </w:tcPr>
                <w:p w14:paraId="34CBE134">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243</w:t>
                  </w:r>
                </w:p>
              </w:tc>
              <w:tc>
                <w:tcPr>
                  <w:tcW w:w="688" w:type="dxa"/>
                  <w:vAlign w:val="center"/>
                </w:tcPr>
                <w:p w14:paraId="194EBF3B">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-226</w:t>
                  </w:r>
                </w:p>
              </w:tc>
              <w:tc>
                <w:tcPr>
                  <w:tcW w:w="553" w:type="dxa"/>
                  <w:vAlign w:val="center"/>
                </w:tcPr>
                <w:p w14:paraId="5DA9526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1.2</w:t>
                  </w:r>
                </w:p>
              </w:tc>
              <w:tc>
                <w:tcPr>
                  <w:tcW w:w="1652" w:type="dxa"/>
                  <w:vAlign w:val="center"/>
                </w:tcPr>
                <w:p w14:paraId="32C90378">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w:t>
                  </w:r>
                </w:p>
              </w:tc>
              <w:tc>
                <w:tcPr>
                  <w:tcW w:w="873" w:type="dxa"/>
                  <w:vAlign w:val="center"/>
                </w:tcPr>
                <w:p w14:paraId="2D62C79F">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eastAsia="宋体" w:cs="Times New Roman"/>
                      <w:snapToGrid/>
                      <w:color w:val="auto"/>
                      <w:sz w:val="21"/>
                      <w:highlight w:val="none"/>
                      <w:lang w:val="en-US" w:eastAsia="zh-CN"/>
                    </w:rPr>
                    <w:t>85</w:t>
                  </w:r>
                </w:p>
              </w:tc>
              <w:tc>
                <w:tcPr>
                  <w:tcW w:w="764" w:type="dxa"/>
                  <w:vMerge w:val="continue"/>
                  <w:vAlign w:val="center"/>
                </w:tcPr>
                <w:p w14:paraId="7C49E51C">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608" w:type="dxa"/>
                  <w:vAlign w:val="center"/>
                </w:tcPr>
                <w:p w14:paraId="6A0815BF">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昼间</w:t>
                  </w:r>
                </w:p>
              </w:tc>
            </w:tr>
            <w:tr w14:paraId="461A9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jc w:val="center"/>
              </w:trPr>
              <w:tc>
                <w:tcPr>
                  <w:tcW w:w="308" w:type="dxa"/>
                  <w:vAlign w:val="center"/>
                </w:tcPr>
                <w:p w14:paraId="616214D7">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3</w:t>
                  </w:r>
                </w:p>
              </w:tc>
              <w:tc>
                <w:tcPr>
                  <w:tcW w:w="731" w:type="dxa"/>
                  <w:vAlign w:val="center"/>
                </w:tcPr>
                <w:p w14:paraId="456147E4">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凿岩机</w:t>
                  </w:r>
                </w:p>
              </w:tc>
              <w:tc>
                <w:tcPr>
                  <w:tcW w:w="968" w:type="dxa"/>
                  <w:vAlign w:val="center"/>
                </w:tcPr>
                <w:p w14:paraId="085A0853">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caps w:val="0"/>
                      <w:smallCaps w:val="0"/>
                      <w:color w:val="auto"/>
                      <w:sz w:val="21"/>
                      <w:szCs w:val="21"/>
                      <w:highlight w:val="none"/>
                      <w:lang w:val="en-US" w:eastAsia="zh-CN"/>
                    </w:rPr>
                    <w:t>YTP-24</w:t>
                  </w:r>
                </w:p>
              </w:tc>
              <w:tc>
                <w:tcPr>
                  <w:tcW w:w="707" w:type="dxa"/>
                  <w:vAlign w:val="center"/>
                </w:tcPr>
                <w:p w14:paraId="44E88550">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223</w:t>
                  </w:r>
                </w:p>
              </w:tc>
              <w:tc>
                <w:tcPr>
                  <w:tcW w:w="688" w:type="dxa"/>
                  <w:vAlign w:val="center"/>
                </w:tcPr>
                <w:p w14:paraId="391864C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-157</w:t>
                  </w:r>
                </w:p>
              </w:tc>
              <w:tc>
                <w:tcPr>
                  <w:tcW w:w="553" w:type="dxa"/>
                  <w:vAlign w:val="center"/>
                </w:tcPr>
                <w:p w14:paraId="35F2CCE7">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1.2</w:t>
                  </w:r>
                </w:p>
              </w:tc>
              <w:tc>
                <w:tcPr>
                  <w:tcW w:w="1652" w:type="dxa"/>
                  <w:vAlign w:val="center"/>
                </w:tcPr>
                <w:p w14:paraId="390962A0">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w:t>
                  </w:r>
                </w:p>
              </w:tc>
              <w:tc>
                <w:tcPr>
                  <w:tcW w:w="873" w:type="dxa"/>
                  <w:vAlign w:val="center"/>
                </w:tcPr>
                <w:p w14:paraId="370E158A">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eastAsia="宋体" w:cs="Times New Roman"/>
                      <w:snapToGrid/>
                      <w:color w:val="auto"/>
                      <w:sz w:val="21"/>
                      <w:highlight w:val="none"/>
                      <w:lang w:val="en-US" w:eastAsia="zh-CN"/>
                    </w:rPr>
                    <w:t>90</w:t>
                  </w:r>
                </w:p>
              </w:tc>
              <w:tc>
                <w:tcPr>
                  <w:tcW w:w="764" w:type="dxa"/>
                  <w:vMerge w:val="continue"/>
                  <w:vAlign w:val="center"/>
                </w:tcPr>
                <w:p w14:paraId="68EA6D4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608" w:type="dxa"/>
                  <w:vAlign w:val="center"/>
                </w:tcPr>
                <w:p w14:paraId="1B7761B8">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昼间</w:t>
                  </w:r>
                </w:p>
              </w:tc>
            </w:tr>
            <w:tr w14:paraId="14AE1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 w:hRule="atLeast"/>
                <w:jc w:val="center"/>
              </w:trPr>
              <w:tc>
                <w:tcPr>
                  <w:tcW w:w="308" w:type="dxa"/>
                  <w:shd w:val="clear" w:color="auto" w:fill="auto"/>
                  <w:vAlign w:val="center"/>
                </w:tcPr>
                <w:p w14:paraId="749AD102">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4</w:t>
                  </w:r>
                </w:p>
              </w:tc>
              <w:tc>
                <w:tcPr>
                  <w:tcW w:w="731" w:type="dxa"/>
                  <w:shd w:val="clear" w:color="auto" w:fill="auto"/>
                  <w:vAlign w:val="center"/>
                </w:tcPr>
                <w:p w14:paraId="01FDD893">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装载机1</w:t>
                  </w:r>
                </w:p>
              </w:tc>
              <w:tc>
                <w:tcPr>
                  <w:tcW w:w="968" w:type="dxa"/>
                  <w:shd w:val="clear" w:color="auto" w:fill="auto"/>
                  <w:vAlign w:val="center"/>
                </w:tcPr>
                <w:p w14:paraId="07C76299">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龙工50</w:t>
                  </w:r>
                </w:p>
              </w:tc>
              <w:tc>
                <w:tcPr>
                  <w:tcW w:w="707" w:type="dxa"/>
                  <w:shd w:val="clear" w:color="auto" w:fill="auto"/>
                  <w:vAlign w:val="center"/>
                </w:tcPr>
                <w:p w14:paraId="138092BE">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269</w:t>
                  </w:r>
                </w:p>
              </w:tc>
              <w:tc>
                <w:tcPr>
                  <w:tcW w:w="688" w:type="dxa"/>
                  <w:shd w:val="clear" w:color="auto" w:fill="auto"/>
                  <w:vAlign w:val="center"/>
                </w:tcPr>
                <w:p w14:paraId="5A93FBBC">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-135</w:t>
                  </w:r>
                </w:p>
              </w:tc>
              <w:tc>
                <w:tcPr>
                  <w:tcW w:w="553" w:type="dxa"/>
                  <w:shd w:val="clear" w:color="auto" w:fill="auto"/>
                  <w:vAlign w:val="center"/>
                </w:tcPr>
                <w:p w14:paraId="422E1763">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1.2</w:t>
                  </w:r>
                </w:p>
              </w:tc>
              <w:tc>
                <w:tcPr>
                  <w:tcW w:w="1652" w:type="dxa"/>
                  <w:shd w:val="clear" w:color="auto" w:fill="auto"/>
                  <w:vAlign w:val="center"/>
                </w:tcPr>
                <w:p w14:paraId="78190697">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w:t>
                  </w:r>
                </w:p>
              </w:tc>
              <w:tc>
                <w:tcPr>
                  <w:tcW w:w="873" w:type="dxa"/>
                  <w:shd w:val="clear" w:color="auto" w:fill="auto"/>
                  <w:vAlign w:val="center"/>
                </w:tcPr>
                <w:p w14:paraId="7A6B596B">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eastAsia="宋体" w:cs="Times New Roman"/>
                      <w:snapToGrid/>
                      <w:color w:val="auto"/>
                      <w:sz w:val="21"/>
                      <w:highlight w:val="none"/>
                      <w:lang w:val="en-US" w:eastAsia="zh-CN"/>
                    </w:rPr>
                    <w:t>90</w:t>
                  </w:r>
                </w:p>
              </w:tc>
              <w:tc>
                <w:tcPr>
                  <w:tcW w:w="764" w:type="dxa"/>
                  <w:vMerge w:val="continue"/>
                  <w:shd w:val="clear" w:color="auto" w:fill="auto"/>
                  <w:vAlign w:val="center"/>
                </w:tcPr>
                <w:p w14:paraId="600BFA63">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608" w:type="dxa"/>
                  <w:shd w:val="clear" w:color="auto" w:fill="auto"/>
                  <w:vAlign w:val="center"/>
                </w:tcPr>
                <w:p w14:paraId="67CA46B4">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昼间</w:t>
                  </w:r>
                </w:p>
              </w:tc>
            </w:tr>
            <w:tr w14:paraId="31B22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jc w:val="center"/>
              </w:trPr>
              <w:tc>
                <w:tcPr>
                  <w:tcW w:w="308" w:type="dxa"/>
                  <w:vAlign w:val="center"/>
                </w:tcPr>
                <w:p w14:paraId="1A46A756">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5</w:t>
                  </w:r>
                </w:p>
              </w:tc>
              <w:tc>
                <w:tcPr>
                  <w:tcW w:w="731" w:type="dxa"/>
                  <w:shd w:val="clear" w:color="auto" w:fill="auto"/>
                  <w:vAlign w:val="center"/>
                </w:tcPr>
                <w:p w14:paraId="0AEA204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装载机2</w:t>
                  </w:r>
                </w:p>
              </w:tc>
              <w:tc>
                <w:tcPr>
                  <w:tcW w:w="968" w:type="dxa"/>
                  <w:shd w:val="clear" w:color="auto" w:fill="auto"/>
                  <w:vAlign w:val="center"/>
                </w:tcPr>
                <w:p w14:paraId="4B43D164">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龙工50</w:t>
                  </w:r>
                </w:p>
              </w:tc>
              <w:tc>
                <w:tcPr>
                  <w:tcW w:w="707" w:type="dxa"/>
                  <w:shd w:val="clear" w:color="auto" w:fill="auto"/>
                  <w:vAlign w:val="center"/>
                </w:tcPr>
                <w:p w14:paraId="07B94B6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238</w:t>
                  </w:r>
                </w:p>
              </w:tc>
              <w:tc>
                <w:tcPr>
                  <w:tcW w:w="688" w:type="dxa"/>
                  <w:shd w:val="clear" w:color="auto" w:fill="auto"/>
                  <w:vAlign w:val="center"/>
                </w:tcPr>
                <w:p w14:paraId="43C58AEE">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-235</w:t>
                  </w:r>
                </w:p>
              </w:tc>
              <w:tc>
                <w:tcPr>
                  <w:tcW w:w="553" w:type="dxa"/>
                  <w:shd w:val="clear" w:color="auto" w:fill="auto"/>
                  <w:vAlign w:val="center"/>
                </w:tcPr>
                <w:p w14:paraId="101AF450">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1.2</w:t>
                  </w:r>
                </w:p>
              </w:tc>
              <w:tc>
                <w:tcPr>
                  <w:tcW w:w="1652" w:type="dxa"/>
                  <w:shd w:val="clear" w:color="auto" w:fill="auto"/>
                  <w:vAlign w:val="center"/>
                </w:tcPr>
                <w:p w14:paraId="5589EBC8">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w:t>
                  </w:r>
                </w:p>
              </w:tc>
              <w:tc>
                <w:tcPr>
                  <w:tcW w:w="873" w:type="dxa"/>
                  <w:shd w:val="clear" w:color="auto" w:fill="auto"/>
                  <w:vAlign w:val="center"/>
                </w:tcPr>
                <w:p w14:paraId="6A6DD999">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eastAsia="宋体" w:cs="Times New Roman"/>
                      <w:snapToGrid/>
                      <w:color w:val="auto"/>
                      <w:sz w:val="21"/>
                      <w:highlight w:val="none"/>
                      <w:lang w:val="en-US" w:eastAsia="zh-CN"/>
                    </w:rPr>
                    <w:t>90</w:t>
                  </w:r>
                </w:p>
              </w:tc>
              <w:tc>
                <w:tcPr>
                  <w:tcW w:w="764" w:type="dxa"/>
                  <w:vMerge w:val="continue"/>
                  <w:shd w:val="clear" w:color="auto" w:fill="auto"/>
                  <w:vAlign w:val="center"/>
                </w:tcPr>
                <w:p w14:paraId="5A962480">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608" w:type="dxa"/>
                  <w:shd w:val="clear" w:color="auto" w:fill="auto"/>
                  <w:vAlign w:val="center"/>
                </w:tcPr>
                <w:p w14:paraId="32706FFB">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昼间</w:t>
                  </w:r>
                </w:p>
              </w:tc>
            </w:tr>
            <w:tr w14:paraId="64C91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jc w:val="center"/>
              </w:trPr>
              <w:tc>
                <w:tcPr>
                  <w:tcW w:w="308" w:type="dxa"/>
                  <w:vAlign w:val="center"/>
                </w:tcPr>
                <w:p w14:paraId="429D154B">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6</w:t>
                  </w:r>
                </w:p>
              </w:tc>
              <w:tc>
                <w:tcPr>
                  <w:tcW w:w="731" w:type="dxa"/>
                  <w:shd w:val="clear" w:color="auto" w:fill="auto"/>
                  <w:vAlign w:val="center"/>
                </w:tcPr>
                <w:p w14:paraId="78D35F52">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运输汽车1</w:t>
                  </w:r>
                </w:p>
              </w:tc>
              <w:tc>
                <w:tcPr>
                  <w:tcW w:w="968" w:type="dxa"/>
                  <w:shd w:val="clear" w:color="auto" w:fill="auto"/>
                  <w:vAlign w:val="center"/>
                </w:tcPr>
                <w:p w14:paraId="3E49CEF5">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color w:val="auto"/>
                      <w:kern w:val="0"/>
                      <w:sz w:val="21"/>
                      <w:szCs w:val="21"/>
                      <w:highlight w:val="none"/>
                    </w:rPr>
                    <w:t>JH6重卡</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25t</w:t>
                  </w:r>
                  <w:r>
                    <w:rPr>
                      <w:rFonts w:hint="default" w:ascii="Times New Roman" w:hAnsi="Times New Roman" w:cs="Times New Roman"/>
                      <w:color w:val="auto"/>
                      <w:kern w:val="0"/>
                      <w:sz w:val="21"/>
                      <w:szCs w:val="21"/>
                      <w:highlight w:val="none"/>
                      <w:lang w:eastAsia="zh-CN"/>
                    </w:rPr>
                    <w:t>）</w:t>
                  </w:r>
                </w:p>
              </w:tc>
              <w:tc>
                <w:tcPr>
                  <w:tcW w:w="707" w:type="dxa"/>
                  <w:shd w:val="clear" w:color="auto" w:fill="auto"/>
                  <w:vAlign w:val="center"/>
                </w:tcPr>
                <w:p w14:paraId="0C5E0434">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212</w:t>
                  </w:r>
                </w:p>
              </w:tc>
              <w:tc>
                <w:tcPr>
                  <w:tcW w:w="688" w:type="dxa"/>
                  <w:shd w:val="clear" w:color="auto" w:fill="auto"/>
                  <w:vAlign w:val="center"/>
                </w:tcPr>
                <w:p w14:paraId="1ECA56B6">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-109</w:t>
                  </w:r>
                </w:p>
              </w:tc>
              <w:tc>
                <w:tcPr>
                  <w:tcW w:w="553" w:type="dxa"/>
                  <w:shd w:val="clear" w:color="auto" w:fill="auto"/>
                  <w:vAlign w:val="center"/>
                </w:tcPr>
                <w:p w14:paraId="6531B998">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1.2</w:t>
                  </w:r>
                </w:p>
              </w:tc>
              <w:tc>
                <w:tcPr>
                  <w:tcW w:w="1652" w:type="dxa"/>
                  <w:shd w:val="clear" w:color="auto" w:fill="auto"/>
                  <w:vAlign w:val="center"/>
                </w:tcPr>
                <w:p w14:paraId="7AB387CD">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w:t>
                  </w:r>
                </w:p>
              </w:tc>
              <w:tc>
                <w:tcPr>
                  <w:tcW w:w="873" w:type="dxa"/>
                  <w:shd w:val="clear" w:color="auto" w:fill="auto"/>
                  <w:vAlign w:val="center"/>
                </w:tcPr>
                <w:p w14:paraId="435F68A5">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eastAsia="宋体" w:cs="Times New Roman"/>
                      <w:snapToGrid/>
                      <w:color w:val="auto"/>
                      <w:sz w:val="21"/>
                      <w:highlight w:val="none"/>
                      <w:lang w:val="en-US" w:eastAsia="zh-CN"/>
                    </w:rPr>
                    <w:t>85</w:t>
                  </w:r>
                </w:p>
              </w:tc>
              <w:tc>
                <w:tcPr>
                  <w:tcW w:w="764" w:type="dxa"/>
                  <w:vMerge w:val="continue"/>
                  <w:shd w:val="clear" w:color="auto" w:fill="auto"/>
                  <w:vAlign w:val="center"/>
                </w:tcPr>
                <w:p w14:paraId="2A00C5DD">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608" w:type="dxa"/>
                  <w:shd w:val="clear" w:color="auto" w:fill="auto"/>
                  <w:vAlign w:val="center"/>
                </w:tcPr>
                <w:p w14:paraId="24DB9951">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昼间</w:t>
                  </w:r>
                </w:p>
              </w:tc>
            </w:tr>
            <w:tr w14:paraId="1A197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1" w:hRule="atLeast"/>
                <w:jc w:val="center"/>
              </w:trPr>
              <w:tc>
                <w:tcPr>
                  <w:tcW w:w="308" w:type="dxa"/>
                  <w:vAlign w:val="center"/>
                </w:tcPr>
                <w:p w14:paraId="40268706">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7</w:t>
                  </w:r>
                </w:p>
              </w:tc>
              <w:tc>
                <w:tcPr>
                  <w:tcW w:w="731" w:type="dxa"/>
                  <w:shd w:val="clear" w:color="auto" w:fill="auto"/>
                  <w:vAlign w:val="center"/>
                </w:tcPr>
                <w:p w14:paraId="79F031CD">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运输汽车2</w:t>
                  </w:r>
                </w:p>
              </w:tc>
              <w:tc>
                <w:tcPr>
                  <w:tcW w:w="968" w:type="dxa"/>
                  <w:shd w:val="clear" w:color="auto" w:fill="auto"/>
                  <w:vAlign w:val="center"/>
                </w:tcPr>
                <w:p w14:paraId="02ED694E">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cs="Times New Roman"/>
                      <w:color w:val="auto"/>
                      <w:kern w:val="0"/>
                      <w:sz w:val="21"/>
                      <w:szCs w:val="21"/>
                      <w:highlight w:val="none"/>
                    </w:rPr>
                    <w:t>JH6重卡</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25t</w:t>
                  </w:r>
                  <w:r>
                    <w:rPr>
                      <w:rFonts w:hint="default" w:ascii="Times New Roman" w:hAnsi="Times New Roman" w:cs="Times New Roman"/>
                      <w:color w:val="auto"/>
                      <w:kern w:val="0"/>
                      <w:sz w:val="21"/>
                      <w:szCs w:val="21"/>
                      <w:highlight w:val="none"/>
                      <w:lang w:eastAsia="zh-CN"/>
                    </w:rPr>
                    <w:t>）</w:t>
                  </w:r>
                </w:p>
              </w:tc>
              <w:tc>
                <w:tcPr>
                  <w:tcW w:w="707" w:type="dxa"/>
                  <w:shd w:val="clear" w:color="auto" w:fill="auto"/>
                  <w:vAlign w:val="center"/>
                </w:tcPr>
                <w:p w14:paraId="0456593E">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338</w:t>
                  </w:r>
                </w:p>
              </w:tc>
              <w:tc>
                <w:tcPr>
                  <w:tcW w:w="688" w:type="dxa"/>
                  <w:shd w:val="clear" w:color="auto" w:fill="auto"/>
                  <w:vAlign w:val="center"/>
                </w:tcPr>
                <w:p w14:paraId="0B42161C">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-170</w:t>
                  </w:r>
                </w:p>
              </w:tc>
              <w:tc>
                <w:tcPr>
                  <w:tcW w:w="553" w:type="dxa"/>
                  <w:shd w:val="clear" w:color="auto" w:fill="auto"/>
                  <w:vAlign w:val="center"/>
                </w:tcPr>
                <w:p w14:paraId="6B8B07F0">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1.2</w:t>
                  </w:r>
                </w:p>
              </w:tc>
              <w:tc>
                <w:tcPr>
                  <w:tcW w:w="1652" w:type="dxa"/>
                  <w:shd w:val="clear" w:color="auto" w:fill="auto"/>
                  <w:vAlign w:val="center"/>
                </w:tcPr>
                <w:p w14:paraId="70F244E4">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w:t>
                  </w:r>
                </w:p>
              </w:tc>
              <w:tc>
                <w:tcPr>
                  <w:tcW w:w="873" w:type="dxa"/>
                  <w:shd w:val="clear" w:color="auto" w:fill="auto"/>
                  <w:vAlign w:val="center"/>
                </w:tcPr>
                <w:p w14:paraId="766782F3">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eastAsia="宋体" w:cs="Times New Roman"/>
                      <w:snapToGrid/>
                      <w:color w:val="auto"/>
                      <w:sz w:val="21"/>
                      <w:highlight w:val="none"/>
                      <w:lang w:val="en-US" w:eastAsia="zh-CN"/>
                    </w:rPr>
                    <w:t>85</w:t>
                  </w:r>
                </w:p>
              </w:tc>
              <w:tc>
                <w:tcPr>
                  <w:tcW w:w="764" w:type="dxa"/>
                  <w:vMerge w:val="continue"/>
                  <w:shd w:val="clear" w:color="auto" w:fill="auto"/>
                  <w:vAlign w:val="center"/>
                </w:tcPr>
                <w:p w14:paraId="5D97024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608" w:type="dxa"/>
                  <w:shd w:val="clear" w:color="auto" w:fill="auto"/>
                  <w:vAlign w:val="center"/>
                </w:tcPr>
                <w:p w14:paraId="1D3235CF">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昼间</w:t>
                  </w:r>
                </w:p>
              </w:tc>
            </w:tr>
            <w:tr w14:paraId="37CAA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308" w:type="dxa"/>
                  <w:vAlign w:val="center"/>
                </w:tcPr>
                <w:p w14:paraId="41B4B803">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8</w:t>
                  </w:r>
                </w:p>
              </w:tc>
              <w:tc>
                <w:tcPr>
                  <w:tcW w:w="731" w:type="dxa"/>
                  <w:shd w:val="clear" w:color="auto" w:fill="auto"/>
                  <w:vAlign w:val="center"/>
                </w:tcPr>
                <w:p w14:paraId="0C9492F0">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运输汽车3</w:t>
                  </w:r>
                </w:p>
              </w:tc>
              <w:tc>
                <w:tcPr>
                  <w:tcW w:w="968" w:type="dxa"/>
                  <w:shd w:val="clear" w:color="auto" w:fill="auto"/>
                  <w:vAlign w:val="center"/>
                </w:tcPr>
                <w:p w14:paraId="2F67F5D9">
                  <w:pPr>
                    <w:widowControl w:val="0"/>
                    <w:kinsoku/>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JH6重卡</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25t</w:t>
                  </w:r>
                  <w:r>
                    <w:rPr>
                      <w:rFonts w:hint="default" w:ascii="Times New Roman" w:hAnsi="Times New Roman" w:eastAsia="宋体" w:cs="Times New Roman"/>
                      <w:color w:val="auto"/>
                      <w:kern w:val="0"/>
                      <w:sz w:val="21"/>
                      <w:szCs w:val="21"/>
                      <w:highlight w:val="none"/>
                      <w:lang w:eastAsia="zh-CN"/>
                    </w:rPr>
                    <w:t>）</w:t>
                  </w:r>
                </w:p>
              </w:tc>
              <w:tc>
                <w:tcPr>
                  <w:tcW w:w="707" w:type="dxa"/>
                  <w:shd w:val="clear" w:color="auto" w:fill="auto"/>
                  <w:vAlign w:val="center"/>
                </w:tcPr>
                <w:p w14:paraId="705D733E">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291</w:t>
                  </w:r>
                </w:p>
              </w:tc>
              <w:tc>
                <w:tcPr>
                  <w:tcW w:w="688" w:type="dxa"/>
                  <w:shd w:val="clear" w:color="auto" w:fill="auto"/>
                  <w:vAlign w:val="center"/>
                </w:tcPr>
                <w:p w14:paraId="5EE43F5D">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-261</w:t>
                  </w:r>
                </w:p>
              </w:tc>
              <w:tc>
                <w:tcPr>
                  <w:tcW w:w="553" w:type="dxa"/>
                  <w:shd w:val="clear" w:color="auto" w:fill="auto"/>
                  <w:vAlign w:val="center"/>
                </w:tcPr>
                <w:p w14:paraId="34E3680B">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1.2</w:t>
                  </w:r>
                </w:p>
              </w:tc>
              <w:tc>
                <w:tcPr>
                  <w:tcW w:w="1652" w:type="dxa"/>
                  <w:shd w:val="clear" w:color="auto" w:fill="auto"/>
                  <w:vAlign w:val="center"/>
                </w:tcPr>
                <w:p w14:paraId="599CCDF4">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eastAsia="zh-CN"/>
                    </w:rPr>
                    <w:t>/</w:t>
                  </w:r>
                </w:p>
              </w:tc>
              <w:tc>
                <w:tcPr>
                  <w:tcW w:w="873" w:type="dxa"/>
                  <w:shd w:val="clear" w:color="auto" w:fill="auto"/>
                  <w:vAlign w:val="center"/>
                </w:tcPr>
                <w:p w14:paraId="2409D3E3">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eastAsia="宋体" w:cs="Times New Roman"/>
                      <w:snapToGrid/>
                      <w:color w:val="auto"/>
                      <w:sz w:val="21"/>
                      <w:highlight w:val="none"/>
                      <w:lang w:val="en-US" w:eastAsia="zh-CN"/>
                    </w:rPr>
                    <w:t>85</w:t>
                  </w:r>
                </w:p>
              </w:tc>
              <w:tc>
                <w:tcPr>
                  <w:tcW w:w="764" w:type="dxa"/>
                  <w:vMerge w:val="continue"/>
                  <w:shd w:val="clear" w:color="auto" w:fill="auto"/>
                  <w:vAlign w:val="center"/>
                </w:tcPr>
                <w:p w14:paraId="1B1A6EDD">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608" w:type="dxa"/>
                  <w:shd w:val="clear" w:color="auto" w:fill="auto"/>
                  <w:vAlign w:val="center"/>
                </w:tcPr>
                <w:p w14:paraId="46592A6D">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昼间</w:t>
                  </w:r>
                </w:p>
              </w:tc>
            </w:tr>
            <w:tr w14:paraId="51033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 w:hRule="atLeast"/>
                <w:jc w:val="center"/>
              </w:trPr>
              <w:tc>
                <w:tcPr>
                  <w:tcW w:w="308" w:type="dxa"/>
                  <w:vAlign w:val="center"/>
                </w:tcPr>
                <w:p w14:paraId="413A8D5D">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9</w:t>
                  </w:r>
                </w:p>
              </w:tc>
              <w:tc>
                <w:tcPr>
                  <w:tcW w:w="731" w:type="dxa"/>
                  <w:shd w:val="clear" w:color="auto" w:fill="auto"/>
                  <w:vAlign w:val="center"/>
                </w:tcPr>
                <w:p w14:paraId="49531291">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运输汽车4</w:t>
                  </w:r>
                </w:p>
              </w:tc>
              <w:tc>
                <w:tcPr>
                  <w:tcW w:w="968" w:type="dxa"/>
                  <w:shd w:val="clear" w:color="auto" w:fill="auto"/>
                  <w:vAlign w:val="center"/>
                </w:tcPr>
                <w:p w14:paraId="0572A58A">
                  <w:pPr>
                    <w:widowControl w:val="0"/>
                    <w:kinsoku/>
                    <w:snapToGrid/>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JH6重卡</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25t</w:t>
                  </w:r>
                  <w:r>
                    <w:rPr>
                      <w:rFonts w:hint="default" w:ascii="Times New Roman" w:hAnsi="Times New Roman" w:eastAsia="宋体" w:cs="Times New Roman"/>
                      <w:color w:val="auto"/>
                      <w:kern w:val="0"/>
                      <w:sz w:val="21"/>
                      <w:szCs w:val="21"/>
                      <w:highlight w:val="none"/>
                      <w:lang w:eastAsia="zh-CN"/>
                    </w:rPr>
                    <w:t>）</w:t>
                  </w:r>
                </w:p>
              </w:tc>
              <w:tc>
                <w:tcPr>
                  <w:tcW w:w="707" w:type="dxa"/>
                  <w:shd w:val="clear" w:color="auto" w:fill="auto"/>
                  <w:vAlign w:val="center"/>
                </w:tcPr>
                <w:p w14:paraId="10EC871A">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230</w:t>
                  </w:r>
                </w:p>
              </w:tc>
              <w:tc>
                <w:tcPr>
                  <w:tcW w:w="688" w:type="dxa"/>
                  <w:shd w:val="clear" w:color="auto" w:fill="auto"/>
                  <w:vAlign w:val="center"/>
                </w:tcPr>
                <w:p w14:paraId="5D1D82C0">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-159</w:t>
                  </w:r>
                </w:p>
              </w:tc>
              <w:tc>
                <w:tcPr>
                  <w:tcW w:w="553" w:type="dxa"/>
                  <w:shd w:val="clear" w:color="auto" w:fill="auto"/>
                  <w:vAlign w:val="center"/>
                </w:tcPr>
                <w:p w14:paraId="0D9CE89F">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1.2</w:t>
                  </w:r>
                </w:p>
              </w:tc>
              <w:tc>
                <w:tcPr>
                  <w:tcW w:w="1652" w:type="dxa"/>
                  <w:shd w:val="clear" w:color="auto" w:fill="auto"/>
                  <w:vAlign w:val="center"/>
                </w:tcPr>
                <w:p w14:paraId="793B13B6">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w:t>
                  </w:r>
                </w:p>
              </w:tc>
              <w:tc>
                <w:tcPr>
                  <w:tcW w:w="873" w:type="dxa"/>
                  <w:shd w:val="clear" w:color="auto" w:fill="auto"/>
                  <w:vAlign w:val="center"/>
                </w:tcPr>
                <w:p w14:paraId="5DEDB195">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eastAsia="宋体" w:cs="Times New Roman"/>
                      <w:snapToGrid/>
                      <w:color w:val="auto"/>
                      <w:sz w:val="21"/>
                      <w:highlight w:val="none"/>
                      <w:lang w:val="en-US" w:eastAsia="zh-CN"/>
                    </w:rPr>
                    <w:t>85</w:t>
                  </w:r>
                </w:p>
              </w:tc>
              <w:tc>
                <w:tcPr>
                  <w:tcW w:w="764" w:type="dxa"/>
                  <w:vMerge w:val="continue"/>
                  <w:shd w:val="clear" w:color="auto" w:fill="auto"/>
                  <w:vAlign w:val="center"/>
                </w:tcPr>
                <w:p w14:paraId="514CD7E7">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608" w:type="dxa"/>
                  <w:shd w:val="clear" w:color="auto" w:fill="auto"/>
                  <w:vAlign w:val="center"/>
                </w:tcPr>
                <w:p w14:paraId="7B01FFD0">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昼间</w:t>
                  </w:r>
                </w:p>
              </w:tc>
            </w:tr>
            <w:tr w14:paraId="4DCBB5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jc w:val="center"/>
              </w:trPr>
              <w:tc>
                <w:tcPr>
                  <w:tcW w:w="308" w:type="dxa"/>
                  <w:vAlign w:val="center"/>
                </w:tcPr>
                <w:p w14:paraId="0F010C34">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10</w:t>
                  </w:r>
                </w:p>
              </w:tc>
              <w:tc>
                <w:tcPr>
                  <w:tcW w:w="731" w:type="dxa"/>
                  <w:shd w:val="clear" w:color="auto" w:fill="auto"/>
                  <w:vAlign w:val="center"/>
                </w:tcPr>
                <w:p w14:paraId="525D752B">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洒水车</w:t>
                  </w:r>
                </w:p>
              </w:tc>
              <w:tc>
                <w:tcPr>
                  <w:tcW w:w="968" w:type="dxa"/>
                  <w:shd w:val="clear" w:color="auto" w:fill="auto"/>
                  <w:vAlign w:val="center"/>
                </w:tcPr>
                <w:p w14:paraId="5C9C7A9F">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caps w:val="0"/>
                      <w:smallCaps w:val="0"/>
                      <w:color w:val="auto"/>
                      <w:sz w:val="21"/>
                      <w:szCs w:val="21"/>
                      <w:highlight w:val="none"/>
                      <w:lang w:val="en-US" w:eastAsia="zh-CN"/>
                    </w:rPr>
                    <w:t>12m</w:t>
                  </w:r>
                  <w:r>
                    <w:rPr>
                      <w:rFonts w:hint="default" w:ascii="Times New Roman" w:hAnsi="Times New Roman" w:cs="Times New Roman"/>
                      <w:caps w:val="0"/>
                      <w:smallCaps w:val="0"/>
                      <w:color w:val="auto"/>
                      <w:sz w:val="21"/>
                      <w:szCs w:val="21"/>
                      <w:highlight w:val="none"/>
                      <w:vertAlign w:val="superscript"/>
                      <w:lang w:val="en-US" w:eastAsia="zh-CN"/>
                    </w:rPr>
                    <w:t>3</w:t>
                  </w:r>
                </w:p>
              </w:tc>
              <w:tc>
                <w:tcPr>
                  <w:tcW w:w="707" w:type="dxa"/>
                  <w:shd w:val="clear" w:color="auto" w:fill="auto"/>
                  <w:vAlign w:val="center"/>
                </w:tcPr>
                <w:p w14:paraId="7B20442A">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128</w:t>
                  </w:r>
                </w:p>
              </w:tc>
              <w:tc>
                <w:tcPr>
                  <w:tcW w:w="688" w:type="dxa"/>
                  <w:shd w:val="clear" w:color="auto" w:fill="auto"/>
                  <w:vAlign w:val="center"/>
                </w:tcPr>
                <w:p w14:paraId="024A3CEE">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-87</w:t>
                  </w:r>
                </w:p>
              </w:tc>
              <w:tc>
                <w:tcPr>
                  <w:tcW w:w="553" w:type="dxa"/>
                  <w:shd w:val="clear" w:color="auto" w:fill="auto"/>
                  <w:vAlign w:val="center"/>
                </w:tcPr>
                <w:p w14:paraId="48915EFB">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1.2</w:t>
                  </w:r>
                </w:p>
              </w:tc>
              <w:tc>
                <w:tcPr>
                  <w:tcW w:w="1652" w:type="dxa"/>
                  <w:shd w:val="clear" w:color="auto" w:fill="auto"/>
                  <w:vAlign w:val="center"/>
                </w:tcPr>
                <w:p w14:paraId="150B50AD">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w:t>
                  </w:r>
                </w:p>
              </w:tc>
              <w:tc>
                <w:tcPr>
                  <w:tcW w:w="873" w:type="dxa"/>
                  <w:shd w:val="clear" w:color="auto" w:fill="auto"/>
                  <w:vAlign w:val="center"/>
                </w:tcPr>
                <w:p w14:paraId="00C9AF5D">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eastAsia="宋体" w:cs="Times New Roman"/>
                      <w:snapToGrid/>
                      <w:color w:val="auto"/>
                      <w:sz w:val="21"/>
                      <w:highlight w:val="none"/>
                      <w:lang w:val="en-US" w:eastAsia="zh-CN"/>
                    </w:rPr>
                    <w:t>85</w:t>
                  </w:r>
                </w:p>
              </w:tc>
              <w:tc>
                <w:tcPr>
                  <w:tcW w:w="764" w:type="dxa"/>
                  <w:shd w:val="clear" w:color="auto" w:fill="auto"/>
                  <w:vAlign w:val="center"/>
                </w:tcPr>
                <w:p w14:paraId="23EE398F">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608" w:type="dxa"/>
                  <w:shd w:val="clear" w:color="auto" w:fill="auto"/>
                  <w:vAlign w:val="center"/>
                </w:tcPr>
                <w:p w14:paraId="172A8F07">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昼间</w:t>
                  </w:r>
                </w:p>
              </w:tc>
            </w:tr>
            <w:tr w14:paraId="0743E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jc w:val="center"/>
              </w:trPr>
              <w:tc>
                <w:tcPr>
                  <w:tcW w:w="308" w:type="dxa"/>
                  <w:vAlign w:val="center"/>
                </w:tcPr>
                <w:p w14:paraId="5525927E">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11</w:t>
                  </w:r>
                </w:p>
              </w:tc>
              <w:tc>
                <w:tcPr>
                  <w:tcW w:w="731" w:type="dxa"/>
                  <w:shd w:val="clear" w:color="auto" w:fill="auto"/>
                  <w:vAlign w:val="center"/>
                </w:tcPr>
                <w:p w14:paraId="354D32D9">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snapToGrid/>
                      <w:color w:val="auto"/>
                      <w:sz w:val="21"/>
                      <w:highlight w:val="none"/>
                      <w:lang w:val="en-US" w:eastAsia="zh-CN"/>
                    </w:rPr>
                    <w:t>变压器</w:t>
                  </w:r>
                </w:p>
              </w:tc>
              <w:tc>
                <w:tcPr>
                  <w:tcW w:w="968" w:type="dxa"/>
                  <w:shd w:val="clear" w:color="auto" w:fill="auto"/>
                  <w:vAlign w:val="center"/>
                </w:tcPr>
                <w:p w14:paraId="206EB37A">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default" w:ascii="Times New Roman" w:hAnsi="Times New Roman" w:cs="Times New Roman"/>
                      <w:caps w:val="0"/>
                      <w:smallCaps w:val="0"/>
                      <w:color w:val="auto"/>
                      <w:sz w:val="21"/>
                      <w:szCs w:val="21"/>
                      <w:highlight w:val="none"/>
                      <w:lang w:val="en-US" w:eastAsia="zh-CN"/>
                    </w:rPr>
                    <w:t>800KVA</w:t>
                  </w:r>
                </w:p>
              </w:tc>
              <w:tc>
                <w:tcPr>
                  <w:tcW w:w="707" w:type="dxa"/>
                  <w:shd w:val="clear" w:color="auto" w:fill="auto"/>
                  <w:vAlign w:val="center"/>
                </w:tcPr>
                <w:p w14:paraId="7D0204BD">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-74</w:t>
                  </w:r>
                </w:p>
              </w:tc>
              <w:tc>
                <w:tcPr>
                  <w:tcW w:w="688" w:type="dxa"/>
                  <w:shd w:val="clear" w:color="auto" w:fill="auto"/>
                  <w:vAlign w:val="center"/>
                </w:tcPr>
                <w:p w14:paraId="616E73AC">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r>
                    <w:rPr>
                      <w:rFonts w:hint="eastAsia" w:ascii="Times New Roman" w:hAnsi="Times New Roman" w:cs="Times New Roman"/>
                      <w:snapToGrid/>
                      <w:color w:val="auto"/>
                      <w:sz w:val="21"/>
                      <w:highlight w:val="none"/>
                      <w:lang w:val="en-US" w:eastAsia="zh-CN"/>
                    </w:rPr>
                    <w:t>15</w:t>
                  </w:r>
                </w:p>
              </w:tc>
              <w:tc>
                <w:tcPr>
                  <w:tcW w:w="553" w:type="dxa"/>
                  <w:shd w:val="clear" w:color="auto" w:fill="auto"/>
                  <w:vAlign w:val="center"/>
                </w:tcPr>
                <w:p w14:paraId="7641B8B3">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1.2</w:t>
                  </w:r>
                </w:p>
              </w:tc>
              <w:tc>
                <w:tcPr>
                  <w:tcW w:w="1652" w:type="dxa"/>
                  <w:shd w:val="clear" w:color="auto" w:fill="auto"/>
                  <w:vAlign w:val="center"/>
                </w:tcPr>
                <w:p w14:paraId="7611CCB7">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val="en-US" w:eastAsia="zh-CN"/>
                    </w:rPr>
                  </w:pPr>
                  <w:r>
                    <w:rPr>
                      <w:rFonts w:hint="default" w:ascii="Times New Roman" w:hAnsi="Times New Roman" w:cs="Times New Roman"/>
                      <w:snapToGrid/>
                      <w:color w:val="auto"/>
                      <w:sz w:val="21"/>
                      <w:highlight w:val="none"/>
                      <w:lang w:val="en-US" w:eastAsia="zh-CN"/>
                    </w:rPr>
                    <w:t>/</w:t>
                  </w:r>
                </w:p>
              </w:tc>
              <w:tc>
                <w:tcPr>
                  <w:tcW w:w="873" w:type="dxa"/>
                  <w:shd w:val="clear" w:color="auto" w:fill="auto"/>
                  <w:vAlign w:val="center"/>
                </w:tcPr>
                <w:p w14:paraId="032AF06D">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eastAsia="zh-CN"/>
                    </w:rPr>
                  </w:pPr>
                  <w:r>
                    <w:rPr>
                      <w:rFonts w:hint="default" w:ascii="Times New Roman" w:hAnsi="Times New Roman" w:eastAsia="宋体" w:cs="Times New Roman"/>
                      <w:snapToGrid/>
                      <w:color w:val="auto"/>
                      <w:sz w:val="21"/>
                      <w:highlight w:val="none"/>
                      <w:lang w:val="en-US" w:eastAsia="zh-CN"/>
                    </w:rPr>
                    <w:t>85</w:t>
                  </w:r>
                </w:p>
              </w:tc>
              <w:tc>
                <w:tcPr>
                  <w:tcW w:w="764" w:type="dxa"/>
                  <w:shd w:val="clear" w:color="auto" w:fill="auto"/>
                  <w:vAlign w:val="center"/>
                </w:tcPr>
                <w:p w14:paraId="47E7E2A1">
                  <w:pPr>
                    <w:widowControl w:val="0"/>
                    <w:kinsoku/>
                    <w:snapToGrid/>
                    <w:spacing w:line="240" w:lineRule="auto"/>
                    <w:ind w:firstLine="0" w:firstLineChars="0"/>
                    <w:jc w:val="center"/>
                    <w:textAlignment w:val="auto"/>
                    <w:rPr>
                      <w:rFonts w:hint="default" w:ascii="Times New Roman" w:hAnsi="Times New Roman" w:cs="Times New Roman"/>
                      <w:snapToGrid/>
                      <w:color w:val="auto"/>
                      <w:sz w:val="21"/>
                      <w:highlight w:val="none"/>
                      <w:lang w:eastAsia="zh-CN"/>
                    </w:rPr>
                  </w:pPr>
                </w:p>
              </w:tc>
              <w:tc>
                <w:tcPr>
                  <w:tcW w:w="608" w:type="dxa"/>
                  <w:shd w:val="clear" w:color="auto" w:fill="auto"/>
                  <w:vAlign w:val="center"/>
                </w:tcPr>
                <w:p w14:paraId="6588E1B1">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default" w:ascii="Times New Roman" w:hAnsi="Times New Roman" w:eastAsia="宋体" w:cs="Times New Roman"/>
                      <w:snapToGrid/>
                      <w:color w:val="auto"/>
                      <w:sz w:val="21"/>
                      <w:highlight w:val="none"/>
                      <w:lang w:val="en-US" w:eastAsia="zh-CN"/>
                    </w:rPr>
                    <w:t>昼间</w:t>
                  </w:r>
                </w:p>
              </w:tc>
            </w:tr>
          </w:tbl>
          <w:p w14:paraId="0E8FDF4A">
            <w:pPr>
              <w:pStyle w:val="2"/>
              <w:jc w:val="center"/>
              <w:rPr>
                <w:rFonts w:hint="default" w:ascii="Times New Roman" w:hAnsi="Times New Roman" w:cs="Times New Roman"/>
                <w:b/>
                <w:bCs/>
                <w:color w:val="auto"/>
                <w:spacing w:val="-3"/>
                <w:sz w:val="21"/>
                <w:highlight w:val="none"/>
                <w:lang w:eastAsia="zh-CN"/>
              </w:rPr>
            </w:pPr>
          </w:p>
          <w:p w14:paraId="26BCAF70">
            <w:pPr>
              <w:pStyle w:val="2"/>
              <w:jc w:val="center"/>
              <w:rPr>
                <w:rFonts w:hint="default" w:ascii="Times New Roman" w:hAnsi="Times New Roman" w:cs="Times New Roman"/>
                <w:b/>
                <w:bCs/>
                <w:color w:val="auto"/>
                <w:spacing w:val="-3"/>
                <w:sz w:val="21"/>
                <w:highlight w:val="none"/>
                <w:lang w:eastAsia="zh-CN"/>
              </w:rPr>
            </w:pPr>
            <w:r>
              <w:rPr>
                <w:rFonts w:hint="default" w:ascii="Times New Roman" w:hAnsi="Times New Roman" w:cs="Times New Roman"/>
                <w:b/>
                <w:bCs/>
                <w:color w:val="auto"/>
                <w:spacing w:val="-3"/>
                <w:sz w:val="21"/>
                <w:highlight w:val="none"/>
                <w:lang w:eastAsia="zh-CN"/>
              </w:rPr>
              <w:t>表</w:t>
            </w:r>
            <w:r>
              <w:rPr>
                <w:rFonts w:hint="default" w:ascii="Times New Roman" w:hAnsi="Times New Roman" w:cs="Times New Roman"/>
                <w:color w:val="auto"/>
                <w:spacing w:val="-33"/>
                <w:sz w:val="21"/>
                <w:highlight w:val="none"/>
                <w:lang w:eastAsia="zh-CN"/>
              </w:rPr>
              <w:t xml:space="preserve"> </w:t>
            </w:r>
            <w:r>
              <w:rPr>
                <w:rFonts w:hint="default" w:ascii="Times New Roman" w:hAnsi="Times New Roman" w:cs="Times New Roman"/>
                <w:b/>
                <w:bCs/>
                <w:color w:val="auto"/>
                <w:spacing w:val="-3"/>
                <w:sz w:val="21"/>
                <w:highlight w:val="none"/>
                <w:lang w:eastAsia="zh-CN"/>
              </w:rPr>
              <w:t>4-</w:t>
            </w:r>
            <w:r>
              <w:rPr>
                <w:rFonts w:hint="eastAsia" w:cs="Times New Roman"/>
                <w:b/>
                <w:bCs/>
                <w:color w:val="auto"/>
                <w:spacing w:val="-3"/>
                <w:sz w:val="21"/>
                <w:highlight w:val="none"/>
                <w:lang w:val="en-US" w:eastAsia="zh-CN"/>
              </w:rPr>
              <w:t>21</w:t>
            </w:r>
            <w:r>
              <w:rPr>
                <w:rFonts w:hint="default" w:ascii="Times New Roman" w:hAnsi="Times New Roman" w:cs="Times New Roman"/>
                <w:b/>
                <w:bCs/>
                <w:color w:val="auto"/>
                <w:spacing w:val="-3"/>
                <w:sz w:val="21"/>
                <w:highlight w:val="none"/>
                <w:lang w:eastAsia="zh-CN"/>
              </w:rPr>
              <w:t xml:space="preserve">  工业企业噪声源强调查清单（室内声源）</w:t>
            </w:r>
          </w:p>
          <w:tbl>
            <w:tblPr>
              <w:tblStyle w:val="31"/>
              <w:tblW w:w="7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465"/>
              <w:gridCol w:w="622"/>
              <w:gridCol w:w="597"/>
              <w:gridCol w:w="460"/>
              <w:gridCol w:w="555"/>
              <w:gridCol w:w="516"/>
              <w:gridCol w:w="518"/>
              <w:gridCol w:w="612"/>
              <w:gridCol w:w="592"/>
              <w:gridCol w:w="482"/>
              <w:gridCol w:w="675"/>
              <w:gridCol w:w="720"/>
              <w:gridCol w:w="690"/>
            </w:tblGrid>
            <w:tr w14:paraId="3B42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431" w:type="dxa"/>
                  <w:vMerge w:val="restart"/>
                  <w:vAlign w:val="center"/>
                </w:tcPr>
                <w:p w14:paraId="4B687079">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序号</w:t>
                  </w:r>
                </w:p>
              </w:tc>
              <w:tc>
                <w:tcPr>
                  <w:tcW w:w="465" w:type="dxa"/>
                  <w:vMerge w:val="restart"/>
                  <w:vAlign w:val="center"/>
                </w:tcPr>
                <w:p w14:paraId="58E119A0">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建筑物名称</w:t>
                  </w:r>
                </w:p>
              </w:tc>
              <w:tc>
                <w:tcPr>
                  <w:tcW w:w="622" w:type="dxa"/>
                  <w:vMerge w:val="restart"/>
                  <w:vAlign w:val="center"/>
                </w:tcPr>
                <w:p w14:paraId="44E74A5E">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声源名称</w:t>
                  </w:r>
                </w:p>
              </w:tc>
              <w:tc>
                <w:tcPr>
                  <w:tcW w:w="597" w:type="dxa"/>
                  <w:vMerge w:val="restart"/>
                  <w:vAlign w:val="center"/>
                </w:tcPr>
                <w:p w14:paraId="37A0A811">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p>
                <w:p w14:paraId="05C5CD32">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声功率级/dB(A)</w:t>
                  </w:r>
                </w:p>
              </w:tc>
              <w:tc>
                <w:tcPr>
                  <w:tcW w:w="460" w:type="dxa"/>
                  <w:vMerge w:val="restart"/>
                  <w:vAlign w:val="center"/>
                </w:tcPr>
                <w:p w14:paraId="7D360A2D">
                  <w:pPr>
                    <w:adjustRightInd w:val="0"/>
                    <w:snapToGrid w:val="0"/>
                    <w:spacing w:line="240" w:lineRule="auto"/>
                    <w:ind w:firstLine="0" w:firstLineChars="0"/>
                    <w:jc w:val="center"/>
                    <w:rPr>
                      <w:rFonts w:hint="default" w:ascii="Times New Roman" w:hAnsi="Times New Roman"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声源控制措施</w:t>
                  </w:r>
                </w:p>
              </w:tc>
              <w:tc>
                <w:tcPr>
                  <w:tcW w:w="1589" w:type="dxa"/>
                  <w:gridSpan w:val="3"/>
                  <w:vAlign w:val="center"/>
                </w:tcPr>
                <w:p w14:paraId="793AE0FA">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空间相对位置/m</w:t>
                  </w:r>
                </w:p>
              </w:tc>
              <w:tc>
                <w:tcPr>
                  <w:tcW w:w="612" w:type="dxa"/>
                  <w:vMerge w:val="restart"/>
                  <w:vAlign w:val="center"/>
                </w:tcPr>
                <w:p w14:paraId="79C00B8E">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距室内边界距离/m</w:t>
                  </w:r>
                </w:p>
              </w:tc>
              <w:tc>
                <w:tcPr>
                  <w:tcW w:w="592" w:type="dxa"/>
                  <w:vMerge w:val="restart"/>
                  <w:vAlign w:val="center"/>
                </w:tcPr>
                <w:p w14:paraId="59AD3C16">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室内边界声级/dB(A)</w:t>
                  </w:r>
                </w:p>
              </w:tc>
              <w:tc>
                <w:tcPr>
                  <w:tcW w:w="482" w:type="dxa"/>
                  <w:vMerge w:val="restart"/>
                  <w:vAlign w:val="center"/>
                </w:tcPr>
                <w:p w14:paraId="0CCD0D8B">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运行时段</w:t>
                  </w:r>
                </w:p>
              </w:tc>
              <w:tc>
                <w:tcPr>
                  <w:tcW w:w="675" w:type="dxa"/>
                  <w:vMerge w:val="restart"/>
                  <w:vAlign w:val="center"/>
                </w:tcPr>
                <w:p w14:paraId="3B5DE15A">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建筑物插入损失 /dB(A)</w:t>
                  </w:r>
                </w:p>
              </w:tc>
              <w:tc>
                <w:tcPr>
                  <w:tcW w:w="1410" w:type="dxa"/>
                  <w:gridSpan w:val="2"/>
                  <w:vAlign w:val="center"/>
                </w:tcPr>
                <w:p w14:paraId="56B3D55C">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建筑物外噪声</w:t>
                  </w:r>
                </w:p>
              </w:tc>
            </w:tr>
            <w:tr w14:paraId="1D68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1" w:type="dxa"/>
                  <w:vMerge w:val="continue"/>
                  <w:vAlign w:val="center"/>
                </w:tcPr>
                <w:p w14:paraId="053586CA">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p>
              </w:tc>
              <w:tc>
                <w:tcPr>
                  <w:tcW w:w="465" w:type="dxa"/>
                  <w:vMerge w:val="continue"/>
                  <w:vAlign w:val="center"/>
                </w:tcPr>
                <w:p w14:paraId="5F6F99B0">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p>
              </w:tc>
              <w:tc>
                <w:tcPr>
                  <w:tcW w:w="622" w:type="dxa"/>
                  <w:vMerge w:val="continue"/>
                  <w:vAlign w:val="center"/>
                </w:tcPr>
                <w:p w14:paraId="011F1831">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p>
              </w:tc>
              <w:tc>
                <w:tcPr>
                  <w:tcW w:w="597" w:type="dxa"/>
                  <w:vMerge w:val="continue"/>
                  <w:vAlign w:val="center"/>
                </w:tcPr>
                <w:p w14:paraId="49AD4FEE">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p>
              </w:tc>
              <w:tc>
                <w:tcPr>
                  <w:tcW w:w="460" w:type="dxa"/>
                  <w:vMerge w:val="continue"/>
                  <w:vAlign w:val="center"/>
                </w:tcPr>
                <w:p w14:paraId="2EF84793">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p>
              </w:tc>
              <w:tc>
                <w:tcPr>
                  <w:tcW w:w="555" w:type="dxa"/>
                  <w:vAlign w:val="center"/>
                </w:tcPr>
                <w:p w14:paraId="1621C8C2">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X</w:t>
                  </w:r>
                </w:p>
              </w:tc>
              <w:tc>
                <w:tcPr>
                  <w:tcW w:w="516" w:type="dxa"/>
                  <w:vAlign w:val="center"/>
                </w:tcPr>
                <w:p w14:paraId="6F494D98">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Y</w:t>
                  </w:r>
                </w:p>
              </w:tc>
              <w:tc>
                <w:tcPr>
                  <w:tcW w:w="518" w:type="dxa"/>
                  <w:vAlign w:val="center"/>
                </w:tcPr>
                <w:p w14:paraId="6A04B8D2">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Z</w:t>
                  </w:r>
                </w:p>
              </w:tc>
              <w:tc>
                <w:tcPr>
                  <w:tcW w:w="612" w:type="dxa"/>
                  <w:vMerge w:val="continue"/>
                  <w:vAlign w:val="center"/>
                </w:tcPr>
                <w:p w14:paraId="5B5464FF">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p>
              </w:tc>
              <w:tc>
                <w:tcPr>
                  <w:tcW w:w="592" w:type="dxa"/>
                  <w:vMerge w:val="continue"/>
                  <w:vAlign w:val="center"/>
                </w:tcPr>
                <w:p w14:paraId="1870B7AD">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p>
              </w:tc>
              <w:tc>
                <w:tcPr>
                  <w:tcW w:w="482" w:type="dxa"/>
                  <w:vMerge w:val="continue"/>
                  <w:vAlign w:val="center"/>
                </w:tcPr>
                <w:p w14:paraId="0264D696">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p>
              </w:tc>
              <w:tc>
                <w:tcPr>
                  <w:tcW w:w="675" w:type="dxa"/>
                  <w:vMerge w:val="continue"/>
                  <w:vAlign w:val="center"/>
                </w:tcPr>
                <w:p w14:paraId="2E652454">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p>
              </w:tc>
              <w:tc>
                <w:tcPr>
                  <w:tcW w:w="720" w:type="dxa"/>
                  <w:vAlign w:val="center"/>
                </w:tcPr>
                <w:p w14:paraId="748F2639">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声压级/dB(A)</w:t>
                  </w:r>
                </w:p>
              </w:tc>
              <w:tc>
                <w:tcPr>
                  <w:tcW w:w="690" w:type="dxa"/>
                  <w:vAlign w:val="center"/>
                </w:tcPr>
                <w:p w14:paraId="2C2DFCF6">
                  <w:pPr>
                    <w:adjustRightInd w:val="0"/>
                    <w:snapToGrid w:val="0"/>
                    <w:spacing w:line="240" w:lineRule="auto"/>
                    <w:ind w:firstLine="0" w:firstLineChars="0"/>
                    <w:jc w:val="center"/>
                    <w:rPr>
                      <w:rFonts w:hint="eastAsia" w:ascii="Times New Roman" w:hAnsi="Times New Roman" w:cs="Times New Roman"/>
                      <w:b/>
                      <w:bCs/>
                      <w:color w:val="auto"/>
                      <w:kern w:val="0"/>
                      <w:sz w:val="21"/>
                      <w:szCs w:val="21"/>
                      <w:highlight w:val="none"/>
                      <w:lang w:val="en-US" w:eastAsia="zh-CN"/>
                    </w:rPr>
                  </w:pPr>
                  <w:r>
                    <w:rPr>
                      <w:rFonts w:hint="eastAsia" w:ascii="Times New Roman" w:hAnsi="Times New Roman" w:cs="Times New Roman"/>
                      <w:b/>
                      <w:bCs/>
                      <w:color w:val="auto"/>
                      <w:kern w:val="0"/>
                      <w:sz w:val="21"/>
                      <w:szCs w:val="21"/>
                      <w:highlight w:val="none"/>
                      <w:lang w:val="en-US" w:eastAsia="zh-CN"/>
                    </w:rPr>
                    <w:t>建筑物外距离</w:t>
                  </w:r>
                </w:p>
              </w:tc>
            </w:tr>
            <w:tr w14:paraId="3E89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431" w:type="dxa"/>
                  <w:vAlign w:val="center"/>
                </w:tcPr>
                <w:p w14:paraId="66E0AA93">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w:t>
                  </w:r>
                </w:p>
              </w:tc>
              <w:tc>
                <w:tcPr>
                  <w:tcW w:w="465" w:type="dxa"/>
                  <w:vMerge w:val="restart"/>
                  <w:vAlign w:val="center"/>
                </w:tcPr>
                <w:p w14:paraId="60AE6B58">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破碎站</w:t>
                  </w:r>
                </w:p>
              </w:tc>
              <w:tc>
                <w:tcPr>
                  <w:tcW w:w="622" w:type="dxa"/>
                  <w:vAlign w:val="center"/>
                </w:tcPr>
                <w:p w14:paraId="587267CA">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r>
                    <w:rPr>
                      <w:rFonts w:hint="eastAsia" w:cs="Times New Roman"/>
                      <w:snapToGrid/>
                      <w:color w:val="auto"/>
                      <w:sz w:val="21"/>
                      <w:highlight w:val="none"/>
                      <w:lang w:val="en-US" w:eastAsia="zh-CN"/>
                    </w:rPr>
                    <w:t>颚式破碎机</w:t>
                  </w:r>
                </w:p>
              </w:tc>
              <w:tc>
                <w:tcPr>
                  <w:tcW w:w="597" w:type="dxa"/>
                  <w:vAlign w:val="center"/>
                </w:tcPr>
                <w:p w14:paraId="7D44E149">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90</w:t>
                  </w:r>
                </w:p>
              </w:tc>
              <w:tc>
                <w:tcPr>
                  <w:tcW w:w="460" w:type="dxa"/>
                  <w:vMerge w:val="restart"/>
                  <w:vAlign w:val="center"/>
                </w:tcPr>
                <w:p w14:paraId="2D2118E0">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选用低噪声设备、厂房隔声</w:t>
                  </w:r>
                </w:p>
              </w:tc>
              <w:tc>
                <w:tcPr>
                  <w:tcW w:w="555" w:type="dxa"/>
                  <w:vAlign w:val="center"/>
                </w:tcPr>
                <w:p w14:paraId="18504DC3">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45</w:t>
                  </w:r>
                </w:p>
              </w:tc>
              <w:tc>
                <w:tcPr>
                  <w:tcW w:w="516" w:type="dxa"/>
                  <w:vAlign w:val="center"/>
                </w:tcPr>
                <w:p w14:paraId="3B4C5478">
                  <w:pPr>
                    <w:widowControl w:val="0"/>
                    <w:kinsoku/>
                    <w:snapToGrid/>
                    <w:spacing w:line="240" w:lineRule="auto"/>
                    <w:ind w:firstLine="0" w:firstLineChars="0"/>
                    <w:jc w:val="center"/>
                    <w:textAlignment w:val="auto"/>
                    <w:rPr>
                      <w:rFonts w:hint="eastAsia"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-20</w:t>
                  </w:r>
                </w:p>
              </w:tc>
              <w:tc>
                <w:tcPr>
                  <w:tcW w:w="518" w:type="dxa"/>
                  <w:vAlign w:val="center"/>
                </w:tcPr>
                <w:p w14:paraId="44BF6AB8">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1.2</w:t>
                  </w:r>
                </w:p>
              </w:tc>
              <w:tc>
                <w:tcPr>
                  <w:tcW w:w="612" w:type="dxa"/>
                  <w:vAlign w:val="center"/>
                </w:tcPr>
                <w:p w14:paraId="43B458FA">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cs="Times New Roman"/>
                      <w:snapToGrid/>
                      <w:color w:val="auto"/>
                      <w:sz w:val="21"/>
                      <w:highlight w:val="none"/>
                      <w:lang w:val="en-US" w:eastAsia="zh-CN"/>
                    </w:rPr>
                    <w:t>23.56</w:t>
                  </w:r>
                </w:p>
              </w:tc>
              <w:tc>
                <w:tcPr>
                  <w:tcW w:w="592" w:type="dxa"/>
                  <w:vAlign w:val="center"/>
                </w:tcPr>
                <w:p w14:paraId="7472164A">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cs="Times New Roman"/>
                      <w:snapToGrid/>
                      <w:color w:val="auto"/>
                      <w:sz w:val="21"/>
                      <w:highlight w:val="none"/>
                      <w:lang w:val="en-US" w:eastAsia="zh-CN"/>
                    </w:rPr>
                    <w:t>76.15</w:t>
                  </w:r>
                </w:p>
              </w:tc>
              <w:tc>
                <w:tcPr>
                  <w:tcW w:w="482" w:type="dxa"/>
                  <w:vMerge w:val="restart"/>
                  <w:vAlign w:val="center"/>
                </w:tcPr>
                <w:p w14:paraId="2EA4D467">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eastAsia="zh-CN"/>
                    </w:rPr>
                    <w:t>昼间，</w:t>
                  </w:r>
                  <w:r>
                    <w:rPr>
                      <w:rFonts w:hint="eastAsia" w:cs="Times New Roman"/>
                      <w:snapToGrid/>
                      <w:color w:val="auto"/>
                      <w:sz w:val="21"/>
                      <w:highlight w:val="none"/>
                      <w:lang w:val="en-US" w:eastAsia="zh-CN"/>
                    </w:rPr>
                    <w:t>8h</w:t>
                  </w:r>
                </w:p>
              </w:tc>
              <w:tc>
                <w:tcPr>
                  <w:tcW w:w="675" w:type="dxa"/>
                  <w:vAlign w:val="center"/>
                </w:tcPr>
                <w:p w14:paraId="7E14BEB7">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16</w:t>
                  </w:r>
                </w:p>
              </w:tc>
              <w:tc>
                <w:tcPr>
                  <w:tcW w:w="720" w:type="dxa"/>
                  <w:vAlign w:val="center"/>
                </w:tcPr>
                <w:p w14:paraId="451C46F3">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val="en-US" w:eastAsia="zh-CN"/>
                    </w:rPr>
                    <w:t>54</w:t>
                  </w:r>
                  <w:r>
                    <w:rPr>
                      <w:rFonts w:hint="eastAsia" w:cs="Times New Roman"/>
                      <w:snapToGrid/>
                      <w:color w:val="auto"/>
                      <w:sz w:val="21"/>
                      <w:highlight w:val="none"/>
                      <w:lang w:eastAsia="zh-CN"/>
                    </w:rPr>
                    <w:t>.1</w:t>
                  </w:r>
                  <w:r>
                    <w:rPr>
                      <w:rFonts w:hint="eastAsia" w:cs="Times New Roman"/>
                      <w:snapToGrid/>
                      <w:color w:val="auto"/>
                      <w:sz w:val="21"/>
                      <w:highlight w:val="none"/>
                      <w:lang w:val="en-US" w:eastAsia="zh-CN"/>
                    </w:rPr>
                    <w:t>3</w:t>
                  </w:r>
                </w:p>
              </w:tc>
              <w:tc>
                <w:tcPr>
                  <w:tcW w:w="690" w:type="dxa"/>
                  <w:vAlign w:val="center"/>
                </w:tcPr>
                <w:p w14:paraId="180FAFAC">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w:t>
                  </w:r>
                </w:p>
              </w:tc>
            </w:tr>
            <w:tr w14:paraId="6BCA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431" w:type="dxa"/>
                  <w:vAlign w:val="center"/>
                </w:tcPr>
                <w:p w14:paraId="02E9A4BB">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2</w:t>
                  </w:r>
                </w:p>
              </w:tc>
              <w:tc>
                <w:tcPr>
                  <w:tcW w:w="465" w:type="dxa"/>
                  <w:vMerge w:val="continue"/>
                  <w:vAlign w:val="center"/>
                </w:tcPr>
                <w:p w14:paraId="2B453050">
                  <w:pPr>
                    <w:widowControl w:val="0"/>
                    <w:kinsoku/>
                    <w:snapToGrid/>
                    <w:spacing w:line="240" w:lineRule="auto"/>
                    <w:ind w:firstLine="0" w:firstLineChars="0"/>
                    <w:jc w:val="center"/>
                    <w:textAlignment w:val="auto"/>
                    <w:rPr>
                      <w:rFonts w:cs="Times New Roman"/>
                      <w:snapToGrid/>
                      <w:color w:val="auto"/>
                      <w:sz w:val="21"/>
                      <w:highlight w:val="none"/>
                      <w:lang w:eastAsia="zh-CN"/>
                    </w:rPr>
                  </w:pPr>
                </w:p>
              </w:tc>
              <w:tc>
                <w:tcPr>
                  <w:tcW w:w="622" w:type="dxa"/>
                  <w:vAlign w:val="center"/>
                </w:tcPr>
                <w:p w14:paraId="4DF912C5">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r>
                    <w:rPr>
                      <w:rFonts w:hint="eastAsia" w:cs="Times New Roman"/>
                      <w:snapToGrid/>
                      <w:color w:val="auto"/>
                      <w:sz w:val="21"/>
                      <w:highlight w:val="none"/>
                      <w:lang w:val="en-US" w:eastAsia="zh-CN"/>
                    </w:rPr>
                    <w:t>反击式破碎机</w:t>
                  </w:r>
                </w:p>
              </w:tc>
              <w:tc>
                <w:tcPr>
                  <w:tcW w:w="597" w:type="dxa"/>
                  <w:vAlign w:val="center"/>
                </w:tcPr>
                <w:p w14:paraId="6C02B73D">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90</w:t>
                  </w:r>
                </w:p>
              </w:tc>
              <w:tc>
                <w:tcPr>
                  <w:tcW w:w="460" w:type="dxa"/>
                  <w:vMerge w:val="continue"/>
                  <w:vAlign w:val="center"/>
                </w:tcPr>
                <w:p w14:paraId="4A80777A">
                  <w:pPr>
                    <w:widowControl w:val="0"/>
                    <w:kinsoku/>
                    <w:snapToGrid/>
                    <w:spacing w:line="240" w:lineRule="auto"/>
                    <w:ind w:firstLine="0" w:firstLineChars="0"/>
                    <w:jc w:val="center"/>
                    <w:textAlignment w:val="auto"/>
                    <w:rPr>
                      <w:rFonts w:cs="Times New Roman"/>
                      <w:snapToGrid/>
                      <w:color w:val="auto"/>
                      <w:sz w:val="21"/>
                      <w:highlight w:val="none"/>
                      <w:lang w:eastAsia="zh-CN"/>
                    </w:rPr>
                  </w:pPr>
                </w:p>
              </w:tc>
              <w:tc>
                <w:tcPr>
                  <w:tcW w:w="555" w:type="dxa"/>
                  <w:vAlign w:val="center"/>
                </w:tcPr>
                <w:p w14:paraId="2104B04B">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28</w:t>
                  </w:r>
                </w:p>
              </w:tc>
              <w:tc>
                <w:tcPr>
                  <w:tcW w:w="516" w:type="dxa"/>
                  <w:vAlign w:val="center"/>
                </w:tcPr>
                <w:p w14:paraId="421C8B4B">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-3</w:t>
                  </w:r>
                </w:p>
              </w:tc>
              <w:tc>
                <w:tcPr>
                  <w:tcW w:w="518" w:type="dxa"/>
                  <w:vAlign w:val="center"/>
                </w:tcPr>
                <w:p w14:paraId="7AD5A470">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1.2</w:t>
                  </w:r>
                </w:p>
              </w:tc>
              <w:tc>
                <w:tcPr>
                  <w:tcW w:w="612" w:type="dxa"/>
                  <w:vAlign w:val="center"/>
                </w:tcPr>
                <w:p w14:paraId="21760DD4">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cs="Times New Roman"/>
                      <w:snapToGrid/>
                      <w:color w:val="auto"/>
                      <w:sz w:val="21"/>
                      <w:highlight w:val="none"/>
                      <w:lang w:val="en-US" w:eastAsia="zh-CN"/>
                    </w:rPr>
                    <w:t>28.62</w:t>
                  </w:r>
                </w:p>
              </w:tc>
              <w:tc>
                <w:tcPr>
                  <w:tcW w:w="592" w:type="dxa"/>
                  <w:vAlign w:val="center"/>
                </w:tcPr>
                <w:p w14:paraId="1403BA2C">
                  <w:pPr>
                    <w:widowControl w:val="0"/>
                    <w:kinsoku/>
                    <w:snapToGrid/>
                    <w:spacing w:line="240" w:lineRule="auto"/>
                    <w:ind w:firstLine="0" w:firstLineChars="0"/>
                    <w:jc w:val="center"/>
                    <w:textAlignment w:val="auto"/>
                    <w:rPr>
                      <w:rFonts w:hint="eastAsia"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7</w:t>
                  </w:r>
                  <w:r>
                    <w:rPr>
                      <w:rFonts w:hint="eastAsia" w:cs="Times New Roman"/>
                      <w:snapToGrid/>
                      <w:color w:val="auto"/>
                      <w:sz w:val="21"/>
                      <w:highlight w:val="none"/>
                      <w:lang w:val="en-US" w:eastAsia="zh-CN"/>
                    </w:rPr>
                    <w:t>6</w:t>
                  </w:r>
                  <w:r>
                    <w:rPr>
                      <w:rFonts w:hint="eastAsia" w:ascii="Times New Roman" w:hAnsi="Times New Roman" w:eastAsia="宋体" w:cs="Times New Roman"/>
                      <w:snapToGrid/>
                      <w:color w:val="auto"/>
                      <w:sz w:val="21"/>
                      <w:highlight w:val="none"/>
                      <w:lang w:val="en-US" w:eastAsia="zh-CN"/>
                    </w:rPr>
                    <w:t>.15</w:t>
                  </w:r>
                </w:p>
              </w:tc>
              <w:tc>
                <w:tcPr>
                  <w:tcW w:w="482" w:type="dxa"/>
                  <w:vMerge w:val="continue"/>
                  <w:vAlign w:val="center"/>
                </w:tcPr>
                <w:p w14:paraId="24465246">
                  <w:pPr>
                    <w:widowControl w:val="0"/>
                    <w:kinsoku/>
                    <w:snapToGrid/>
                    <w:spacing w:line="240" w:lineRule="auto"/>
                    <w:ind w:firstLine="0" w:firstLineChars="0"/>
                    <w:jc w:val="center"/>
                    <w:textAlignment w:val="auto"/>
                    <w:rPr>
                      <w:rFonts w:cs="Times New Roman"/>
                      <w:snapToGrid/>
                      <w:color w:val="auto"/>
                      <w:sz w:val="21"/>
                      <w:highlight w:val="none"/>
                      <w:lang w:eastAsia="zh-CN"/>
                    </w:rPr>
                  </w:pPr>
                </w:p>
              </w:tc>
              <w:tc>
                <w:tcPr>
                  <w:tcW w:w="675" w:type="dxa"/>
                  <w:vAlign w:val="center"/>
                </w:tcPr>
                <w:p w14:paraId="04F852A5">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r>
                    <w:rPr>
                      <w:rFonts w:hint="eastAsia" w:cs="Times New Roman"/>
                      <w:snapToGrid/>
                      <w:color w:val="auto"/>
                      <w:sz w:val="21"/>
                      <w:highlight w:val="none"/>
                      <w:lang w:eastAsia="zh-CN"/>
                    </w:rPr>
                    <w:t>16</w:t>
                  </w:r>
                </w:p>
              </w:tc>
              <w:tc>
                <w:tcPr>
                  <w:tcW w:w="720" w:type="dxa"/>
                  <w:vAlign w:val="center"/>
                </w:tcPr>
                <w:p w14:paraId="30AE4928">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val="en-US" w:eastAsia="zh-CN"/>
                    </w:rPr>
                    <w:t>54</w:t>
                  </w:r>
                  <w:r>
                    <w:rPr>
                      <w:rFonts w:hint="eastAsia" w:cs="Times New Roman"/>
                      <w:snapToGrid/>
                      <w:color w:val="auto"/>
                      <w:sz w:val="21"/>
                      <w:highlight w:val="none"/>
                      <w:lang w:eastAsia="zh-CN"/>
                    </w:rPr>
                    <w:t>.1</w:t>
                  </w:r>
                  <w:r>
                    <w:rPr>
                      <w:rFonts w:hint="eastAsia" w:cs="Times New Roman"/>
                      <w:snapToGrid/>
                      <w:color w:val="auto"/>
                      <w:sz w:val="21"/>
                      <w:highlight w:val="none"/>
                      <w:lang w:val="en-US" w:eastAsia="zh-CN"/>
                    </w:rPr>
                    <w:t>3</w:t>
                  </w:r>
                </w:p>
              </w:tc>
              <w:tc>
                <w:tcPr>
                  <w:tcW w:w="690" w:type="dxa"/>
                  <w:vAlign w:val="center"/>
                </w:tcPr>
                <w:p w14:paraId="42D88F72">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w:t>
                  </w:r>
                </w:p>
              </w:tc>
            </w:tr>
            <w:tr w14:paraId="422D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431" w:type="dxa"/>
                  <w:vAlign w:val="center"/>
                </w:tcPr>
                <w:p w14:paraId="2046C768">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3</w:t>
                  </w:r>
                </w:p>
              </w:tc>
              <w:tc>
                <w:tcPr>
                  <w:tcW w:w="465" w:type="dxa"/>
                  <w:vMerge w:val="continue"/>
                  <w:vAlign w:val="center"/>
                </w:tcPr>
                <w:p w14:paraId="4F4E2421">
                  <w:pPr>
                    <w:widowControl w:val="0"/>
                    <w:kinsoku/>
                    <w:snapToGrid/>
                    <w:spacing w:line="240" w:lineRule="auto"/>
                    <w:ind w:firstLine="0" w:firstLineChars="0"/>
                    <w:jc w:val="center"/>
                    <w:textAlignment w:val="auto"/>
                    <w:rPr>
                      <w:rFonts w:cs="Times New Roman"/>
                      <w:snapToGrid/>
                      <w:color w:val="auto"/>
                      <w:sz w:val="21"/>
                      <w:highlight w:val="none"/>
                      <w:lang w:eastAsia="zh-CN"/>
                    </w:rPr>
                  </w:pPr>
                </w:p>
              </w:tc>
              <w:tc>
                <w:tcPr>
                  <w:tcW w:w="622" w:type="dxa"/>
                  <w:vAlign w:val="center"/>
                </w:tcPr>
                <w:p w14:paraId="0F31F374">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r>
                    <w:rPr>
                      <w:rFonts w:hint="eastAsia" w:cs="Times New Roman"/>
                      <w:snapToGrid/>
                      <w:color w:val="auto"/>
                      <w:sz w:val="21"/>
                      <w:highlight w:val="none"/>
                      <w:lang w:val="en-US" w:eastAsia="zh-CN"/>
                    </w:rPr>
                    <w:t>振动筛1</w:t>
                  </w:r>
                </w:p>
              </w:tc>
              <w:tc>
                <w:tcPr>
                  <w:tcW w:w="597" w:type="dxa"/>
                  <w:vAlign w:val="center"/>
                </w:tcPr>
                <w:p w14:paraId="0B3D59C6">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90</w:t>
                  </w:r>
                </w:p>
              </w:tc>
              <w:tc>
                <w:tcPr>
                  <w:tcW w:w="460" w:type="dxa"/>
                  <w:vMerge w:val="continue"/>
                  <w:vAlign w:val="center"/>
                </w:tcPr>
                <w:p w14:paraId="058EBF11">
                  <w:pPr>
                    <w:widowControl w:val="0"/>
                    <w:kinsoku/>
                    <w:snapToGrid/>
                    <w:spacing w:line="240" w:lineRule="auto"/>
                    <w:ind w:firstLine="0" w:firstLineChars="0"/>
                    <w:jc w:val="center"/>
                    <w:textAlignment w:val="auto"/>
                    <w:rPr>
                      <w:rFonts w:cs="Times New Roman"/>
                      <w:snapToGrid/>
                      <w:color w:val="auto"/>
                      <w:sz w:val="21"/>
                      <w:highlight w:val="none"/>
                      <w:lang w:eastAsia="zh-CN"/>
                    </w:rPr>
                  </w:pPr>
                </w:p>
              </w:tc>
              <w:tc>
                <w:tcPr>
                  <w:tcW w:w="555" w:type="dxa"/>
                  <w:vAlign w:val="center"/>
                </w:tcPr>
                <w:p w14:paraId="52CFAE50">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-5</w:t>
                  </w:r>
                </w:p>
              </w:tc>
              <w:tc>
                <w:tcPr>
                  <w:tcW w:w="516" w:type="dxa"/>
                  <w:vAlign w:val="center"/>
                </w:tcPr>
                <w:p w14:paraId="6E121778">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-16</w:t>
                  </w:r>
                </w:p>
              </w:tc>
              <w:tc>
                <w:tcPr>
                  <w:tcW w:w="518" w:type="dxa"/>
                  <w:vAlign w:val="center"/>
                </w:tcPr>
                <w:p w14:paraId="3B2FE55B">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1.2</w:t>
                  </w:r>
                </w:p>
              </w:tc>
              <w:tc>
                <w:tcPr>
                  <w:tcW w:w="612" w:type="dxa"/>
                  <w:vAlign w:val="center"/>
                </w:tcPr>
                <w:p w14:paraId="7AF86FDD">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cs="Times New Roman"/>
                      <w:snapToGrid/>
                      <w:color w:val="auto"/>
                      <w:sz w:val="21"/>
                      <w:highlight w:val="none"/>
                      <w:lang w:val="en-US" w:eastAsia="zh-CN"/>
                    </w:rPr>
                    <w:t>30.85</w:t>
                  </w:r>
                </w:p>
              </w:tc>
              <w:tc>
                <w:tcPr>
                  <w:tcW w:w="592" w:type="dxa"/>
                  <w:vAlign w:val="center"/>
                </w:tcPr>
                <w:p w14:paraId="254243BE">
                  <w:pPr>
                    <w:widowControl w:val="0"/>
                    <w:kinsoku/>
                    <w:snapToGrid/>
                    <w:spacing w:line="240" w:lineRule="auto"/>
                    <w:ind w:firstLine="0" w:firstLineChars="0"/>
                    <w:jc w:val="center"/>
                    <w:textAlignment w:val="auto"/>
                    <w:rPr>
                      <w:rFonts w:hint="eastAsia"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7</w:t>
                  </w:r>
                  <w:r>
                    <w:rPr>
                      <w:rFonts w:hint="eastAsia" w:cs="Times New Roman"/>
                      <w:snapToGrid/>
                      <w:color w:val="auto"/>
                      <w:sz w:val="21"/>
                      <w:highlight w:val="none"/>
                      <w:lang w:val="en-US" w:eastAsia="zh-CN"/>
                    </w:rPr>
                    <w:t>6</w:t>
                  </w:r>
                  <w:r>
                    <w:rPr>
                      <w:rFonts w:hint="eastAsia" w:ascii="Times New Roman" w:hAnsi="Times New Roman" w:eastAsia="宋体" w:cs="Times New Roman"/>
                      <w:snapToGrid/>
                      <w:color w:val="auto"/>
                      <w:sz w:val="21"/>
                      <w:highlight w:val="none"/>
                      <w:lang w:val="en-US" w:eastAsia="zh-CN"/>
                    </w:rPr>
                    <w:t>.15</w:t>
                  </w:r>
                </w:p>
              </w:tc>
              <w:tc>
                <w:tcPr>
                  <w:tcW w:w="482" w:type="dxa"/>
                  <w:vMerge w:val="continue"/>
                  <w:vAlign w:val="center"/>
                </w:tcPr>
                <w:p w14:paraId="2C0B74E5">
                  <w:pPr>
                    <w:widowControl w:val="0"/>
                    <w:kinsoku/>
                    <w:snapToGrid/>
                    <w:spacing w:line="240" w:lineRule="auto"/>
                    <w:ind w:firstLine="0" w:firstLineChars="0"/>
                    <w:jc w:val="center"/>
                    <w:textAlignment w:val="auto"/>
                    <w:rPr>
                      <w:rFonts w:cs="Times New Roman"/>
                      <w:snapToGrid/>
                      <w:color w:val="auto"/>
                      <w:sz w:val="21"/>
                      <w:highlight w:val="none"/>
                      <w:lang w:eastAsia="zh-CN"/>
                    </w:rPr>
                  </w:pPr>
                </w:p>
              </w:tc>
              <w:tc>
                <w:tcPr>
                  <w:tcW w:w="675" w:type="dxa"/>
                  <w:vAlign w:val="center"/>
                </w:tcPr>
                <w:p w14:paraId="2A150CC3">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r>
                    <w:rPr>
                      <w:rFonts w:hint="eastAsia" w:cs="Times New Roman"/>
                      <w:snapToGrid/>
                      <w:color w:val="auto"/>
                      <w:sz w:val="21"/>
                      <w:highlight w:val="none"/>
                      <w:lang w:eastAsia="zh-CN"/>
                    </w:rPr>
                    <w:t>16</w:t>
                  </w:r>
                </w:p>
              </w:tc>
              <w:tc>
                <w:tcPr>
                  <w:tcW w:w="720" w:type="dxa"/>
                  <w:vAlign w:val="center"/>
                </w:tcPr>
                <w:p w14:paraId="3F4DA45F">
                  <w:pPr>
                    <w:widowControl w:val="0"/>
                    <w:kinsoku/>
                    <w:snapToGrid/>
                    <w:spacing w:line="240" w:lineRule="auto"/>
                    <w:ind w:firstLine="0" w:firstLineChars="0"/>
                    <w:jc w:val="center"/>
                    <w:textAlignment w:val="auto"/>
                    <w:rPr>
                      <w:rFonts w:hint="eastAsia" w:ascii="Times New Roman" w:hAnsi="Times New Roman" w:eastAsia="宋体" w:cs="Times New Roman"/>
                      <w:snapToGrid/>
                      <w:color w:val="auto"/>
                      <w:sz w:val="21"/>
                      <w:highlight w:val="none"/>
                      <w:lang w:eastAsia="zh-CN"/>
                    </w:rPr>
                  </w:pPr>
                  <w:r>
                    <w:rPr>
                      <w:rFonts w:hint="eastAsia" w:cs="Times New Roman"/>
                      <w:snapToGrid/>
                      <w:color w:val="auto"/>
                      <w:sz w:val="21"/>
                      <w:highlight w:val="none"/>
                      <w:lang w:val="en-US" w:eastAsia="zh-CN"/>
                    </w:rPr>
                    <w:t>54</w:t>
                  </w:r>
                  <w:r>
                    <w:rPr>
                      <w:rFonts w:hint="eastAsia" w:ascii="Times New Roman" w:hAnsi="Times New Roman" w:eastAsia="宋体" w:cs="Times New Roman"/>
                      <w:snapToGrid/>
                      <w:color w:val="auto"/>
                      <w:sz w:val="21"/>
                      <w:highlight w:val="none"/>
                      <w:lang w:eastAsia="zh-CN"/>
                    </w:rPr>
                    <w:t>.1</w:t>
                  </w:r>
                  <w:r>
                    <w:rPr>
                      <w:rFonts w:hint="eastAsia" w:ascii="Times New Roman" w:hAnsi="Times New Roman" w:eastAsia="宋体" w:cs="Times New Roman"/>
                      <w:snapToGrid/>
                      <w:color w:val="auto"/>
                      <w:sz w:val="21"/>
                      <w:highlight w:val="none"/>
                      <w:lang w:val="en-US" w:eastAsia="zh-CN"/>
                    </w:rPr>
                    <w:t>3</w:t>
                  </w:r>
                </w:p>
              </w:tc>
              <w:tc>
                <w:tcPr>
                  <w:tcW w:w="690" w:type="dxa"/>
                  <w:vAlign w:val="center"/>
                </w:tcPr>
                <w:p w14:paraId="7AE42365">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w:t>
                  </w:r>
                </w:p>
              </w:tc>
            </w:tr>
            <w:tr w14:paraId="68001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431" w:type="dxa"/>
                  <w:vAlign w:val="center"/>
                </w:tcPr>
                <w:p w14:paraId="30F1D403">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4</w:t>
                  </w:r>
                </w:p>
              </w:tc>
              <w:tc>
                <w:tcPr>
                  <w:tcW w:w="465" w:type="dxa"/>
                  <w:vMerge w:val="continue"/>
                  <w:vAlign w:val="center"/>
                </w:tcPr>
                <w:p w14:paraId="13D51538">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p>
              </w:tc>
              <w:tc>
                <w:tcPr>
                  <w:tcW w:w="622" w:type="dxa"/>
                  <w:vAlign w:val="center"/>
                </w:tcPr>
                <w:p w14:paraId="5469CCC6">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r>
                    <w:rPr>
                      <w:rFonts w:hint="eastAsia" w:cs="Times New Roman"/>
                      <w:snapToGrid/>
                      <w:color w:val="auto"/>
                      <w:sz w:val="21"/>
                      <w:highlight w:val="none"/>
                      <w:lang w:val="en-US" w:eastAsia="zh-CN"/>
                    </w:rPr>
                    <w:t>振动筛2</w:t>
                  </w:r>
                </w:p>
              </w:tc>
              <w:tc>
                <w:tcPr>
                  <w:tcW w:w="597" w:type="dxa"/>
                  <w:vAlign w:val="center"/>
                </w:tcPr>
                <w:p w14:paraId="4FD61572">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90</w:t>
                  </w:r>
                </w:p>
              </w:tc>
              <w:tc>
                <w:tcPr>
                  <w:tcW w:w="460" w:type="dxa"/>
                  <w:vMerge w:val="continue"/>
                  <w:vAlign w:val="center"/>
                </w:tcPr>
                <w:p w14:paraId="62AD5E63">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p>
              </w:tc>
              <w:tc>
                <w:tcPr>
                  <w:tcW w:w="555" w:type="dxa"/>
                  <w:vAlign w:val="center"/>
                </w:tcPr>
                <w:p w14:paraId="68DDB25B">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-31</w:t>
                  </w:r>
                </w:p>
              </w:tc>
              <w:tc>
                <w:tcPr>
                  <w:tcW w:w="516" w:type="dxa"/>
                  <w:vAlign w:val="center"/>
                </w:tcPr>
                <w:p w14:paraId="687BB662">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-14</w:t>
                  </w:r>
                </w:p>
              </w:tc>
              <w:tc>
                <w:tcPr>
                  <w:tcW w:w="518" w:type="dxa"/>
                  <w:vAlign w:val="center"/>
                </w:tcPr>
                <w:p w14:paraId="5C2A3E65">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1.2</w:t>
                  </w:r>
                </w:p>
              </w:tc>
              <w:tc>
                <w:tcPr>
                  <w:tcW w:w="612" w:type="dxa"/>
                  <w:vAlign w:val="center"/>
                </w:tcPr>
                <w:p w14:paraId="6A9E9216">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cs="Times New Roman"/>
                      <w:snapToGrid/>
                      <w:color w:val="auto"/>
                      <w:sz w:val="21"/>
                      <w:highlight w:val="none"/>
                      <w:lang w:val="en-US" w:eastAsia="zh-CN"/>
                    </w:rPr>
                    <w:t>29.35</w:t>
                  </w:r>
                </w:p>
              </w:tc>
              <w:tc>
                <w:tcPr>
                  <w:tcW w:w="592" w:type="dxa"/>
                  <w:vAlign w:val="center"/>
                </w:tcPr>
                <w:p w14:paraId="6089BA12">
                  <w:pPr>
                    <w:widowControl w:val="0"/>
                    <w:kinsoku/>
                    <w:snapToGrid/>
                    <w:spacing w:line="240" w:lineRule="auto"/>
                    <w:ind w:firstLine="0" w:firstLineChars="0"/>
                    <w:jc w:val="center"/>
                    <w:textAlignment w:val="auto"/>
                    <w:rPr>
                      <w:rFonts w:hint="eastAsia"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7</w:t>
                  </w:r>
                  <w:r>
                    <w:rPr>
                      <w:rFonts w:hint="eastAsia" w:cs="Times New Roman"/>
                      <w:snapToGrid/>
                      <w:color w:val="auto"/>
                      <w:sz w:val="21"/>
                      <w:highlight w:val="none"/>
                      <w:lang w:val="en-US" w:eastAsia="zh-CN"/>
                    </w:rPr>
                    <w:t>6</w:t>
                  </w:r>
                  <w:r>
                    <w:rPr>
                      <w:rFonts w:hint="eastAsia" w:ascii="Times New Roman" w:hAnsi="Times New Roman" w:eastAsia="宋体" w:cs="Times New Roman"/>
                      <w:snapToGrid/>
                      <w:color w:val="auto"/>
                      <w:sz w:val="21"/>
                      <w:highlight w:val="none"/>
                      <w:lang w:val="en-US" w:eastAsia="zh-CN"/>
                    </w:rPr>
                    <w:t>.15</w:t>
                  </w:r>
                </w:p>
              </w:tc>
              <w:tc>
                <w:tcPr>
                  <w:tcW w:w="482" w:type="dxa"/>
                  <w:vMerge w:val="continue"/>
                  <w:vAlign w:val="center"/>
                </w:tcPr>
                <w:p w14:paraId="5F86A5B5">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p>
              </w:tc>
              <w:tc>
                <w:tcPr>
                  <w:tcW w:w="675" w:type="dxa"/>
                  <w:vAlign w:val="center"/>
                </w:tcPr>
                <w:p w14:paraId="6B14A688">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r>
                    <w:rPr>
                      <w:rFonts w:hint="eastAsia" w:cs="Times New Roman"/>
                      <w:snapToGrid/>
                      <w:color w:val="auto"/>
                      <w:sz w:val="21"/>
                      <w:highlight w:val="none"/>
                      <w:lang w:eastAsia="zh-CN"/>
                    </w:rPr>
                    <w:t>16</w:t>
                  </w:r>
                </w:p>
              </w:tc>
              <w:tc>
                <w:tcPr>
                  <w:tcW w:w="720" w:type="dxa"/>
                  <w:vAlign w:val="center"/>
                </w:tcPr>
                <w:p w14:paraId="491FC4CB">
                  <w:pPr>
                    <w:widowControl w:val="0"/>
                    <w:kinsoku/>
                    <w:snapToGrid/>
                    <w:spacing w:line="240" w:lineRule="auto"/>
                    <w:ind w:firstLine="0" w:firstLineChars="0"/>
                    <w:jc w:val="center"/>
                    <w:textAlignment w:val="auto"/>
                    <w:rPr>
                      <w:rFonts w:hint="eastAsia" w:ascii="Times New Roman" w:hAnsi="Times New Roman" w:eastAsia="宋体" w:cs="Times New Roman"/>
                      <w:snapToGrid/>
                      <w:color w:val="auto"/>
                      <w:sz w:val="21"/>
                      <w:highlight w:val="none"/>
                      <w:lang w:eastAsia="zh-CN"/>
                    </w:rPr>
                  </w:pPr>
                  <w:r>
                    <w:rPr>
                      <w:rFonts w:hint="eastAsia" w:cs="Times New Roman"/>
                      <w:snapToGrid/>
                      <w:color w:val="auto"/>
                      <w:sz w:val="21"/>
                      <w:highlight w:val="none"/>
                      <w:lang w:val="en-US" w:eastAsia="zh-CN"/>
                    </w:rPr>
                    <w:t>54</w:t>
                  </w:r>
                  <w:r>
                    <w:rPr>
                      <w:rFonts w:hint="eastAsia" w:ascii="Times New Roman" w:hAnsi="Times New Roman" w:eastAsia="宋体" w:cs="Times New Roman"/>
                      <w:snapToGrid/>
                      <w:color w:val="auto"/>
                      <w:sz w:val="21"/>
                      <w:highlight w:val="none"/>
                      <w:lang w:eastAsia="zh-CN"/>
                    </w:rPr>
                    <w:t>.1</w:t>
                  </w:r>
                  <w:r>
                    <w:rPr>
                      <w:rFonts w:hint="eastAsia" w:ascii="Times New Roman" w:hAnsi="Times New Roman" w:eastAsia="宋体" w:cs="Times New Roman"/>
                      <w:snapToGrid/>
                      <w:color w:val="auto"/>
                      <w:sz w:val="21"/>
                      <w:highlight w:val="none"/>
                      <w:lang w:val="en-US" w:eastAsia="zh-CN"/>
                    </w:rPr>
                    <w:t>3</w:t>
                  </w:r>
                </w:p>
              </w:tc>
              <w:tc>
                <w:tcPr>
                  <w:tcW w:w="690" w:type="dxa"/>
                  <w:vAlign w:val="center"/>
                </w:tcPr>
                <w:p w14:paraId="275EE535">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1</w:t>
                  </w:r>
                </w:p>
              </w:tc>
            </w:tr>
            <w:tr w14:paraId="386A3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431" w:type="dxa"/>
                  <w:vAlign w:val="center"/>
                </w:tcPr>
                <w:p w14:paraId="26292E42">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5</w:t>
                  </w:r>
                </w:p>
              </w:tc>
              <w:tc>
                <w:tcPr>
                  <w:tcW w:w="465" w:type="dxa"/>
                  <w:vMerge w:val="continue"/>
                  <w:vAlign w:val="center"/>
                </w:tcPr>
                <w:p w14:paraId="51A8A588">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p>
              </w:tc>
              <w:tc>
                <w:tcPr>
                  <w:tcW w:w="622" w:type="dxa"/>
                  <w:vAlign w:val="center"/>
                </w:tcPr>
                <w:p w14:paraId="6AE04DA1">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r>
                    <w:rPr>
                      <w:rFonts w:hint="eastAsia" w:cs="Times New Roman"/>
                      <w:snapToGrid/>
                      <w:color w:val="auto"/>
                      <w:sz w:val="21"/>
                      <w:highlight w:val="none"/>
                      <w:lang w:val="en-US" w:eastAsia="zh-CN"/>
                    </w:rPr>
                    <w:t>制砂机</w:t>
                  </w:r>
                </w:p>
              </w:tc>
              <w:tc>
                <w:tcPr>
                  <w:tcW w:w="597" w:type="dxa"/>
                  <w:vAlign w:val="center"/>
                </w:tcPr>
                <w:p w14:paraId="51E0C683">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90</w:t>
                  </w:r>
                </w:p>
              </w:tc>
              <w:tc>
                <w:tcPr>
                  <w:tcW w:w="460" w:type="dxa"/>
                  <w:vMerge w:val="continue"/>
                  <w:vAlign w:val="center"/>
                </w:tcPr>
                <w:p w14:paraId="4FE11558">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p>
              </w:tc>
              <w:tc>
                <w:tcPr>
                  <w:tcW w:w="555" w:type="dxa"/>
                  <w:vAlign w:val="center"/>
                </w:tcPr>
                <w:p w14:paraId="247AEB30">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0</w:t>
                  </w:r>
                </w:p>
              </w:tc>
              <w:tc>
                <w:tcPr>
                  <w:tcW w:w="516" w:type="dxa"/>
                  <w:vAlign w:val="center"/>
                </w:tcPr>
                <w:p w14:paraId="566E9B6F">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17</w:t>
                  </w:r>
                </w:p>
              </w:tc>
              <w:tc>
                <w:tcPr>
                  <w:tcW w:w="518" w:type="dxa"/>
                  <w:vAlign w:val="center"/>
                </w:tcPr>
                <w:p w14:paraId="394CE7D2">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1.2</w:t>
                  </w:r>
                </w:p>
              </w:tc>
              <w:tc>
                <w:tcPr>
                  <w:tcW w:w="612" w:type="dxa"/>
                  <w:vAlign w:val="center"/>
                </w:tcPr>
                <w:p w14:paraId="36AB5023">
                  <w:pPr>
                    <w:widowControl w:val="0"/>
                    <w:kinsoku/>
                    <w:snapToGrid/>
                    <w:spacing w:line="240" w:lineRule="auto"/>
                    <w:ind w:firstLine="0" w:firstLineChars="0"/>
                    <w:jc w:val="center"/>
                    <w:textAlignment w:val="auto"/>
                    <w:rPr>
                      <w:rFonts w:hint="default" w:ascii="Times New Roman" w:hAnsi="Times New Roman" w:eastAsia="宋体" w:cs="Times New Roman"/>
                      <w:snapToGrid/>
                      <w:color w:val="auto"/>
                      <w:sz w:val="21"/>
                      <w:highlight w:val="none"/>
                      <w:lang w:val="en-US" w:eastAsia="zh-CN"/>
                    </w:rPr>
                  </w:pPr>
                  <w:r>
                    <w:rPr>
                      <w:rFonts w:hint="eastAsia" w:cs="Times New Roman"/>
                      <w:snapToGrid/>
                      <w:color w:val="auto"/>
                      <w:sz w:val="21"/>
                      <w:highlight w:val="none"/>
                      <w:lang w:val="en-US" w:eastAsia="zh-CN"/>
                    </w:rPr>
                    <w:t>26.47</w:t>
                  </w:r>
                </w:p>
              </w:tc>
              <w:tc>
                <w:tcPr>
                  <w:tcW w:w="592" w:type="dxa"/>
                  <w:vAlign w:val="center"/>
                </w:tcPr>
                <w:p w14:paraId="14A25B31">
                  <w:pPr>
                    <w:widowControl w:val="0"/>
                    <w:kinsoku/>
                    <w:snapToGrid/>
                    <w:spacing w:line="240" w:lineRule="auto"/>
                    <w:ind w:firstLine="0" w:firstLineChars="0"/>
                    <w:jc w:val="center"/>
                    <w:textAlignment w:val="auto"/>
                    <w:rPr>
                      <w:rFonts w:hint="eastAsia" w:ascii="Times New Roman" w:hAnsi="Times New Roman" w:eastAsia="宋体" w:cs="Times New Roman"/>
                      <w:snapToGrid/>
                      <w:color w:val="auto"/>
                      <w:sz w:val="21"/>
                      <w:highlight w:val="none"/>
                      <w:lang w:val="en-US" w:eastAsia="zh-CN"/>
                    </w:rPr>
                  </w:pPr>
                  <w:r>
                    <w:rPr>
                      <w:rFonts w:hint="eastAsia" w:ascii="Times New Roman" w:hAnsi="Times New Roman" w:eastAsia="宋体" w:cs="Times New Roman"/>
                      <w:snapToGrid/>
                      <w:color w:val="auto"/>
                      <w:sz w:val="21"/>
                      <w:highlight w:val="none"/>
                      <w:lang w:val="en-US" w:eastAsia="zh-CN"/>
                    </w:rPr>
                    <w:t>7</w:t>
                  </w:r>
                  <w:r>
                    <w:rPr>
                      <w:rFonts w:hint="eastAsia" w:cs="Times New Roman"/>
                      <w:snapToGrid/>
                      <w:color w:val="auto"/>
                      <w:sz w:val="21"/>
                      <w:highlight w:val="none"/>
                      <w:lang w:val="en-US" w:eastAsia="zh-CN"/>
                    </w:rPr>
                    <w:t>6</w:t>
                  </w:r>
                  <w:r>
                    <w:rPr>
                      <w:rFonts w:hint="eastAsia" w:ascii="Times New Roman" w:hAnsi="Times New Roman" w:eastAsia="宋体" w:cs="Times New Roman"/>
                      <w:snapToGrid/>
                      <w:color w:val="auto"/>
                      <w:sz w:val="21"/>
                      <w:highlight w:val="none"/>
                      <w:lang w:val="en-US" w:eastAsia="zh-CN"/>
                    </w:rPr>
                    <w:t>.15</w:t>
                  </w:r>
                </w:p>
              </w:tc>
              <w:tc>
                <w:tcPr>
                  <w:tcW w:w="482" w:type="dxa"/>
                  <w:vMerge w:val="continue"/>
                  <w:vAlign w:val="center"/>
                </w:tcPr>
                <w:p w14:paraId="30DBB926">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p>
              </w:tc>
              <w:tc>
                <w:tcPr>
                  <w:tcW w:w="675" w:type="dxa"/>
                  <w:vAlign w:val="center"/>
                </w:tcPr>
                <w:p w14:paraId="4F603BBC">
                  <w:pPr>
                    <w:widowControl w:val="0"/>
                    <w:kinsoku/>
                    <w:snapToGrid/>
                    <w:spacing w:line="240" w:lineRule="auto"/>
                    <w:ind w:firstLine="0" w:firstLineChars="0"/>
                    <w:jc w:val="center"/>
                    <w:textAlignment w:val="auto"/>
                    <w:rPr>
                      <w:rFonts w:hint="eastAsia" w:cs="Times New Roman"/>
                      <w:snapToGrid/>
                      <w:color w:val="auto"/>
                      <w:sz w:val="21"/>
                      <w:highlight w:val="none"/>
                      <w:lang w:eastAsia="zh-CN"/>
                    </w:rPr>
                  </w:pPr>
                  <w:r>
                    <w:rPr>
                      <w:rFonts w:hint="eastAsia" w:cs="Times New Roman"/>
                      <w:snapToGrid/>
                      <w:color w:val="auto"/>
                      <w:sz w:val="21"/>
                      <w:highlight w:val="none"/>
                      <w:lang w:eastAsia="zh-CN"/>
                    </w:rPr>
                    <w:t>16</w:t>
                  </w:r>
                </w:p>
              </w:tc>
              <w:tc>
                <w:tcPr>
                  <w:tcW w:w="720" w:type="dxa"/>
                  <w:vAlign w:val="center"/>
                </w:tcPr>
                <w:p w14:paraId="1EB1E4AF">
                  <w:pPr>
                    <w:widowControl w:val="0"/>
                    <w:kinsoku/>
                    <w:snapToGrid/>
                    <w:spacing w:line="240" w:lineRule="auto"/>
                    <w:ind w:firstLine="0" w:firstLineChars="0"/>
                    <w:jc w:val="center"/>
                    <w:textAlignment w:val="auto"/>
                    <w:rPr>
                      <w:rFonts w:hint="eastAsia" w:ascii="Times New Roman" w:hAnsi="Times New Roman" w:eastAsia="宋体" w:cs="Times New Roman"/>
                      <w:snapToGrid/>
                      <w:color w:val="auto"/>
                      <w:sz w:val="21"/>
                      <w:highlight w:val="none"/>
                      <w:lang w:eastAsia="zh-CN"/>
                    </w:rPr>
                  </w:pPr>
                  <w:r>
                    <w:rPr>
                      <w:rFonts w:hint="eastAsia" w:cs="Times New Roman"/>
                      <w:snapToGrid/>
                      <w:color w:val="auto"/>
                      <w:sz w:val="21"/>
                      <w:highlight w:val="none"/>
                      <w:lang w:val="en-US" w:eastAsia="zh-CN"/>
                    </w:rPr>
                    <w:t>54</w:t>
                  </w:r>
                  <w:r>
                    <w:rPr>
                      <w:rFonts w:hint="eastAsia" w:ascii="Times New Roman" w:hAnsi="Times New Roman" w:eastAsia="宋体" w:cs="Times New Roman"/>
                      <w:snapToGrid/>
                      <w:color w:val="auto"/>
                      <w:sz w:val="21"/>
                      <w:highlight w:val="none"/>
                      <w:lang w:eastAsia="zh-CN"/>
                    </w:rPr>
                    <w:t>.1</w:t>
                  </w:r>
                  <w:r>
                    <w:rPr>
                      <w:rFonts w:hint="eastAsia" w:ascii="Times New Roman" w:hAnsi="Times New Roman" w:eastAsia="宋体" w:cs="Times New Roman"/>
                      <w:snapToGrid/>
                      <w:color w:val="auto"/>
                      <w:sz w:val="21"/>
                      <w:highlight w:val="none"/>
                      <w:lang w:val="en-US" w:eastAsia="zh-CN"/>
                    </w:rPr>
                    <w:t>3</w:t>
                  </w:r>
                </w:p>
              </w:tc>
              <w:tc>
                <w:tcPr>
                  <w:tcW w:w="690" w:type="dxa"/>
                  <w:vAlign w:val="center"/>
                </w:tcPr>
                <w:p w14:paraId="11CE01A9">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1</w:t>
                  </w:r>
                </w:p>
              </w:tc>
            </w:tr>
          </w:tbl>
          <w:p w14:paraId="41500700">
            <w:pPr>
              <w:ind w:firstLine="480"/>
              <w:rPr>
                <w:color w:val="auto"/>
                <w:highlight w:val="none"/>
                <w:lang w:eastAsia="zh-CN"/>
              </w:rPr>
            </w:pPr>
            <w:r>
              <w:rPr>
                <w:rFonts w:hint="eastAsia"/>
                <w:color w:val="auto"/>
                <w:highlight w:val="none"/>
                <w:lang w:val="en-US" w:eastAsia="zh-CN"/>
              </w:rPr>
              <w:t>C</w:t>
            </w:r>
            <w:r>
              <w:rPr>
                <w:color w:val="auto"/>
                <w:highlight w:val="none"/>
                <w:lang w:eastAsia="zh-CN"/>
              </w:rPr>
              <w:t>、厂界达标分析</w:t>
            </w:r>
          </w:p>
          <w:p w14:paraId="52E82CE1">
            <w:pPr>
              <w:ind w:firstLine="480"/>
              <w:rPr>
                <w:rFonts w:hint="eastAsia"/>
                <w:color w:val="auto"/>
                <w:highlight w:val="none"/>
                <w:lang w:eastAsia="zh-CN"/>
              </w:rPr>
            </w:pPr>
            <w:r>
              <w:rPr>
                <w:rFonts w:hint="eastAsia"/>
                <w:color w:val="auto"/>
                <w:highlight w:val="none"/>
                <w:lang w:eastAsia="zh-CN"/>
              </w:rPr>
              <w:t>项目周</w:t>
            </w:r>
            <w:r>
              <w:rPr>
                <w:rFonts w:hint="eastAsia"/>
                <w:color w:val="auto"/>
                <w:highlight w:val="none"/>
                <w:lang w:val="en-US" w:eastAsia="zh-CN"/>
              </w:rPr>
              <w:t>围</w:t>
            </w:r>
            <w:r>
              <w:rPr>
                <w:rFonts w:hint="eastAsia"/>
                <w:color w:val="auto"/>
                <w:highlight w:val="none"/>
                <w:lang w:eastAsia="zh-CN"/>
              </w:rPr>
              <w:t>50m 范</w:t>
            </w:r>
            <w:r>
              <w:rPr>
                <w:rFonts w:hint="eastAsia"/>
                <w:color w:val="auto"/>
                <w:highlight w:val="none"/>
                <w:lang w:val="en-US" w:eastAsia="zh-CN"/>
              </w:rPr>
              <w:t>围</w:t>
            </w:r>
            <w:r>
              <w:rPr>
                <w:rFonts w:hint="eastAsia"/>
                <w:color w:val="auto"/>
                <w:highlight w:val="none"/>
                <w:lang w:eastAsia="zh-CN"/>
              </w:rPr>
              <w:t>内无声环境敏感点，本项目预测内容主要是在拟采取治理措施情况下，项目主要</w:t>
            </w:r>
            <w:r>
              <w:rPr>
                <w:rFonts w:hint="eastAsia"/>
                <w:color w:val="auto"/>
                <w:highlight w:val="none"/>
                <w:lang w:val="en-US" w:eastAsia="zh-CN"/>
              </w:rPr>
              <w:t>噪声</w:t>
            </w:r>
            <w:r>
              <w:rPr>
                <w:rFonts w:hint="eastAsia"/>
                <w:color w:val="auto"/>
                <w:highlight w:val="none"/>
                <w:lang w:eastAsia="zh-CN"/>
              </w:rPr>
              <w:t>源全部同时正常运转时对厂界</w:t>
            </w:r>
            <w:r>
              <w:rPr>
                <w:rFonts w:hint="eastAsia"/>
                <w:color w:val="auto"/>
                <w:highlight w:val="none"/>
                <w:lang w:val="en-US" w:eastAsia="zh-CN"/>
              </w:rPr>
              <w:t>噪声</w:t>
            </w:r>
            <w:r>
              <w:rPr>
                <w:rFonts w:hint="eastAsia"/>
                <w:color w:val="auto"/>
                <w:highlight w:val="none"/>
                <w:lang w:eastAsia="zh-CN"/>
              </w:rPr>
              <w:t>的影响。</w:t>
            </w:r>
          </w:p>
          <w:p w14:paraId="1549245A">
            <w:pPr>
              <w:ind w:firstLine="480"/>
              <w:rPr>
                <w:color w:val="auto"/>
                <w:highlight w:val="none"/>
                <w:lang w:eastAsia="zh-CN"/>
              </w:rPr>
            </w:pPr>
            <w:r>
              <w:rPr>
                <w:rFonts w:hint="eastAsia"/>
                <w:color w:val="auto"/>
                <w:highlight w:val="none"/>
                <w:lang w:eastAsia="zh-CN"/>
              </w:rPr>
              <w:t>本次评价采用 EIAProN2021软件进行</w:t>
            </w:r>
            <w:r>
              <w:rPr>
                <w:rFonts w:hint="eastAsia"/>
                <w:color w:val="auto"/>
                <w:highlight w:val="none"/>
                <w:lang w:val="en-US" w:eastAsia="zh-CN"/>
              </w:rPr>
              <w:t>噪声</w:t>
            </w:r>
            <w:r>
              <w:rPr>
                <w:rFonts w:hint="eastAsia"/>
                <w:color w:val="auto"/>
                <w:highlight w:val="none"/>
                <w:lang w:eastAsia="zh-CN"/>
              </w:rPr>
              <w:t>预测，</w:t>
            </w:r>
            <w:r>
              <w:rPr>
                <w:rFonts w:hint="eastAsia"/>
                <w:color w:val="auto"/>
                <w:highlight w:val="none"/>
                <w:lang w:val="en-US" w:eastAsia="zh-CN"/>
              </w:rPr>
              <w:t>本次评价</w:t>
            </w:r>
            <w:r>
              <w:rPr>
                <w:rFonts w:hint="eastAsia"/>
                <w:color w:val="auto"/>
                <w:highlight w:val="none"/>
                <w:lang w:eastAsia="zh-CN"/>
              </w:rPr>
              <w:t>以破碎站中心</w:t>
            </w:r>
            <w:r>
              <w:rPr>
                <w:rFonts w:hint="eastAsia" w:ascii="Times New Roman" w:hAnsi="Times New Roman" w:eastAsia="宋体" w:cs="Times New Roman"/>
                <w:bCs/>
                <w:color w:val="auto"/>
                <w:kern w:val="0"/>
                <w:szCs w:val="21"/>
                <w:highlight w:val="none"/>
                <w:lang w:val="en-US" w:eastAsia="zh-CN"/>
              </w:rPr>
              <w:t>(E102.78061664，N25.49097299)</w:t>
            </w:r>
            <w:r>
              <w:rPr>
                <w:rFonts w:hint="eastAsia"/>
                <w:color w:val="auto"/>
                <w:highlight w:val="none"/>
                <w:lang w:eastAsia="zh-CN"/>
              </w:rPr>
              <w:t>为坐标原点，正东向为X轴正方向，正北向</w:t>
            </w:r>
            <w:r>
              <w:rPr>
                <w:rFonts w:hint="eastAsia"/>
                <w:color w:val="auto"/>
                <w:highlight w:val="none"/>
                <w:lang w:val="en-US" w:eastAsia="zh-CN"/>
              </w:rPr>
              <w:t>为</w:t>
            </w:r>
            <w:r>
              <w:rPr>
                <w:rFonts w:hint="eastAsia"/>
                <w:color w:val="auto"/>
                <w:highlight w:val="none"/>
                <w:lang w:eastAsia="zh-CN"/>
              </w:rPr>
              <w:t>Y轴正方向，建立坐标系，以厂界线为曲线、步长10m的曲线点进行项目对</w:t>
            </w:r>
            <w:r>
              <w:rPr>
                <w:rFonts w:hint="eastAsia"/>
                <w:color w:val="auto"/>
                <w:highlight w:val="none"/>
                <w:lang w:val="en-US" w:eastAsia="zh-CN"/>
              </w:rPr>
              <w:t>厂</w:t>
            </w:r>
            <w:r>
              <w:rPr>
                <w:rFonts w:hint="eastAsia"/>
                <w:color w:val="auto"/>
                <w:highlight w:val="none"/>
                <w:lang w:eastAsia="zh-CN"/>
              </w:rPr>
              <w:t>界贡献值达标情况，EIAProN2021软件内嵌《环境影响评价技术导则 声环境》（HJ2.4-2021）推荐计算模型，计算结果可靠。</w:t>
            </w:r>
            <w:r>
              <w:rPr>
                <w:color w:val="auto"/>
                <w:highlight w:val="none"/>
                <w:lang w:eastAsia="zh-CN"/>
              </w:rPr>
              <w:t>项目</w:t>
            </w:r>
            <w:r>
              <w:rPr>
                <w:rFonts w:hint="eastAsia"/>
                <w:color w:val="auto"/>
                <w:highlight w:val="none"/>
                <w:lang w:eastAsia="zh-CN"/>
              </w:rPr>
              <w:t>仅昼间生产，</w:t>
            </w:r>
            <w:r>
              <w:rPr>
                <w:color w:val="auto"/>
                <w:highlight w:val="none"/>
                <w:lang w:eastAsia="zh-CN"/>
              </w:rPr>
              <w:t>预测结果见表4-</w:t>
            </w:r>
            <w:r>
              <w:rPr>
                <w:rFonts w:hint="eastAsia"/>
                <w:color w:val="auto"/>
                <w:highlight w:val="none"/>
                <w:lang w:val="en-US" w:eastAsia="zh-CN"/>
              </w:rPr>
              <w:t>19</w:t>
            </w:r>
            <w:r>
              <w:rPr>
                <w:color w:val="auto"/>
                <w:highlight w:val="none"/>
                <w:lang w:eastAsia="zh-CN"/>
              </w:rPr>
              <w:t>。</w:t>
            </w:r>
          </w:p>
          <w:p w14:paraId="1DDBB07E">
            <w:pPr>
              <w:pStyle w:val="49"/>
              <w:spacing w:before="157" w:line="240" w:lineRule="auto"/>
              <w:ind w:left="1889"/>
              <w:rPr>
                <w:b/>
                <w:bCs/>
                <w:color w:val="auto"/>
                <w:spacing w:val="-2"/>
                <w:sz w:val="21"/>
                <w:szCs w:val="21"/>
                <w:highlight w:val="none"/>
                <w:lang w:eastAsia="zh-CN"/>
              </w:rPr>
            </w:pPr>
            <w:r>
              <w:rPr>
                <w:b/>
                <w:bCs/>
                <w:color w:val="auto"/>
                <w:spacing w:val="-2"/>
                <w:sz w:val="21"/>
                <w:szCs w:val="21"/>
                <w:highlight w:val="none"/>
                <w:lang w:eastAsia="zh-CN"/>
              </w:rPr>
              <w:t>表</w:t>
            </w:r>
            <w:r>
              <w:rPr>
                <w:color w:val="auto"/>
                <w:spacing w:val="-31"/>
                <w:sz w:val="21"/>
                <w:szCs w:val="21"/>
                <w:highlight w:val="none"/>
                <w:lang w:eastAsia="zh-CN"/>
              </w:rPr>
              <w:t xml:space="preserve"> </w:t>
            </w:r>
            <w:r>
              <w:rPr>
                <w:rFonts w:eastAsia="Times New Roman" w:cs="Times New Roman"/>
                <w:b/>
                <w:bCs/>
                <w:color w:val="auto"/>
                <w:spacing w:val="-2"/>
                <w:sz w:val="21"/>
                <w:szCs w:val="21"/>
                <w:highlight w:val="none"/>
                <w:lang w:eastAsia="zh-CN"/>
              </w:rPr>
              <w:t>4-</w:t>
            </w:r>
            <w:r>
              <w:rPr>
                <w:rFonts w:hint="eastAsia" w:eastAsia="Times New Roman" w:cs="Times New Roman"/>
                <w:b/>
                <w:bCs/>
                <w:color w:val="auto"/>
                <w:spacing w:val="-2"/>
                <w:sz w:val="21"/>
                <w:szCs w:val="21"/>
                <w:highlight w:val="none"/>
                <w:lang w:val="en-US" w:eastAsia="zh-CN"/>
              </w:rPr>
              <w:t>19</w:t>
            </w:r>
            <w:r>
              <w:rPr>
                <w:rFonts w:eastAsia="Times New Roman" w:cs="Times New Roman"/>
                <w:b/>
                <w:bCs/>
                <w:color w:val="auto"/>
                <w:spacing w:val="-2"/>
                <w:sz w:val="21"/>
                <w:szCs w:val="21"/>
                <w:highlight w:val="none"/>
                <w:lang w:eastAsia="zh-CN"/>
              </w:rPr>
              <w:t xml:space="preserve">  </w:t>
            </w:r>
            <w:r>
              <w:rPr>
                <w:rFonts w:hint="eastAsia"/>
                <w:b/>
                <w:bCs/>
                <w:color w:val="auto"/>
                <w:spacing w:val="-2"/>
                <w:sz w:val="21"/>
                <w:szCs w:val="21"/>
                <w:highlight w:val="none"/>
                <w:lang w:eastAsia="zh-CN"/>
              </w:rPr>
              <w:t>本项目</w:t>
            </w:r>
            <w:r>
              <w:rPr>
                <w:b/>
                <w:bCs/>
                <w:color w:val="auto"/>
                <w:spacing w:val="-2"/>
                <w:sz w:val="21"/>
                <w:szCs w:val="21"/>
                <w:highlight w:val="none"/>
                <w:lang w:eastAsia="zh-CN"/>
              </w:rPr>
              <w:t>噪声</w:t>
            </w:r>
            <w:r>
              <w:rPr>
                <w:rFonts w:hint="eastAsia"/>
                <w:b/>
                <w:bCs/>
                <w:color w:val="auto"/>
                <w:spacing w:val="-2"/>
                <w:sz w:val="21"/>
                <w:szCs w:val="21"/>
                <w:highlight w:val="none"/>
                <w:lang w:eastAsia="zh-CN"/>
              </w:rPr>
              <w:t>贡献值</w:t>
            </w:r>
            <w:r>
              <w:rPr>
                <w:b/>
                <w:bCs/>
                <w:color w:val="auto"/>
                <w:spacing w:val="-2"/>
                <w:sz w:val="21"/>
                <w:szCs w:val="21"/>
                <w:highlight w:val="none"/>
                <w:lang w:eastAsia="zh-CN"/>
              </w:rPr>
              <w:t>预测结果</w:t>
            </w:r>
            <w:r>
              <w:rPr>
                <w:rFonts w:hint="eastAsia"/>
                <w:color w:val="auto"/>
                <w:sz w:val="21"/>
                <w:szCs w:val="21"/>
                <w:highlight w:val="none"/>
                <w:lang w:eastAsia="zh-CN"/>
              </w:rPr>
              <w:t xml:space="preserve">  </w:t>
            </w:r>
            <w:r>
              <w:rPr>
                <w:rFonts w:hint="eastAsia"/>
                <w:b/>
                <w:bCs/>
                <w:color w:val="auto"/>
                <w:spacing w:val="-2"/>
                <w:sz w:val="21"/>
                <w:szCs w:val="21"/>
                <w:highlight w:val="none"/>
                <w:lang w:eastAsia="zh-CN"/>
              </w:rPr>
              <w:t>单位：dB（A）</w:t>
            </w:r>
          </w:p>
          <w:tbl>
            <w:tblPr>
              <w:tblStyle w:val="70"/>
              <w:tblW w:w="768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0"/>
              <w:gridCol w:w="1007"/>
              <w:gridCol w:w="729"/>
              <w:gridCol w:w="734"/>
              <w:gridCol w:w="892"/>
              <w:gridCol w:w="1266"/>
              <w:gridCol w:w="1271"/>
              <w:gridCol w:w="1070"/>
            </w:tblGrid>
            <w:tr w14:paraId="0C3F4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jc w:val="center"/>
              </w:trPr>
              <w:tc>
                <w:tcPr>
                  <w:tcW w:w="720" w:type="dxa"/>
                  <w:vMerge w:val="restart"/>
                  <w:tcBorders>
                    <w:tl2br w:val="nil"/>
                    <w:tr2bl w:val="nil"/>
                  </w:tcBorders>
                  <w:vAlign w:val="center"/>
                </w:tcPr>
                <w:p w14:paraId="2F5FFA41">
                  <w:pPr>
                    <w:widowControl w:val="0"/>
                    <w:kinsoku/>
                    <w:snapToGrid/>
                    <w:spacing w:line="240" w:lineRule="auto"/>
                    <w:ind w:firstLine="0" w:firstLineChars="0"/>
                    <w:jc w:val="center"/>
                    <w:textAlignment w:val="auto"/>
                    <w:rPr>
                      <w:rFonts w:cs="Times New Roman"/>
                      <w:b/>
                      <w:bCs/>
                      <w:snapToGrid/>
                      <w:color w:val="auto"/>
                      <w:sz w:val="21"/>
                      <w:highlight w:val="none"/>
                      <w:lang w:eastAsia="zh-CN"/>
                    </w:rPr>
                  </w:pPr>
                  <w:r>
                    <w:rPr>
                      <w:rFonts w:hint="eastAsia" w:cs="Times New Roman"/>
                      <w:b/>
                      <w:bCs/>
                      <w:snapToGrid/>
                      <w:color w:val="auto"/>
                      <w:sz w:val="21"/>
                      <w:highlight w:val="none"/>
                      <w:lang w:eastAsia="zh-CN"/>
                    </w:rPr>
                    <w:t>预测</w:t>
                  </w:r>
                </w:p>
                <w:p w14:paraId="5A7982AF">
                  <w:pPr>
                    <w:widowControl w:val="0"/>
                    <w:kinsoku/>
                    <w:snapToGrid/>
                    <w:spacing w:line="240" w:lineRule="auto"/>
                    <w:ind w:firstLine="0" w:firstLineChars="0"/>
                    <w:jc w:val="center"/>
                    <w:textAlignment w:val="auto"/>
                    <w:rPr>
                      <w:rFonts w:cs="Times New Roman"/>
                      <w:b/>
                      <w:bCs/>
                      <w:snapToGrid/>
                      <w:color w:val="auto"/>
                      <w:sz w:val="21"/>
                      <w:highlight w:val="none"/>
                      <w:lang w:eastAsia="zh-CN"/>
                    </w:rPr>
                  </w:pPr>
                  <w:r>
                    <w:rPr>
                      <w:rFonts w:hint="eastAsia" w:cs="Times New Roman"/>
                      <w:b/>
                      <w:bCs/>
                      <w:snapToGrid/>
                      <w:color w:val="auto"/>
                      <w:sz w:val="21"/>
                      <w:highlight w:val="none"/>
                      <w:lang w:eastAsia="zh-CN"/>
                    </w:rPr>
                    <w:t>方位</w:t>
                  </w:r>
                </w:p>
              </w:tc>
              <w:tc>
                <w:tcPr>
                  <w:tcW w:w="2470" w:type="dxa"/>
                  <w:gridSpan w:val="3"/>
                  <w:tcBorders>
                    <w:tl2br w:val="nil"/>
                    <w:tr2bl w:val="nil"/>
                  </w:tcBorders>
                  <w:vAlign w:val="center"/>
                </w:tcPr>
                <w:p w14:paraId="4B4D0A29">
                  <w:pPr>
                    <w:widowControl w:val="0"/>
                    <w:kinsoku/>
                    <w:snapToGrid/>
                    <w:spacing w:line="240" w:lineRule="auto"/>
                    <w:ind w:firstLine="0" w:firstLineChars="0"/>
                    <w:jc w:val="center"/>
                    <w:textAlignment w:val="auto"/>
                    <w:rPr>
                      <w:rFonts w:cs="Times New Roman"/>
                      <w:b/>
                      <w:bCs/>
                      <w:snapToGrid/>
                      <w:color w:val="auto"/>
                      <w:sz w:val="21"/>
                      <w:highlight w:val="none"/>
                      <w:lang w:eastAsia="zh-CN"/>
                    </w:rPr>
                  </w:pPr>
                  <w:r>
                    <w:rPr>
                      <w:rFonts w:hint="eastAsia" w:cs="Times New Roman"/>
                      <w:b/>
                      <w:bCs/>
                      <w:snapToGrid/>
                      <w:color w:val="auto"/>
                      <w:sz w:val="21"/>
                      <w:highlight w:val="none"/>
                      <w:lang w:eastAsia="zh-CN"/>
                    </w:rPr>
                    <w:t>最大值点空间相对位置/m</w:t>
                  </w:r>
                </w:p>
              </w:tc>
              <w:tc>
                <w:tcPr>
                  <w:tcW w:w="892" w:type="dxa"/>
                  <w:vMerge w:val="restart"/>
                  <w:tcBorders>
                    <w:tl2br w:val="nil"/>
                    <w:tr2bl w:val="nil"/>
                  </w:tcBorders>
                  <w:vAlign w:val="center"/>
                </w:tcPr>
                <w:p w14:paraId="5E15A53A">
                  <w:pPr>
                    <w:widowControl w:val="0"/>
                    <w:kinsoku/>
                    <w:snapToGrid/>
                    <w:spacing w:line="240" w:lineRule="auto"/>
                    <w:ind w:firstLine="0" w:firstLineChars="0"/>
                    <w:jc w:val="center"/>
                    <w:textAlignment w:val="auto"/>
                    <w:rPr>
                      <w:rFonts w:cs="Times New Roman"/>
                      <w:b/>
                      <w:bCs/>
                      <w:snapToGrid/>
                      <w:color w:val="auto"/>
                      <w:sz w:val="21"/>
                      <w:highlight w:val="none"/>
                      <w:lang w:eastAsia="zh-CN"/>
                    </w:rPr>
                  </w:pPr>
                  <w:r>
                    <w:rPr>
                      <w:rFonts w:hint="eastAsia" w:cs="Times New Roman"/>
                      <w:b/>
                      <w:bCs/>
                      <w:snapToGrid/>
                      <w:color w:val="auto"/>
                      <w:sz w:val="21"/>
                      <w:highlight w:val="none"/>
                      <w:lang w:eastAsia="zh-CN"/>
                    </w:rPr>
                    <w:t>时段</w:t>
                  </w:r>
                </w:p>
              </w:tc>
              <w:tc>
                <w:tcPr>
                  <w:tcW w:w="1266" w:type="dxa"/>
                  <w:vMerge w:val="restart"/>
                  <w:tcBorders>
                    <w:tl2br w:val="nil"/>
                    <w:tr2bl w:val="nil"/>
                  </w:tcBorders>
                  <w:vAlign w:val="center"/>
                </w:tcPr>
                <w:p w14:paraId="2DCB958C">
                  <w:pPr>
                    <w:widowControl w:val="0"/>
                    <w:kinsoku/>
                    <w:snapToGrid/>
                    <w:spacing w:line="240" w:lineRule="auto"/>
                    <w:ind w:firstLine="0" w:firstLineChars="0"/>
                    <w:jc w:val="center"/>
                    <w:textAlignment w:val="auto"/>
                    <w:rPr>
                      <w:rFonts w:cs="Times New Roman"/>
                      <w:b/>
                      <w:bCs/>
                      <w:snapToGrid/>
                      <w:color w:val="auto"/>
                      <w:sz w:val="21"/>
                      <w:highlight w:val="none"/>
                      <w:lang w:eastAsia="zh-CN"/>
                    </w:rPr>
                  </w:pPr>
                  <w:r>
                    <w:rPr>
                      <w:rFonts w:hint="eastAsia" w:cs="Times New Roman"/>
                      <w:b/>
                      <w:bCs/>
                      <w:snapToGrid/>
                      <w:color w:val="auto"/>
                      <w:sz w:val="21"/>
                      <w:highlight w:val="none"/>
                      <w:lang w:eastAsia="zh-CN"/>
                    </w:rPr>
                    <w:t>贡献值  （dB(A)）</w:t>
                  </w:r>
                </w:p>
              </w:tc>
              <w:tc>
                <w:tcPr>
                  <w:tcW w:w="1271" w:type="dxa"/>
                  <w:vMerge w:val="restart"/>
                  <w:tcBorders>
                    <w:tl2br w:val="nil"/>
                    <w:tr2bl w:val="nil"/>
                  </w:tcBorders>
                  <w:vAlign w:val="center"/>
                </w:tcPr>
                <w:p w14:paraId="3D9F6614">
                  <w:pPr>
                    <w:widowControl w:val="0"/>
                    <w:kinsoku/>
                    <w:snapToGrid/>
                    <w:spacing w:line="240" w:lineRule="auto"/>
                    <w:ind w:firstLine="0" w:firstLineChars="0"/>
                    <w:jc w:val="center"/>
                    <w:textAlignment w:val="auto"/>
                    <w:rPr>
                      <w:rFonts w:cs="Times New Roman"/>
                      <w:b/>
                      <w:bCs/>
                      <w:snapToGrid/>
                      <w:color w:val="auto"/>
                      <w:sz w:val="21"/>
                      <w:highlight w:val="none"/>
                      <w:lang w:eastAsia="zh-CN"/>
                    </w:rPr>
                  </w:pPr>
                  <w:r>
                    <w:rPr>
                      <w:rFonts w:hint="eastAsia" w:cs="Times New Roman"/>
                      <w:b/>
                      <w:bCs/>
                      <w:snapToGrid/>
                      <w:color w:val="auto"/>
                      <w:sz w:val="21"/>
                      <w:highlight w:val="none"/>
                      <w:lang w:eastAsia="zh-CN"/>
                    </w:rPr>
                    <w:t>标准限值 （dB(A)）</w:t>
                  </w:r>
                </w:p>
              </w:tc>
              <w:tc>
                <w:tcPr>
                  <w:tcW w:w="1070" w:type="dxa"/>
                  <w:vMerge w:val="restart"/>
                  <w:tcBorders>
                    <w:tl2br w:val="nil"/>
                    <w:tr2bl w:val="nil"/>
                  </w:tcBorders>
                  <w:vAlign w:val="center"/>
                </w:tcPr>
                <w:p w14:paraId="4FB30CF2">
                  <w:pPr>
                    <w:widowControl w:val="0"/>
                    <w:kinsoku/>
                    <w:snapToGrid/>
                    <w:spacing w:line="240" w:lineRule="auto"/>
                    <w:ind w:firstLine="0" w:firstLineChars="0"/>
                    <w:jc w:val="center"/>
                    <w:textAlignment w:val="auto"/>
                    <w:rPr>
                      <w:rFonts w:cs="Times New Roman"/>
                      <w:b/>
                      <w:bCs/>
                      <w:snapToGrid/>
                      <w:color w:val="auto"/>
                      <w:sz w:val="21"/>
                      <w:highlight w:val="none"/>
                      <w:lang w:eastAsia="zh-CN"/>
                    </w:rPr>
                  </w:pPr>
                  <w:r>
                    <w:rPr>
                      <w:rFonts w:hint="eastAsia" w:cs="Times New Roman"/>
                      <w:b/>
                      <w:bCs/>
                      <w:snapToGrid/>
                      <w:color w:val="auto"/>
                      <w:sz w:val="21"/>
                      <w:highlight w:val="none"/>
                      <w:lang w:eastAsia="zh-CN"/>
                    </w:rPr>
                    <w:t>达标情况</w:t>
                  </w:r>
                </w:p>
              </w:tc>
            </w:tr>
            <w:tr w14:paraId="6C480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 w:hRule="atLeast"/>
                <w:jc w:val="center"/>
              </w:trPr>
              <w:tc>
                <w:tcPr>
                  <w:tcW w:w="720" w:type="dxa"/>
                  <w:vMerge w:val="continue"/>
                  <w:tcBorders>
                    <w:tl2br w:val="nil"/>
                    <w:tr2bl w:val="nil"/>
                  </w:tcBorders>
                  <w:vAlign w:val="center"/>
                </w:tcPr>
                <w:p w14:paraId="7EF1C70C">
                  <w:pPr>
                    <w:widowControl w:val="0"/>
                    <w:kinsoku/>
                    <w:snapToGrid/>
                    <w:spacing w:line="240" w:lineRule="auto"/>
                    <w:ind w:firstLine="0" w:firstLineChars="0"/>
                    <w:jc w:val="center"/>
                    <w:textAlignment w:val="auto"/>
                    <w:rPr>
                      <w:rFonts w:cs="Times New Roman"/>
                      <w:snapToGrid/>
                      <w:color w:val="auto"/>
                      <w:sz w:val="21"/>
                      <w:highlight w:val="none"/>
                      <w:lang w:eastAsia="zh-CN"/>
                    </w:rPr>
                  </w:pPr>
                </w:p>
              </w:tc>
              <w:tc>
                <w:tcPr>
                  <w:tcW w:w="1007" w:type="dxa"/>
                  <w:tcBorders>
                    <w:tl2br w:val="nil"/>
                    <w:tr2bl w:val="nil"/>
                  </w:tcBorders>
                  <w:vAlign w:val="center"/>
                </w:tcPr>
                <w:p w14:paraId="3280E780">
                  <w:pPr>
                    <w:widowControl w:val="0"/>
                    <w:kinsoku/>
                    <w:snapToGrid/>
                    <w:spacing w:line="240" w:lineRule="auto"/>
                    <w:ind w:firstLine="0" w:firstLineChars="0"/>
                    <w:jc w:val="center"/>
                    <w:textAlignment w:val="auto"/>
                    <w:rPr>
                      <w:rFonts w:cs="Times New Roman"/>
                      <w:b/>
                      <w:bCs/>
                      <w:snapToGrid/>
                      <w:color w:val="auto"/>
                      <w:sz w:val="21"/>
                      <w:highlight w:val="none"/>
                      <w:lang w:eastAsia="zh-CN"/>
                    </w:rPr>
                  </w:pPr>
                  <w:r>
                    <w:rPr>
                      <w:rFonts w:hint="eastAsia" w:cs="Times New Roman"/>
                      <w:b/>
                      <w:bCs/>
                      <w:snapToGrid/>
                      <w:color w:val="auto"/>
                      <w:sz w:val="21"/>
                      <w:highlight w:val="none"/>
                      <w:lang w:eastAsia="zh-CN"/>
                    </w:rPr>
                    <w:t>X</w:t>
                  </w:r>
                </w:p>
              </w:tc>
              <w:tc>
                <w:tcPr>
                  <w:tcW w:w="729" w:type="dxa"/>
                  <w:tcBorders>
                    <w:tl2br w:val="nil"/>
                    <w:tr2bl w:val="nil"/>
                  </w:tcBorders>
                  <w:vAlign w:val="center"/>
                </w:tcPr>
                <w:p w14:paraId="7BF3E079">
                  <w:pPr>
                    <w:widowControl w:val="0"/>
                    <w:kinsoku/>
                    <w:snapToGrid/>
                    <w:spacing w:line="240" w:lineRule="auto"/>
                    <w:ind w:firstLine="0" w:firstLineChars="0"/>
                    <w:jc w:val="center"/>
                    <w:textAlignment w:val="auto"/>
                    <w:rPr>
                      <w:rFonts w:cs="Times New Roman"/>
                      <w:b/>
                      <w:bCs/>
                      <w:snapToGrid/>
                      <w:color w:val="auto"/>
                      <w:sz w:val="21"/>
                      <w:highlight w:val="none"/>
                      <w:lang w:eastAsia="zh-CN"/>
                    </w:rPr>
                  </w:pPr>
                  <w:r>
                    <w:rPr>
                      <w:rFonts w:hint="eastAsia" w:cs="Times New Roman"/>
                      <w:b/>
                      <w:bCs/>
                      <w:snapToGrid/>
                      <w:color w:val="auto"/>
                      <w:sz w:val="21"/>
                      <w:highlight w:val="none"/>
                      <w:lang w:eastAsia="zh-CN"/>
                    </w:rPr>
                    <w:t>Y</w:t>
                  </w:r>
                </w:p>
              </w:tc>
              <w:tc>
                <w:tcPr>
                  <w:tcW w:w="734" w:type="dxa"/>
                  <w:tcBorders>
                    <w:tl2br w:val="nil"/>
                    <w:tr2bl w:val="nil"/>
                  </w:tcBorders>
                  <w:vAlign w:val="center"/>
                </w:tcPr>
                <w:p w14:paraId="73813F5F">
                  <w:pPr>
                    <w:widowControl w:val="0"/>
                    <w:kinsoku/>
                    <w:snapToGrid/>
                    <w:spacing w:line="240" w:lineRule="auto"/>
                    <w:ind w:firstLine="0" w:firstLineChars="0"/>
                    <w:jc w:val="center"/>
                    <w:textAlignment w:val="auto"/>
                    <w:rPr>
                      <w:rFonts w:cs="Times New Roman"/>
                      <w:b/>
                      <w:bCs/>
                      <w:snapToGrid/>
                      <w:color w:val="auto"/>
                      <w:sz w:val="21"/>
                      <w:highlight w:val="none"/>
                      <w:lang w:eastAsia="zh-CN"/>
                    </w:rPr>
                  </w:pPr>
                  <w:r>
                    <w:rPr>
                      <w:rFonts w:hint="eastAsia" w:cs="Times New Roman"/>
                      <w:b/>
                      <w:bCs/>
                      <w:snapToGrid/>
                      <w:color w:val="auto"/>
                      <w:sz w:val="21"/>
                      <w:highlight w:val="none"/>
                      <w:lang w:eastAsia="zh-CN"/>
                    </w:rPr>
                    <w:t>Z</w:t>
                  </w:r>
                </w:p>
              </w:tc>
              <w:tc>
                <w:tcPr>
                  <w:tcW w:w="892" w:type="dxa"/>
                  <w:vMerge w:val="continue"/>
                  <w:tcBorders>
                    <w:tl2br w:val="nil"/>
                    <w:tr2bl w:val="nil"/>
                  </w:tcBorders>
                  <w:vAlign w:val="center"/>
                </w:tcPr>
                <w:p w14:paraId="7D0073CA">
                  <w:pPr>
                    <w:widowControl w:val="0"/>
                    <w:kinsoku/>
                    <w:snapToGrid/>
                    <w:spacing w:line="240" w:lineRule="auto"/>
                    <w:ind w:firstLine="0" w:firstLineChars="0"/>
                    <w:jc w:val="center"/>
                    <w:textAlignment w:val="auto"/>
                    <w:rPr>
                      <w:rFonts w:cs="Times New Roman"/>
                      <w:b/>
                      <w:bCs/>
                      <w:snapToGrid/>
                      <w:color w:val="auto"/>
                      <w:sz w:val="21"/>
                      <w:highlight w:val="none"/>
                      <w:lang w:eastAsia="zh-CN"/>
                    </w:rPr>
                  </w:pPr>
                </w:p>
              </w:tc>
              <w:tc>
                <w:tcPr>
                  <w:tcW w:w="1266" w:type="dxa"/>
                  <w:vMerge w:val="continue"/>
                  <w:tcBorders>
                    <w:tl2br w:val="nil"/>
                    <w:tr2bl w:val="nil"/>
                  </w:tcBorders>
                  <w:vAlign w:val="center"/>
                </w:tcPr>
                <w:p w14:paraId="3E70C0F0">
                  <w:pPr>
                    <w:widowControl w:val="0"/>
                    <w:kinsoku/>
                    <w:snapToGrid/>
                    <w:spacing w:line="240" w:lineRule="auto"/>
                    <w:ind w:firstLine="0" w:firstLineChars="0"/>
                    <w:jc w:val="center"/>
                    <w:textAlignment w:val="auto"/>
                    <w:rPr>
                      <w:rFonts w:cs="Times New Roman"/>
                      <w:snapToGrid/>
                      <w:color w:val="auto"/>
                      <w:sz w:val="21"/>
                      <w:highlight w:val="none"/>
                      <w:lang w:eastAsia="zh-CN"/>
                    </w:rPr>
                  </w:pPr>
                </w:p>
              </w:tc>
              <w:tc>
                <w:tcPr>
                  <w:tcW w:w="1271" w:type="dxa"/>
                  <w:vMerge w:val="continue"/>
                  <w:tcBorders>
                    <w:tl2br w:val="nil"/>
                    <w:tr2bl w:val="nil"/>
                  </w:tcBorders>
                  <w:vAlign w:val="center"/>
                </w:tcPr>
                <w:p w14:paraId="40FFB49C">
                  <w:pPr>
                    <w:widowControl w:val="0"/>
                    <w:kinsoku/>
                    <w:snapToGrid/>
                    <w:spacing w:line="240" w:lineRule="auto"/>
                    <w:ind w:firstLine="0" w:firstLineChars="0"/>
                    <w:jc w:val="center"/>
                    <w:textAlignment w:val="auto"/>
                    <w:rPr>
                      <w:rFonts w:cs="Times New Roman"/>
                      <w:snapToGrid/>
                      <w:color w:val="auto"/>
                      <w:sz w:val="21"/>
                      <w:highlight w:val="none"/>
                      <w:lang w:eastAsia="zh-CN"/>
                    </w:rPr>
                  </w:pPr>
                </w:p>
              </w:tc>
              <w:tc>
                <w:tcPr>
                  <w:tcW w:w="1070" w:type="dxa"/>
                  <w:vMerge w:val="continue"/>
                  <w:tcBorders>
                    <w:tl2br w:val="nil"/>
                    <w:tr2bl w:val="nil"/>
                  </w:tcBorders>
                  <w:vAlign w:val="center"/>
                </w:tcPr>
                <w:p w14:paraId="1179D01B">
                  <w:pPr>
                    <w:widowControl w:val="0"/>
                    <w:kinsoku/>
                    <w:snapToGrid/>
                    <w:spacing w:line="240" w:lineRule="auto"/>
                    <w:ind w:firstLine="0" w:firstLineChars="0"/>
                    <w:jc w:val="center"/>
                    <w:textAlignment w:val="auto"/>
                    <w:rPr>
                      <w:rFonts w:cs="Times New Roman"/>
                      <w:snapToGrid/>
                      <w:color w:val="auto"/>
                      <w:sz w:val="21"/>
                      <w:highlight w:val="none"/>
                      <w:lang w:eastAsia="zh-CN"/>
                    </w:rPr>
                  </w:pPr>
                </w:p>
              </w:tc>
            </w:tr>
            <w:tr w14:paraId="3EBDA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 w:hRule="atLeast"/>
                <w:jc w:val="center"/>
              </w:trPr>
              <w:tc>
                <w:tcPr>
                  <w:tcW w:w="720" w:type="dxa"/>
                  <w:tcBorders>
                    <w:tl2br w:val="nil"/>
                    <w:tr2bl w:val="nil"/>
                  </w:tcBorders>
                  <w:vAlign w:val="center"/>
                </w:tcPr>
                <w:p w14:paraId="2220C14F">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东侧</w:t>
                  </w:r>
                </w:p>
              </w:tc>
              <w:tc>
                <w:tcPr>
                  <w:tcW w:w="1007" w:type="dxa"/>
                  <w:tcBorders>
                    <w:tl2br w:val="nil"/>
                    <w:tr2bl w:val="nil"/>
                  </w:tcBorders>
                  <w:vAlign w:val="center"/>
                </w:tcPr>
                <w:p w14:paraId="3F55C98E">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36</w:t>
                  </w:r>
                </w:p>
              </w:tc>
              <w:tc>
                <w:tcPr>
                  <w:tcW w:w="729" w:type="dxa"/>
                  <w:tcBorders>
                    <w:tl2br w:val="nil"/>
                    <w:tr2bl w:val="nil"/>
                  </w:tcBorders>
                  <w:vAlign w:val="center"/>
                </w:tcPr>
                <w:p w14:paraId="488E0E2D">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62</w:t>
                  </w:r>
                </w:p>
              </w:tc>
              <w:tc>
                <w:tcPr>
                  <w:tcW w:w="734" w:type="dxa"/>
                  <w:tcBorders>
                    <w:tl2br w:val="nil"/>
                    <w:tr2bl w:val="nil"/>
                  </w:tcBorders>
                  <w:vAlign w:val="center"/>
                </w:tcPr>
                <w:p w14:paraId="0519D7D3">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1.2</w:t>
                  </w:r>
                </w:p>
              </w:tc>
              <w:tc>
                <w:tcPr>
                  <w:tcW w:w="892" w:type="dxa"/>
                  <w:tcBorders>
                    <w:tl2br w:val="nil"/>
                    <w:tr2bl w:val="nil"/>
                  </w:tcBorders>
                  <w:vAlign w:val="center"/>
                </w:tcPr>
                <w:p w14:paraId="4529E84C">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昼间</w:t>
                  </w:r>
                </w:p>
              </w:tc>
              <w:tc>
                <w:tcPr>
                  <w:tcW w:w="1266" w:type="dxa"/>
                  <w:tcBorders>
                    <w:tl2br w:val="nil"/>
                    <w:tr2bl w:val="nil"/>
                  </w:tcBorders>
                  <w:vAlign w:val="center"/>
                </w:tcPr>
                <w:p w14:paraId="366D72C1">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49.21</w:t>
                  </w:r>
                </w:p>
              </w:tc>
              <w:tc>
                <w:tcPr>
                  <w:tcW w:w="1271" w:type="dxa"/>
                  <w:tcBorders>
                    <w:tl2br w:val="nil"/>
                    <w:tr2bl w:val="nil"/>
                  </w:tcBorders>
                  <w:vAlign w:val="center"/>
                </w:tcPr>
                <w:p w14:paraId="7F72ECA7">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60</w:t>
                  </w:r>
                </w:p>
              </w:tc>
              <w:tc>
                <w:tcPr>
                  <w:tcW w:w="1070" w:type="dxa"/>
                  <w:tcBorders>
                    <w:tl2br w:val="nil"/>
                    <w:tr2bl w:val="nil"/>
                  </w:tcBorders>
                  <w:vAlign w:val="center"/>
                </w:tcPr>
                <w:p w14:paraId="5A56B7AC">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达标</w:t>
                  </w:r>
                </w:p>
              </w:tc>
            </w:tr>
            <w:tr w14:paraId="05CD0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jc w:val="center"/>
              </w:trPr>
              <w:tc>
                <w:tcPr>
                  <w:tcW w:w="720" w:type="dxa"/>
                  <w:tcBorders>
                    <w:tl2br w:val="nil"/>
                    <w:tr2bl w:val="nil"/>
                  </w:tcBorders>
                  <w:vAlign w:val="center"/>
                </w:tcPr>
                <w:p w14:paraId="084671B4">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南侧</w:t>
                  </w:r>
                </w:p>
              </w:tc>
              <w:tc>
                <w:tcPr>
                  <w:tcW w:w="1007" w:type="dxa"/>
                  <w:tcBorders>
                    <w:tl2br w:val="nil"/>
                    <w:tr2bl w:val="nil"/>
                  </w:tcBorders>
                  <w:vAlign w:val="center"/>
                </w:tcPr>
                <w:p w14:paraId="20D5702A">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252</w:t>
                  </w:r>
                </w:p>
              </w:tc>
              <w:tc>
                <w:tcPr>
                  <w:tcW w:w="729" w:type="dxa"/>
                  <w:tcBorders>
                    <w:tl2br w:val="nil"/>
                    <w:tr2bl w:val="nil"/>
                  </w:tcBorders>
                  <w:vAlign w:val="center"/>
                </w:tcPr>
                <w:p w14:paraId="1E18576C">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-43</w:t>
                  </w:r>
                </w:p>
              </w:tc>
              <w:tc>
                <w:tcPr>
                  <w:tcW w:w="734" w:type="dxa"/>
                  <w:tcBorders>
                    <w:tl2br w:val="nil"/>
                    <w:tr2bl w:val="nil"/>
                  </w:tcBorders>
                  <w:vAlign w:val="center"/>
                </w:tcPr>
                <w:p w14:paraId="53C0D159">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1.2</w:t>
                  </w:r>
                </w:p>
              </w:tc>
              <w:tc>
                <w:tcPr>
                  <w:tcW w:w="892" w:type="dxa"/>
                  <w:tcBorders>
                    <w:tl2br w:val="nil"/>
                    <w:tr2bl w:val="nil"/>
                  </w:tcBorders>
                  <w:vAlign w:val="center"/>
                </w:tcPr>
                <w:p w14:paraId="077F96BF">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昼间</w:t>
                  </w:r>
                </w:p>
              </w:tc>
              <w:tc>
                <w:tcPr>
                  <w:tcW w:w="1266" w:type="dxa"/>
                  <w:tcBorders>
                    <w:tl2br w:val="nil"/>
                    <w:tr2bl w:val="nil"/>
                  </w:tcBorders>
                  <w:vAlign w:val="center"/>
                </w:tcPr>
                <w:p w14:paraId="0E363F55">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49.88</w:t>
                  </w:r>
                </w:p>
              </w:tc>
              <w:tc>
                <w:tcPr>
                  <w:tcW w:w="1271" w:type="dxa"/>
                  <w:tcBorders>
                    <w:tl2br w:val="nil"/>
                    <w:tr2bl w:val="nil"/>
                  </w:tcBorders>
                  <w:vAlign w:val="center"/>
                </w:tcPr>
                <w:p w14:paraId="3BFAB238">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60</w:t>
                  </w:r>
                </w:p>
              </w:tc>
              <w:tc>
                <w:tcPr>
                  <w:tcW w:w="1070" w:type="dxa"/>
                  <w:tcBorders>
                    <w:tl2br w:val="nil"/>
                    <w:tr2bl w:val="nil"/>
                  </w:tcBorders>
                  <w:vAlign w:val="center"/>
                </w:tcPr>
                <w:p w14:paraId="6FD3C1B9">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达标</w:t>
                  </w:r>
                </w:p>
              </w:tc>
            </w:tr>
            <w:tr w14:paraId="6331A2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 w:hRule="atLeast"/>
                <w:jc w:val="center"/>
              </w:trPr>
              <w:tc>
                <w:tcPr>
                  <w:tcW w:w="720" w:type="dxa"/>
                  <w:tcBorders>
                    <w:tl2br w:val="nil"/>
                    <w:tr2bl w:val="nil"/>
                  </w:tcBorders>
                  <w:vAlign w:val="center"/>
                </w:tcPr>
                <w:p w14:paraId="4DC18960">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西侧</w:t>
                  </w:r>
                </w:p>
              </w:tc>
              <w:tc>
                <w:tcPr>
                  <w:tcW w:w="1007" w:type="dxa"/>
                  <w:tcBorders>
                    <w:tl2br w:val="nil"/>
                    <w:tr2bl w:val="nil"/>
                  </w:tcBorders>
                  <w:vAlign w:val="center"/>
                </w:tcPr>
                <w:p w14:paraId="5EFA6BE9">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eastAsia="zh-CN"/>
                    </w:rPr>
                    <w:t>-</w:t>
                  </w:r>
                  <w:r>
                    <w:rPr>
                      <w:rFonts w:hint="eastAsia" w:cs="Times New Roman"/>
                      <w:snapToGrid/>
                      <w:color w:val="auto"/>
                      <w:sz w:val="21"/>
                      <w:highlight w:val="none"/>
                      <w:lang w:val="en-US" w:eastAsia="zh-CN"/>
                    </w:rPr>
                    <w:t>9</w:t>
                  </w:r>
                </w:p>
              </w:tc>
              <w:tc>
                <w:tcPr>
                  <w:tcW w:w="729" w:type="dxa"/>
                  <w:tcBorders>
                    <w:tl2br w:val="nil"/>
                    <w:tr2bl w:val="nil"/>
                  </w:tcBorders>
                  <w:vAlign w:val="center"/>
                </w:tcPr>
                <w:p w14:paraId="6EE753D2">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18</w:t>
                  </w:r>
                </w:p>
              </w:tc>
              <w:tc>
                <w:tcPr>
                  <w:tcW w:w="734" w:type="dxa"/>
                  <w:tcBorders>
                    <w:tl2br w:val="nil"/>
                    <w:tr2bl w:val="nil"/>
                  </w:tcBorders>
                  <w:vAlign w:val="center"/>
                </w:tcPr>
                <w:p w14:paraId="729D2220">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1.2</w:t>
                  </w:r>
                </w:p>
              </w:tc>
              <w:tc>
                <w:tcPr>
                  <w:tcW w:w="892" w:type="dxa"/>
                  <w:tcBorders>
                    <w:tl2br w:val="nil"/>
                    <w:tr2bl w:val="nil"/>
                  </w:tcBorders>
                  <w:vAlign w:val="center"/>
                </w:tcPr>
                <w:p w14:paraId="59D3A863">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昼间</w:t>
                  </w:r>
                </w:p>
              </w:tc>
              <w:tc>
                <w:tcPr>
                  <w:tcW w:w="1266" w:type="dxa"/>
                  <w:tcBorders>
                    <w:tl2br w:val="nil"/>
                    <w:tr2bl w:val="nil"/>
                  </w:tcBorders>
                  <w:vAlign w:val="center"/>
                </w:tcPr>
                <w:p w14:paraId="0C8E60AE">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39.53</w:t>
                  </w:r>
                </w:p>
              </w:tc>
              <w:tc>
                <w:tcPr>
                  <w:tcW w:w="1271" w:type="dxa"/>
                  <w:tcBorders>
                    <w:tl2br w:val="nil"/>
                    <w:tr2bl w:val="nil"/>
                  </w:tcBorders>
                  <w:vAlign w:val="center"/>
                </w:tcPr>
                <w:p w14:paraId="7A3268F1">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60</w:t>
                  </w:r>
                </w:p>
              </w:tc>
              <w:tc>
                <w:tcPr>
                  <w:tcW w:w="1070" w:type="dxa"/>
                  <w:tcBorders>
                    <w:tl2br w:val="nil"/>
                    <w:tr2bl w:val="nil"/>
                  </w:tcBorders>
                  <w:vAlign w:val="center"/>
                </w:tcPr>
                <w:p w14:paraId="02084319">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达标</w:t>
                  </w:r>
                </w:p>
              </w:tc>
            </w:tr>
            <w:tr w14:paraId="304DE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jc w:val="center"/>
              </w:trPr>
              <w:tc>
                <w:tcPr>
                  <w:tcW w:w="720" w:type="dxa"/>
                  <w:tcBorders>
                    <w:tl2br w:val="nil"/>
                    <w:tr2bl w:val="nil"/>
                  </w:tcBorders>
                  <w:vAlign w:val="center"/>
                </w:tcPr>
                <w:p w14:paraId="3501760D">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北侧</w:t>
                  </w:r>
                </w:p>
              </w:tc>
              <w:tc>
                <w:tcPr>
                  <w:tcW w:w="1007" w:type="dxa"/>
                  <w:tcBorders>
                    <w:tl2br w:val="nil"/>
                    <w:tr2bl w:val="nil"/>
                  </w:tcBorders>
                  <w:vAlign w:val="center"/>
                </w:tcPr>
                <w:p w14:paraId="21FBDD14">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18</w:t>
                  </w:r>
                </w:p>
              </w:tc>
              <w:tc>
                <w:tcPr>
                  <w:tcW w:w="729" w:type="dxa"/>
                  <w:tcBorders>
                    <w:tl2br w:val="nil"/>
                    <w:tr2bl w:val="nil"/>
                  </w:tcBorders>
                  <w:vAlign w:val="center"/>
                </w:tcPr>
                <w:p w14:paraId="25D1D308">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8</w:t>
                  </w:r>
                </w:p>
              </w:tc>
              <w:tc>
                <w:tcPr>
                  <w:tcW w:w="734" w:type="dxa"/>
                  <w:tcBorders>
                    <w:tl2br w:val="nil"/>
                    <w:tr2bl w:val="nil"/>
                  </w:tcBorders>
                  <w:vAlign w:val="center"/>
                </w:tcPr>
                <w:p w14:paraId="255F504A">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1.2</w:t>
                  </w:r>
                </w:p>
              </w:tc>
              <w:tc>
                <w:tcPr>
                  <w:tcW w:w="892" w:type="dxa"/>
                  <w:tcBorders>
                    <w:tl2br w:val="nil"/>
                    <w:tr2bl w:val="nil"/>
                  </w:tcBorders>
                  <w:vAlign w:val="center"/>
                </w:tcPr>
                <w:p w14:paraId="732C966E">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昼间</w:t>
                  </w:r>
                </w:p>
              </w:tc>
              <w:tc>
                <w:tcPr>
                  <w:tcW w:w="1266" w:type="dxa"/>
                  <w:tcBorders>
                    <w:tl2br w:val="nil"/>
                    <w:tr2bl w:val="nil"/>
                  </w:tcBorders>
                  <w:vAlign w:val="center"/>
                </w:tcPr>
                <w:p w14:paraId="6A127F74">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42.33</w:t>
                  </w:r>
                </w:p>
              </w:tc>
              <w:tc>
                <w:tcPr>
                  <w:tcW w:w="1271" w:type="dxa"/>
                  <w:tcBorders>
                    <w:tl2br w:val="nil"/>
                    <w:tr2bl w:val="nil"/>
                  </w:tcBorders>
                  <w:vAlign w:val="center"/>
                </w:tcPr>
                <w:p w14:paraId="6CDDCEF2">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60</w:t>
                  </w:r>
                </w:p>
              </w:tc>
              <w:tc>
                <w:tcPr>
                  <w:tcW w:w="1070" w:type="dxa"/>
                  <w:tcBorders>
                    <w:tl2br w:val="nil"/>
                    <w:tr2bl w:val="nil"/>
                  </w:tcBorders>
                  <w:vAlign w:val="center"/>
                </w:tcPr>
                <w:p w14:paraId="1BAC4F41">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达标</w:t>
                  </w:r>
                </w:p>
              </w:tc>
            </w:tr>
            <w:tr w14:paraId="24135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 w:hRule="atLeast"/>
                <w:jc w:val="center"/>
              </w:trPr>
              <w:tc>
                <w:tcPr>
                  <w:tcW w:w="720" w:type="dxa"/>
                  <w:tcBorders>
                    <w:tl2br w:val="nil"/>
                    <w:tr2bl w:val="nil"/>
                  </w:tcBorders>
                  <w:vAlign w:val="center"/>
                </w:tcPr>
                <w:p w14:paraId="0E5E772B">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厂界最大值</w:t>
                  </w:r>
                </w:p>
              </w:tc>
              <w:tc>
                <w:tcPr>
                  <w:tcW w:w="1007" w:type="dxa"/>
                  <w:tcBorders>
                    <w:tl2br w:val="nil"/>
                    <w:tr2bl w:val="nil"/>
                  </w:tcBorders>
                  <w:vAlign w:val="center"/>
                </w:tcPr>
                <w:p w14:paraId="0E2D44BB">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252</w:t>
                  </w:r>
                </w:p>
              </w:tc>
              <w:tc>
                <w:tcPr>
                  <w:tcW w:w="729" w:type="dxa"/>
                  <w:tcBorders>
                    <w:tl2br w:val="nil"/>
                    <w:tr2bl w:val="nil"/>
                  </w:tcBorders>
                  <w:vAlign w:val="center"/>
                </w:tcPr>
                <w:p w14:paraId="6B8ECFF4">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-43</w:t>
                  </w:r>
                </w:p>
              </w:tc>
              <w:tc>
                <w:tcPr>
                  <w:tcW w:w="734" w:type="dxa"/>
                  <w:tcBorders>
                    <w:tl2br w:val="nil"/>
                    <w:tr2bl w:val="nil"/>
                  </w:tcBorders>
                  <w:vAlign w:val="center"/>
                </w:tcPr>
                <w:p w14:paraId="743C944A">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1.2</w:t>
                  </w:r>
                </w:p>
              </w:tc>
              <w:tc>
                <w:tcPr>
                  <w:tcW w:w="892" w:type="dxa"/>
                  <w:tcBorders>
                    <w:tl2br w:val="nil"/>
                    <w:tr2bl w:val="nil"/>
                  </w:tcBorders>
                  <w:vAlign w:val="center"/>
                </w:tcPr>
                <w:p w14:paraId="44B8E296">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昼间</w:t>
                  </w:r>
                </w:p>
              </w:tc>
              <w:tc>
                <w:tcPr>
                  <w:tcW w:w="1266" w:type="dxa"/>
                  <w:tcBorders>
                    <w:tl2br w:val="nil"/>
                    <w:tr2bl w:val="nil"/>
                  </w:tcBorders>
                  <w:vAlign w:val="center"/>
                </w:tcPr>
                <w:p w14:paraId="620EFDC6">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49.88</w:t>
                  </w:r>
                </w:p>
              </w:tc>
              <w:tc>
                <w:tcPr>
                  <w:tcW w:w="1271" w:type="dxa"/>
                  <w:tcBorders>
                    <w:tl2br w:val="nil"/>
                    <w:tr2bl w:val="nil"/>
                  </w:tcBorders>
                  <w:vAlign w:val="center"/>
                </w:tcPr>
                <w:p w14:paraId="28B2043A">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60</w:t>
                  </w:r>
                </w:p>
              </w:tc>
              <w:tc>
                <w:tcPr>
                  <w:tcW w:w="1070" w:type="dxa"/>
                  <w:tcBorders>
                    <w:tl2br w:val="nil"/>
                    <w:tr2bl w:val="nil"/>
                  </w:tcBorders>
                  <w:vAlign w:val="center"/>
                </w:tcPr>
                <w:p w14:paraId="75B45D0D">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达标</w:t>
                  </w:r>
                </w:p>
              </w:tc>
            </w:tr>
            <w:tr w14:paraId="7913F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20" w:type="dxa"/>
                  <w:tcBorders>
                    <w:tl2br w:val="nil"/>
                    <w:tr2bl w:val="nil"/>
                  </w:tcBorders>
                  <w:vAlign w:val="center"/>
                </w:tcPr>
                <w:p w14:paraId="2E8C9358">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厂界外网格最大点</w:t>
                  </w:r>
                </w:p>
              </w:tc>
              <w:tc>
                <w:tcPr>
                  <w:tcW w:w="1007" w:type="dxa"/>
                  <w:tcBorders>
                    <w:tl2br w:val="nil"/>
                    <w:tr2bl w:val="nil"/>
                  </w:tcBorders>
                  <w:vAlign w:val="center"/>
                </w:tcPr>
                <w:p w14:paraId="5F1FEC98">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6</w:t>
                  </w:r>
                </w:p>
              </w:tc>
              <w:tc>
                <w:tcPr>
                  <w:tcW w:w="729" w:type="dxa"/>
                  <w:tcBorders>
                    <w:tl2br w:val="nil"/>
                    <w:tr2bl w:val="nil"/>
                  </w:tcBorders>
                  <w:vAlign w:val="center"/>
                </w:tcPr>
                <w:p w14:paraId="5E839EAD">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-228</w:t>
                  </w:r>
                </w:p>
              </w:tc>
              <w:tc>
                <w:tcPr>
                  <w:tcW w:w="734" w:type="dxa"/>
                  <w:tcBorders>
                    <w:tl2br w:val="nil"/>
                    <w:tr2bl w:val="nil"/>
                  </w:tcBorders>
                  <w:vAlign w:val="center"/>
                </w:tcPr>
                <w:p w14:paraId="464E2521">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1.2</w:t>
                  </w:r>
                </w:p>
              </w:tc>
              <w:tc>
                <w:tcPr>
                  <w:tcW w:w="892" w:type="dxa"/>
                  <w:tcBorders>
                    <w:tl2br w:val="nil"/>
                    <w:tr2bl w:val="nil"/>
                  </w:tcBorders>
                  <w:vAlign w:val="center"/>
                </w:tcPr>
                <w:p w14:paraId="53BE6332">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昼间</w:t>
                  </w:r>
                </w:p>
              </w:tc>
              <w:tc>
                <w:tcPr>
                  <w:tcW w:w="1266" w:type="dxa"/>
                  <w:tcBorders>
                    <w:tl2br w:val="nil"/>
                    <w:tr2bl w:val="nil"/>
                  </w:tcBorders>
                  <w:vAlign w:val="center"/>
                </w:tcPr>
                <w:p w14:paraId="0F7CA51D">
                  <w:pPr>
                    <w:widowControl w:val="0"/>
                    <w:kinsoku/>
                    <w:snapToGrid/>
                    <w:spacing w:line="240" w:lineRule="auto"/>
                    <w:ind w:firstLine="0" w:firstLineChars="0"/>
                    <w:jc w:val="center"/>
                    <w:textAlignment w:val="auto"/>
                    <w:rPr>
                      <w:rFonts w:hint="default" w:cs="Times New Roman"/>
                      <w:snapToGrid/>
                      <w:color w:val="auto"/>
                      <w:sz w:val="21"/>
                      <w:highlight w:val="none"/>
                      <w:lang w:val="en-US" w:eastAsia="zh-CN"/>
                    </w:rPr>
                  </w:pPr>
                  <w:r>
                    <w:rPr>
                      <w:rFonts w:hint="eastAsia" w:cs="Times New Roman"/>
                      <w:snapToGrid/>
                      <w:color w:val="auto"/>
                      <w:sz w:val="21"/>
                      <w:highlight w:val="none"/>
                      <w:lang w:val="en-US" w:eastAsia="zh-CN"/>
                    </w:rPr>
                    <w:t>47.94</w:t>
                  </w:r>
                </w:p>
              </w:tc>
              <w:tc>
                <w:tcPr>
                  <w:tcW w:w="1271" w:type="dxa"/>
                  <w:tcBorders>
                    <w:tl2br w:val="nil"/>
                    <w:tr2bl w:val="nil"/>
                  </w:tcBorders>
                  <w:vAlign w:val="center"/>
                </w:tcPr>
                <w:p w14:paraId="0438BC4C">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60</w:t>
                  </w:r>
                </w:p>
              </w:tc>
              <w:tc>
                <w:tcPr>
                  <w:tcW w:w="1070" w:type="dxa"/>
                  <w:tcBorders>
                    <w:tl2br w:val="nil"/>
                    <w:tr2bl w:val="nil"/>
                  </w:tcBorders>
                  <w:vAlign w:val="center"/>
                </w:tcPr>
                <w:p w14:paraId="787C9F36">
                  <w:pPr>
                    <w:widowControl w:val="0"/>
                    <w:kinsoku/>
                    <w:snapToGrid/>
                    <w:spacing w:line="240" w:lineRule="auto"/>
                    <w:ind w:firstLine="0" w:firstLineChars="0"/>
                    <w:jc w:val="center"/>
                    <w:textAlignment w:val="auto"/>
                    <w:rPr>
                      <w:rFonts w:cs="Times New Roman"/>
                      <w:snapToGrid/>
                      <w:color w:val="auto"/>
                      <w:sz w:val="21"/>
                      <w:highlight w:val="none"/>
                      <w:lang w:eastAsia="zh-CN"/>
                    </w:rPr>
                  </w:pPr>
                  <w:r>
                    <w:rPr>
                      <w:rFonts w:hint="eastAsia" w:cs="Times New Roman"/>
                      <w:snapToGrid/>
                      <w:color w:val="auto"/>
                      <w:sz w:val="21"/>
                      <w:highlight w:val="none"/>
                      <w:lang w:eastAsia="zh-CN"/>
                    </w:rPr>
                    <w:t>达标</w:t>
                  </w:r>
                </w:p>
              </w:tc>
            </w:tr>
          </w:tbl>
          <w:p w14:paraId="29ED96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highlight w:val="none"/>
                <w:lang w:eastAsia="zh-CN"/>
              </w:rPr>
            </w:pPr>
            <w:r>
              <w:rPr>
                <w:color w:val="auto"/>
              </w:rPr>
              <w:drawing>
                <wp:inline distT="0" distB="0" distL="114300" distR="114300">
                  <wp:extent cx="4970145" cy="3425190"/>
                  <wp:effectExtent l="0" t="0" r="1905" b="381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32"/>
                          <a:stretch>
                            <a:fillRect/>
                          </a:stretch>
                        </pic:blipFill>
                        <pic:spPr>
                          <a:xfrm>
                            <a:off x="0" y="0"/>
                            <a:ext cx="4970145" cy="3425190"/>
                          </a:xfrm>
                          <a:prstGeom prst="rect">
                            <a:avLst/>
                          </a:prstGeom>
                          <a:noFill/>
                          <a:ln>
                            <a:noFill/>
                          </a:ln>
                        </pic:spPr>
                      </pic:pic>
                    </a:graphicData>
                  </a:graphic>
                </wp:inline>
              </w:drawing>
            </w:r>
          </w:p>
          <w:p w14:paraId="35DA4932">
            <w:pPr>
              <w:spacing w:line="240" w:lineRule="auto"/>
              <w:ind w:firstLine="0" w:firstLineChars="0"/>
              <w:jc w:val="center"/>
              <w:rPr>
                <w:b/>
                <w:bCs/>
                <w:color w:val="auto"/>
                <w:sz w:val="21"/>
                <w:highlight w:val="none"/>
                <w:lang w:eastAsia="zh-CN"/>
              </w:rPr>
            </w:pPr>
            <w:r>
              <w:rPr>
                <w:rFonts w:hint="eastAsia"/>
                <w:b/>
                <w:bCs/>
                <w:color w:val="auto"/>
                <w:sz w:val="21"/>
                <w:highlight w:val="none"/>
                <w:lang w:eastAsia="zh-CN"/>
              </w:rPr>
              <w:t>图4-</w:t>
            </w:r>
            <w:r>
              <w:rPr>
                <w:rFonts w:hint="eastAsia"/>
                <w:b/>
                <w:bCs/>
                <w:color w:val="auto"/>
                <w:sz w:val="21"/>
                <w:highlight w:val="none"/>
                <w:lang w:val="en-US" w:eastAsia="zh-CN"/>
              </w:rPr>
              <w:t>5</w:t>
            </w:r>
            <w:r>
              <w:rPr>
                <w:rFonts w:hint="eastAsia"/>
                <w:b/>
                <w:bCs/>
                <w:color w:val="auto"/>
                <w:sz w:val="21"/>
                <w:highlight w:val="none"/>
                <w:lang w:eastAsia="zh-CN"/>
              </w:rPr>
              <w:t>项目对厂界外环境噪声贡献值等声值线图</w:t>
            </w:r>
          </w:p>
          <w:p w14:paraId="2C88A836">
            <w:pPr>
              <w:adjustRightInd w:val="0"/>
              <w:ind w:firstLine="480"/>
              <w:rPr>
                <w:bCs/>
                <w:color w:val="auto"/>
                <w:kern w:val="0"/>
                <w:szCs w:val="21"/>
                <w:highlight w:val="none"/>
              </w:rPr>
            </w:pPr>
            <w:r>
              <w:rPr>
                <w:rFonts w:hint="eastAsia"/>
                <w:color w:val="auto"/>
                <w:spacing w:val="-1"/>
                <w:highlight w:val="none"/>
                <w:lang w:eastAsia="zh-CN"/>
              </w:rPr>
              <w:t>由预测结果可以看出</w:t>
            </w:r>
            <w:r>
              <w:rPr>
                <w:color w:val="auto"/>
                <w:spacing w:val="-1"/>
                <w:highlight w:val="none"/>
                <w:lang w:eastAsia="zh-CN"/>
              </w:rPr>
              <w:t>，项目运营期，昼间</w:t>
            </w:r>
            <w:r>
              <w:rPr>
                <w:rFonts w:hint="eastAsia"/>
                <w:color w:val="auto"/>
                <w:spacing w:val="-1"/>
                <w:highlight w:val="none"/>
                <w:lang w:eastAsia="zh-CN"/>
              </w:rPr>
              <w:t>各厂界噪声贡献值可满足</w:t>
            </w:r>
            <w:r>
              <w:rPr>
                <w:color w:val="auto"/>
                <w:spacing w:val="-1"/>
                <w:highlight w:val="none"/>
                <w:lang w:eastAsia="zh-CN"/>
              </w:rPr>
              <w:t>《工业企业</w:t>
            </w:r>
            <w:r>
              <w:rPr>
                <w:color w:val="auto"/>
                <w:spacing w:val="-3"/>
                <w:highlight w:val="none"/>
                <w:lang w:eastAsia="zh-CN"/>
              </w:rPr>
              <w:t>厂界环境噪声排放标准》（</w:t>
            </w:r>
            <w:r>
              <w:rPr>
                <w:rFonts w:eastAsia="Times New Roman" w:cs="Times New Roman"/>
                <w:color w:val="auto"/>
                <w:spacing w:val="-3"/>
                <w:highlight w:val="none"/>
                <w:lang w:eastAsia="zh-CN"/>
              </w:rPr>
              <w:t>GB12348-2008</w:t>
            </w:r>
            <w:r>
              <w:rPr>
                <w:color w:val="auto"/>
                <w:spacing w:val="-3"/>
                <w:highlight w:val="none"/>
                <w:lang w:eastAsia="zh-CN"/>
              </w:rPr>
              <w:t>）</w:t>
            </w:r>
            <w:r>
              <w:rPr>
                <w:rFonts w:cs="宋体"/>
                <w:color w:val="auto"/>
                <w:spacing w:val="-2"/>
                <w:szCs w:val="24"/>
                <w:highlight w:val="none"/>
                <w:lang w:eastAsia="zh-CN"/>
              </w:rPr>
              <w:t>中 2 类标准</w:t>
            </w:r>
            <w:r>
              <w:rPr>
                <w:color w:val="auto"/>
                <w:spacing w:val="-3"/>
                <w:highlight w:val="none"/>
                <w:lang w:eastAsia="zh-CN"/>
              </w:rPr>
              <w:t>的要求（即为昼间</w:t>
            </w:r>
            <w:r>
              <w:rPr>
                <w:color w:val="auto"/>
                <w:highlight w:val="none"/>
                <w:lang w:eastAsia="zh-CN"/>
              </w:rPr>
              <w:t xml:space="preserve"> </w:t>
            </w:r>
            <w:r>
              <w:rPr>
                <w:rFonts w:eastAsia="Times New Roman" w:cs="Times New Roman"/>
                <w:color w:val="auto"/>
                <w:spacing w:val="-1"/>
                <w:highlight w:val="none"/>
                <w:lang w:eastAsia="zh-CN"/>
              </w:rPr>
              <w:t>60dB</w:t>
            </w:r>
            <w:r>
              <w:rPr>
                <w:color w:val="auto"/>
                <w:spacing w:val="-1"/>
                <w:highlight w:val="none"/>
                <w:lang w:eastAsia="zh-CN"/>
              </w:rPr>
              <w:t>（</w:t>
            </w:r>
            <w:r>
              <w:rPr>
                <w:rFonts w:eastAsia="Times New Roman" w:cs="Times New Roman"/>
                <w:color w:val="auto"/>
                <w:spacing w:val="-1"/>
                <w:highlight w:val="none"/>
                <w:lang w:eastAsia="zh-CN"/>
              </w:rPr>
              <w:t>A</w:t>
            </w:r>
            <w:r>
              <w:rPr>
                <w:color w:val="auto"/>
                <w:spacing w:val="-1"/>
                <w:highlight w:val="none"/>
                <w:lang w:eastAsia="zh-CN"/>
              </w:rPr>
              <w:t>）、夜间50dB（A）的标准）</w:t>
            </w:r>
            <w:r>
              <w:rPr>
                <w:rFonts w:hint="eastAsia"/>
                <w:color w:val="auto"/>
                <w:spacing w:val="-1"/>
                <w:highlight w:val="none"/>
                <w:lang w:eastAsia="zh-CN"/>
              </w:rPr>
              <w:t>。项目夜间不进行生产，</w:t>
            </w:r>
            <w:r>
              <w:rPr>
                <w:color w:val="auto"/>
                <w:spacing w:val="-1"/>
                <w:highlight w:val="none"/>
                <w:lang w:eastAsia="zh-CN"/>
              </w:rPr>
              <w:t>根据项目周边环境敏感点分布情况，项目200m 范围内无环境敏感点分布</w:t>
            </w:r>
            <w:r>
              <w:rPr>
                <w:bCs/>
                <w:color w:val="auto"/>
                <w:kern w:val="0"/>
                <w:szCs w:val="21"/>
                <w:highlight w:val="none"/>
              </w:rPr>
              <w:t>，项目最近的</w:t>
            </w:r>
            <w:r>
              <w:rPr>
                <w:rFonts w:hint="eastAsia"/>
                <w:bCs/>
                <w:color w:val="auto"/>
                <w:kern w:val="0"/>
                <w:szCs w:val="21"/>
                <w:highlight w:val="none"/>
              </w:rPr>
              <w:t>村庄</w:t>
            </w:r>
            <w:r>
              <w:rPr>
                <w:bCs/>
                <w:color w:val="auto"/>
                <w:kern w:val="0"/>
                <w:szCs w:val="21"/>
                <w:highlight w:val="none"/>
              </w:rPr>
              <w:t>为</w:t>
            </w:r>
            <w:r>
              <w:rPr>
                <w:rFonts w:hint="eastAsia"/>
                <w:bCs/>
                <w:color w:val="auto"/>
                <w:kern w:val="0"/>
                <w:szCs w:val="21"/>
                <w:highlight w:val="none"/>
                <w:lang w:val="en-US" w:eastAsia="zh-CN"/>
              </w:rPr>
              <w:t>北</w:t>
            </w:r>
            <w:r>
              <w:rPr>
                <w:rFonts w:hint="eastAsia"/>
                <w:bCs/>
                <w:color w:val="auto"/>
                <w:kern w:val="0"/>
                <w:szCs w:val="21"/>
                <w:highlight w:val="none"/>
              </w:rPr>
              <w:t>侧</w:t>
            </w:r>
            <w:r>
              <w:rPr>
                <w:bCs/>
                <w:color w:val="auto"/>
                <w:kern w:val="0"/>
                <w:szCs w:val="21"/>
                <w:highlight w:val="none"/>
              </w:rPr>
              <w:t>约</w:t>
            </w:r>
            <w:r>
              <w:rPr>
                <w:rFonts w:hint="eastAsia"/>
                <w:bCs/>
                <w:color w:val="auto"/>
                <w:kern w:val="0"/>
                <w:szCs w:val="21"/>
                <w:highlight w:val="none"/>
                <w:lang w:val="en-US" w:eastAsia="zh-CN"/>
              </w:rPr>
              <w:t>546</w:t>
            </w:r>
            <w:r>
              <w:rPr>
                <w:bCs/>
                <w:color w:val="auto"/>
                <w:kern w:val="0"/>
                <w:szCs w:val="21"/>
                <w:highlight w:val="none"/>
              </w:rPr>
              <w:t>m处的</w:t>
            </w:r>
            <w:r>
              <w:rPr>
                <w:rFonts w:hint="eastAsia"/>
                <w:bCs/>
                <w:color w:val="auto"/>
                <w:kern w:val="0"/>
                <w:szCs w:val="21"/>
                <w:highlight w:val="none"/>
                <w:lang w:val="en-US" w:eastAsia="zh-CN"/>
              </w:rPr>
              <w:t>稗子田</w:t>
            </w:r>
            <w:r>
              <w:rPr>
                <w:bCs/>
                <w:color w:val="auto"/>
                <w:kern w:val="0"/>
                <w:szCs w:val="21"/>
                <w:highlight w:val="none"/>
              </w:rPr>
              <w:t>村，距离较远，项目对其声环境影响</w:t>
            </w:r>
            <w:r>
              <w:rPr>
                <w:rFonts w:hint="eastAsia"/>
                <w:bCs/>
                <w:color w:val="auto"/>
                <w:kern w:val="0"/>
                <w:szCs w:val="21"/>
                <w:highlight w:val="none"/>
                <w:lang w:val="en-US" w:eastAsia="zh-CN"/>
              </w:rPr>
              <w:t>较小</w:t>
            </w:r>
            <w:r>
              <w:rPr>
                <w:bCs/>
                <w:color w:val="auto"/>
                <w:kern w:val="0"/>
                <w:szCs w:val="21"/>
                <w:highlight w:val="none"/>
              </w:rPr>
              <w:t>。</w:t>
            </w:r>
          </w:p>
          <w:p w14:paraId="19A05699">
            <w:pPr>
              <w:keepNext w:val="0"/>
              <w:keepLines w:val="0"/>
              <w:pageBreakBefore w:val="0"/>
              <w:widowControl w:val="0"/>
              <w:kinsoku/>
              <w:wordWrap/>
              <w:overflowPunct/>
              <w:topLinePunct w:val="0"/>
              <w:autoSpaceDE/>
              <w:autoSpaceDN/>
              <w:bidi w:val="0"/>
              <w:adjustRightInd w:val="0"/>
              <w:snapToGrid/>
              <w:ind w:firstLine="482"/>
              <w:textAlignment w:val="auto"/>
              <w:rPr>
                <w:b/>
                <w:color w:val="auto"/>
                <w:kern w:val="0"/>
                <w:szCs w:val="21"/>
                <w:highlight w:val="none"/>
              </w:rPr>
            </w:pPr>
            <w:r>
              <w:rPr>
                <w:rFonts w:hint="eastAsia"/>
                <w:b/>
                <w:color w:val="auto"/>
                <w:kern w:val="0"/>
                <w:szCs w:val="21"/>
                <w:highlight w:val="none"/>
              </w:rPr>
              <w:t>（</w:t>
            </w:r>
            <w:r>
              <w:rPr>
                <w:rFonts w:hint="eastAsia"/>
                <w:b/>
                <w:color w:val="auto"/>
                <w:kern w:val="0"/>
                <w:szCs w:val="21"/>
                <w:highlight w:val="none"/>
                <w:lang w:val="en-US" w:eastAsia="zh-CN"/>
              </w:rPr>
              <w:t>3</w:t>
            </w:r>
            <w:r>
              <w:rPr>
                <w:rFonts w:hint="eastAsia"/>
                <w:b/>
                <w:color w:val="auto"/>
                <w:kern w:val="0"/>
                <w:szCs w:val="21"/>
                <w:highlight w:val="none"/>
              </w:rPr>
              <w:t>）噪声防治措施</w:t>
            </w:r>
          </w:p>
          <w:p w14:paraId="6B38DCA0">
            <w:pPr>
              <w:adjustRightInd w:val="0"/>
              <w:ind w:firstLine="480"/>
              <w:rPr>
                <w:bCs/>
                <w:color w:val="auto"/>
                <w:kern w:val="0"/>
                <w:szCs w:val="21"/>
                <w:highlight w:val="none"/>
              </w:rPr>
            </w:pPr>
            <w:r>
              <w:rPr>
                <w:rFonts w:hint="eastAsia"/>
                <w:bCs/>
                <w:color w:val="auto"/>
                <w:kern w:val="0"/>
                <w:szCs w:val="21"/>
                <w:highlight w:val="none"/>
              </w:rPr>
              <w:t>①项目夜间禁止生产；</w:t>
            </w:r>
          </w:p>
          <w:p w14:paraId="5BE17735">
            <w:pPr>
              <w:adjustRightInd w:val="0"/>
              <w:ind w:firstLine="480"/>
              <w:rPr>
                <w:bCs/>
                <w:color w:val="auto"/>
                <w:kern w:val="0"/>
                <w:szCs w:val="21"/>
                <w:highlight w:val="none"/>
              </w:rPr>
            </w:pPr>
            <w:r>
              <w:rPr>
                <w:rFonts w:hint="eastAsia"/>
                <w:bCs/>
                <w:color w:val="auto"/>
                <w:kern w:val="0"/>
                <w:szCs w:val="21"/>
                <w:highlight w:val="none"/>
              </w:rPr>
              <w:t>②对空压机等设备安装减震垫，从源头降低噪声值；</w:t>
            </w:r>
          </w:p>
          <w:p w14:paraId="0D4AD22B">
            <w:pPr>
              <w:adjustRightInd w:val="0"/>
              <w:ind w:firstLine="480"/>
              <w:rPr>
                <w:bCs/>
                <w:color w:val="auto"/>
                <w:kern w:val="0"/>
                <w:szCs w:val="21"/>
                <w:highlight w:val="none"/>
              </w:rPr>
            </w:pPr>
            <w:r>
              <w:rPr>
                <w:rFonts w:hint="eastAsia"/>
                <w:bCs/>
                <w:color w:val="auto"/>
                <w:kern w:val="0"/>
                <w:szCs w:val="21"/>
                <w:highlight w:val="none"/>
              </w:rPr>
              <w:t>③做好设备日常维护和保养工作，防止因故障导致高噪声的产生；</w:t>
            </w:r>
          </w:p>
          <w:p w14:paraId="632EC562">
            <w:pPr>
              <w:adjustRightInd w:val="0"/>
              <w:ind w:firstLine="480"/>
              <w:rPr>
                <w:b/>
                <w:color w:val="auto"/>
                <w:kern w:val="0"/>
                <w:szCs w:val="21"/>
                <w:highlight w:val="none"/>
              </w:rPr>
            </w:pPr>
            <w:r>
              <w:rPr>
                <w:rFonts w:hint="eastAsia"/>
                <w:bCs/>
                <w:color w:val="auto"/>
                <w:kern w:val="0"/>
                <w:szCs w:val="21"/>
                <w:highlight w:val="none"/>
              </w:rPr>
              <w:t>④合理安排各设备运行时间，合理布局，降低项目设备噪声对周围环境的影响。</w:t>
            </w:r>
          </w:p>
          <w:p w14:paraId="7B10F017">
            <w:pPr>
              <w:adjustRightInd w:val="0"/>
              <w:ind w:firstLine="482"/>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（4）运营期噪声监测计划</w:t>
            </w:r>
          </w:p>
          <w:p w14:paraId="099FB28B">
            <w:pPr>
              <w:adjustRightInd w:val="0"/>
              <w:ind w:firstLine="480"/>
              <w:rPr>
                <w:bCs/>
                <w:color w:val="auto"/>
                <w:kern w:val="0"/>
                <w:szCs w:val="24"/>
                <w:highlight w:val="none"/>
              </w:rPr>
            </w:pPr>
            <w:r>
              <w:rPr>
                <w:bCs/>
                <w:color w:val="auto"/>
                <w:kern w:val="0"/>
                <w:szCs w:val="24"/>
                <w:highlight w:val="none"/>
              </w:rPr>
              <w:t>项目运营期噪声排污监测计划根据《排污单位自行监测技术指南 总则》（HJ819-2017）进行设置，项目运营期环境监测计划见表4-</w:t>
            </w:r>
            <w:r>
              <w:rPr>
                <w:rFonts w:hint="eastAsia"/>
                <w:bCs/>
                <w:color w:val="auto"/>
                <w:kern w:val="0"/>
                <w:szCs w:val="24"/>
                <w:highlight w:val="none"/>
                <w:lang w:val="en-US" w:eastAsia="zh-CN"/>
              </w:rPr>
              <w:t>18</w:t>
            </w:r>
            <w:r>
              <w:rPr>
                <w:bCs/>
                <w:color w:val="auto"/>
                <w:kern w:val="0"/>
                <w:szCs w:val="24"/>
                <w:highlight w:val="none"/>
              </w:rPr>
              <w:t>所示。</w:t>
            </w:r>
          </w:p>
          <w:p w14:paraId="555DF4DD">
            <w:pPr>
              <w:adjustRightInd w:val="0"/>
              <w:spacing w:before="156" w:beforeLines="50" w:line="240" w:lineRule="auto"/>
              <w:ind w:firstLine="0" w:firstLineChars="0"/>
              <w:jc w:val="center"/>
              <w:rPr>
                <w:b/>
                <w:color w:val="auto"/>
                <w:kern w:val="0"/>
                <w:sz w:val="21"/>
                <w:szCs w:val="21"/>
                <w:highlight w:val="none"/>
              </w:rPr>
            </w:pPr>
            <w:r>
              <w:rPr>
                <w:b/>
                <w:color w:val="auto"/>
                <w:kern w:val="0"/>
                <w:sz w:val="21"/>
                <w:szCs w:val="21"/>
                <w:highlight w:val="none"/>
              </w:rPr>
              <w:t>表4-</w:t>
            </w:r>
            <w:r>
              <w:rPr>
                <w:rFonts w:hint="eastAsia"/>
                <w:b/>
                <w:color w:val="auto"/>
                <w:kern w:val="0"/>
                <w:sz w:val="21"/>
                <w:szCs w:val="21"/>
                <w:highlight w:val="none"/>
                <w:lang w:val="en-US" w:eastAsia="zh-CN"/>
              </w:rPr>
              <w:t>18</w:t>
            </w:r>
            <w:r>
              <w:rPr>
                <w:b/>
                <w:color w:val="auto"/>
                <w:kern w:val="0"/>
                <w:sz w:val="21"/>
                <w:szCs w:val="21"/>
                <w:highlight w:val="none"/>
              </w:rPr>
              <w:t xml:space="preserve"> 项目运营期环境监测计划一览表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93"/>
              <w:gridCol w:w="701"/>
              <w:gridCol w:w="1786"/>
              <w:gridCol w:w="1296"/>
              <w:gridCol w:w="1253"/>
              <w:gridCol w:w="2096"/>
            </w:tblGrid>
            <w:tr w14:paraId="532A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12" w:hRule="atLeast"/>
                <w:jc w:val="center"/>
              </w:trPr>
              <w:tc>
                <w:tcPr>
                  <w:tcW w:w="443" w:type="pct"/>
                  <w:vAlign w:val="center"/>
                </w:tcPr>
                <w:p w14:paraId="39C76782">
                  <w:pPr>
                    <w:adjustRightInd w:val="0"/>
                    <w:spacing w:line="240" w:lineRule="auto"/>
                    <w:ind w:firstLine="0" w:firstLineChars="0"/>
                    <w:jc w:val="center"/>
                    <w:rPr>
                      <w:b/>
                      <w:color w:val="auto"/>
                      <w:spacing w:val="-10"/>
                      <w:sz w:val="21"/>
                      <w:szCs w:val="18"/>
                      <w:highlight w:val="none"/>
                    </w:rPr>
                  </w:pPr>
                  <w:r>
                    <w:rPr>
                      <w:b/>
                      <w:color w:val="auto"/>
                      <w:spacing w:val="-10"/>
                      <w:sz w:val="21"/>
                      <w:szCs w:val="18"/>
                      <w:highlight w:val="none"/>
                    </w:rPr>
                    <w:t>监测时段</w:t>
                  </w:r>
                </w:p>
              </w:tc>
              <w:tc>
                <w:tcPr>
                  <w:tcW w:w="448" w:type="pct"/>
                  <w:vAlign w:val="center"/>
                </w:tcPr>
                <w:p w14:paraId="53082ED6">
                  <w:pPr>
                    <w:adjustRightInd w:val="0"/>
                    <w:spacing w:line="240" w:lineRule="auto"/>
                    <w:ind w:firstLine="0" w:firstLineChars="0"/>
                    <w:jc w:val="center"/>
                    <w:rPr>
                      <w:b/>
                      <w:color w:val="auto"/>
                      <w:spacing w:val="-10"/>
                      <w:sz w:val="21"/>
                      <w:szCs w:val="18"/>
                      <w:highlight w:val="none"/>
                    </w:rPr>
                  </w:pPr>
                  <w:r>
                    <w:rPr>
                      <w:b/>
                      <w:color w:val="auto"/>
                      <w:spacing w:val="-10"/>
                      <w:sz w:val="21"/>
                      <w:szCs w:val="18"/>
                      <w:highlight w:val="none"/>
                    </w:rPr>
                    <w:t>因素</w:t>
                  </w:r>
                </w:p>
              </w:tc>
              <w:tc>
                <w:tcPr>
                  <w:tcW w:w="1141" w:type="pct"/>
                  <w:vAlign w:val="center"/>
                </w:tcPr>
                <w:p w14:paraId="66077D2E">
                  <w:pPr>
                    <w:adjustRightInd w:val="0"/>
                    <w:spacing w:line="240" w:lineRule="auto"/>
                    <w:ind w:firstLine="0" w:firstLineChars="0"/>
                    <w:jc w:val="center"/>
                    <w:rPr>
                      <w:b/>
                      <w:color w:val="auto"/>
                      <w:spacing w:val="-10"/>
                      <w:sz w:val="21"/>
                      <w:szCs w:val="18"/>
                      <w:highlight w:val="none"/>
                    </w:rPr>
                  </w:pPr>
                  <w:r>
                    <w:rPr>
                      <w:b/>
                      <w:color w:val="auto"/>
                      <w:spacing w:val="-10"/>
                      <w:sz w:val="21"/>
                      <w:szCs w:val="18"/>
                      <w:highlight w:val="none"/>
                    </w:rPr>
                    <w:t>监测点位</w:t>
                  </w:r>
                </w:p>
              </w:tc>
              <w:tc>
                <w:tcPr>
                  <w:tcW w:w="828" w:type="pct"/>
                  <w:vAlign w:val="center"/>
                </w:tcPr>
                <w:p w14:paraId="27EDE720">
                  <w:pPr>
                    <w:adjustRightInd w:val="0"/>
                    <w:spacing w:line="240" w:lineRule="auto"/>
                    <w:ind w:firstLine="0" w:firstLineChars="0"/>
                    <w:jc w:val="center"/>
                    <w:rPr>
                      <w:b/>
                      <w:color w:val="auto"/>
                      <w:spacing w:val="-10"/>
                      <w:sz w:val="21"/>
                      <w:szCs w:val="18"/>
                      <w:highlight w:val="none"/>
                    </w:rPr>
                  </w:pPr>
                  <w:r>
                    <w:rPr>
                      <w:b/>
                      <w:color w:val="auto"/>
                      <w:spacing w:val="-10"/>
                      <w:sz w:val="21"/>
                      <w:szCs w:val="18"/>
                      <w:highlight w:val="none"/>
                    </w:rPr>
                    <w:t>监测项目</w:t>
                  </w:r>
                </w:p>
              </w:tc>
              <w:tc>
                <w:tcPr>
                  <w:tcW w:w="801" w:type="pct"/>
                  <w:vAlign w:val="center"/>
                </w:tcPr>
                <w:p w14:paraId="5C75D0F6">
                  <w:pPr>
                    <w:adjustRightInd w:val="0"/>
                    <w:spacing w:line="240" w:lineRule="auto"/>
                    <w:ind w:firstLine="0" w:firstLineChars="0"/>
                    <w:jc w:val="center"/>
                    <w:rPr>
                      <w:b/>
                      <w:color w:val="auto"/>
                      <w:spacing w:val="-10"/>
                      <w:sz w:val="21"/>
                      <w:szCs w:val="18"/>
                      <w:highlight w:val="none"/>
                    </w:rPr>
                  </w:pPr>
                  <w:r>
                    <w:rPr>
                      <w:b/>
                      <w:color w:val="auto"/>
                      <w:spacing w:val="-10"/>
                      <w:sz w:val="21"/>
                      <w:szCs w:val="18"/>
                      <w:highlight w:val="none"/>
                    </w:rPr>
                    <w:t>监测方法及频率</w:t>
                  </w:r>
                </w:p>
              </w:tc>
              <w:tc>
                <w:tcPr>
                  <w:tcW w:w="1339" w:type="pct"/>
                  <w:vAlign w:val="center"/>
                </w:tcPr>
                <w:p w14:paraId="701C97CD">
                  <w:pPr>
                    <w:adjustRightInd w:val="0"/>
                    <w:spacing w:line="240" w:lineRule="auto"/>
                    <w:ind w:firstLine="0" w:firstLineChars="0"/>
                    <w:jc w:val="center"/>
                    <w:rPr>
                      <w:b/>
                      <w:color w:val="auto"/>
                      <w:spacing w:val="-10"/>
                      <w:sz w:val="21"/>
                      <w:szCs w:val="18"/>
                      <w:highlight w:val="none"/>
                    </w:rPr>
                  </w:pPr>
                  <w:r>
                    <w:rPr>
                      <w:b/>
                      <w:color w:val="auto"/>
                      <w:spacing w:val="-10"/>
                      <w:sz w:val="21"/>
                      <w:szCs w:val="18"/>
                      <w:highlight w:val="none"/>
                    </w:rPr>
                    <w:t>执行排放标准</w:t>
                  </w:r>
                </w:p>
              </w:tc>
            </w:tr>
            <w:tr w14:paraId="02E42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681" w:hRule="atLeast"/>
                <w:jc w:val="center"/>
              </w:trPr>
              <w:tc>
                <w:tcPr>
                  <w:tcW w:w="443" w:type="pct"/>
                  <w:vAlign w:val="center"/>
                </w:tcPr>
                <w:p w14:paraId="77F6C665">
                  <w:pPr>
                    <w:adjustRightInd w:val="0"/>
                    <w:spacing w:line="240" w:lineRule="auto"/>
                    <w:ind w:firstLine="0" w:firstLineChars="0"/>
                    <w:jc w:val="center"/>
                    <w:rPr>
                      <w:bCs/>
                      <w:color w:val="auto"/>
                      <w:spacing w:val="-10"/>
                      <w:sz w:val="21"/>
                      <w:szCs w:val="18"/>
                      <w:highlight w:val="none"/>
                    </w:rPr>
                  </w:pPr>
                  <w:r>
                    <w:rPr>
                      <w:bCs/>
                      <w:color w:val="auto"/>
                      <w:spacing w:val="-10"/>
                      <w:sz w:val="21"/>
                      <w:szCs w:val="18"/>
                      <w:highlight w:val="none"/>
                    </w:rPr>
                    <w:t>运营期</w:t>
                  </w:r>
                </w:p>
              </w:tc>
              <w:tc>
                <w:tcPr>
                  <w:tcW w:w="448" w:type="pct"/>
                  <w:vAlign w:val="center"/>
                </w:tcPr>
                <w:p w14:paraId="238421F1">
                  <w:pPr>
                    <w:adjustRightInd w:val="0"/>
                    <w:spacing w:line="240" w:lineRule="auto"/>
                    <w:ind w:firstLine="0" w:firstLineChars="0"/>
                    <w:jc w:val="center"/>
                    <w:rPr>
                      <w:bCs/>
                      <w:color w:val="auto"/>
                      <w:spacing w:val="-10"/>
                      <w:sz w:val="21"/>
                      <w:szCs w:val="18"/>
                      <w:highlight w:val="none"/>
                    </w:rPr>
                  </w:pPr>
                  <w:r>
                    <w:rPr>
                      <w:bCs/>
                      <w:color w:val="auto"/>
                      <w:spacing w:val="-10"/>
                      <w:sz w:val="21"/>
                      <w:szCs w:val="18"/>
                      <w:highlight w:val="none"/>
                    </w:rPr>
                    <w:t>噪声</w:t>
                  </w:r>
                </w:p>
              </w:tc>
              <w:tc>
                <w:tcPr>
                  <w:tcW w:w="1141" w:type="pct"/>
                  <w:vAlign w:val="center"/>
                </w:tcPr>
                <w:p w14:paraId="470C11BE">
                  <w:pPr>
                    <w:adjustRightInd w:val="0"/>
                    <w:spacing w:line="240" w:lineRule="auto"/>
                    <w:ind w:firstLine="0" w:firstLineChars="0"/>
                    <w:jc w:val="center"/>
                    <w:rPr>
                      <w:bCs/>
                      <w:color w:val="auto"/>
                      <w:spacing w:val="-10"/>
                      <w:sz w:val="21"/>
                      <w:szCs w:val="18"/>
                      <w:highlight w:val="none"/>
                    </w:rPr>
                  </w:pPr>
                  <w:r>
                    <w:rPr>
                      <w:bCs/>
                      <w:color w:val="auto"/>
                      <w:spacing w:val="-10"/>
                      <w:sz w:val="21"/>
                      <w:szCs w:val="18"/>
                      <w:highlight w:val="none"/>
                    </w:rPr>
                    <w:t>项目东、南、西、北四个厂界外1m处</w:t>
                  </w:r>
                </w:p>
              </w:tc>
              <w:tc>
                <w:tcPr>
                  <w:tcW w:w="828" w:type="pct"/>
                  <w:vAlign w:val="center"/>
                </w:tcPr>
                <w:p w14:paraId="168053F2">
                  <w:pPr>
                    <w:adjustRightInd w:val="0"/>
                    <w:spacing w:line="240" w:lineRule="auto"/>
                    <w:ind w:firstLine="0" w:firstLineChars="0"/>
                    <w:jc w:val="center"/>
                    <w:rPr>
                      <w:bCs/>
                      <w:color w:val="auto"/>
                      <w:spacing w:val="-10"/>
                      <w:sz w:val="21"/>
                      <w:szCs w:val="18"/>
                      <w:highlight w:val="none"/>
                    </w:rPr>
                  </w:pPr>
                  <w:r>
                    <w:rPr>
                      <w:bCs/>
                      <w:color w:val="auto"/>
                      <w:spacing w:val="-10"/>
                      <w:sz w:val="21"/>
                      <w:szCs w:val="18"/>
                      <w:highlight w:val="none"/>
                    </w:rPr>
                    <w:t>等效连续A声级</w:t>
                  </w:r>
                </w:p>
              </w:tc>
              <w:tc>
                <w:tcPr>
                  <w:tcW w:w="801" w:type="pct"/>
                  <w:vAlign w:val="center"/>
                </w:tcPr>
                <w:p w14:paraId="7A466F0C">
                  <w:pPr>
                    <w:adjustRightInd w:val="0"/>
                    <w:spacing w:line="240" w:lineRule="auto"/>
                    <w:ind w:firstLine="0" w:firstLineChars="0"/>
                    <w:jc w:val="center"/>
                    <w:rPr>
                      <w:bCs/>
                      <w:color w:val="auto"/>
                      <w:spacing w:val="-10"/>
                      <w:sz w:val="21"/>
                      <w:szCs w:val="18"/>
                      <w:highlight w:val="none"/>
                    </w:rPr>
                  </w:pPr>
                  <w:r>
                    <w:rPr>
                      <w:bCs/>
                      <w:color w:val="auto"/>
                      <w:spacing w:val="-10"/>
                      <w:sz w:val="21"/>
                      <w:szCs w:val="18"/>
                      <w:highlight w:val="none"/>
                    </w:rPr>
                    <w:t>1次/季度，按照国家相关噪声监测技术方法进行监测</w:t>
                  </w:r>
                </w:p>
              </w:tc>
              <w:tc>
                <w:tcPr>
                  <w:tcW w:w="1339" w:type="pct"/>
                  <w:vAlign w:val="center"/>
                </w:tcPr>
                <w:p w14:paraId="68E98E0D">
                  <w:pPr>
                    <w:adjustRightInd w:val="0"/>
                    <w:spacing w:line="240" w:lineRule="auto"/>
                    <w:ind w:firstLine="0" w:firstLineChars="0"/>
                    <w:jc w:val="center"/>
                    <w:rPr>
                      <w:bCs/>
                      <w:color w:val="auto"/>
                      <w:spacing w:val="-10"/>
                      <w:sz w:val="21"/>
                      <w:szCs w:val="18"/>
                      <w:highlight w:val="none"/>
                    </w:rPr>
                  </w:pPr>
                  <w:r>
                    <w:rPr>
                      <w:bCs/>
                      <w:color w:val="auto"/>
                      <w:spacing w:val="-10"/>
                      <w:sz w:val="21"/>
                      <w:szCs w:val="18"/>
                      <w:highlight w:val="none"/>
                    </w:rPr>
                    <w:t>《工业企业厂界环境噪声排放标准》（GB12348-2008）中2类标准</w:t>
                  </w:r>
                </w:p>
              </w:tc>
            </w:tr>
          </w:tbl>
          <w:p w14:paraId="7924EAFC">
            <w:pPr>
              <w:spacing w:before="156" w:beforeLines="50"/>
              <w:ind w:firstLine="482"/>
              <w:rPr>
                <w:b/>
                <w:bCs/>
                <w:color w:val="auto"/>
                <w:highlight w:val="none"/>
              </w:rPr>
            </w:pPr>
            <w:r>
              <w:rPr>
                <w:rFonts w:hint="eastAsia"/>
                <w:b/>
                <w:bCs/>
                <w:color w:val="auto"/>
                <w:highlight w:val="none"/>
              </w:rPr>
              <w:t>六、</w:t>
            </w:r>
            <w:r>
              <w:rPr>
                <w:b/>
                <w:bCs/>
                <w:color w:val="auto"/>
                <w:highlight w:val="none"/>
              </w:rPr>
              <w:t>运营期</w:t>
            </w:r>
            <w:r>
              <w:rPr>
                <w:rFonts w:hint="eastAsia"/>
                <w:b/>
                <w:bCs/>
                <w:color w:val="auto"/>
                <w:highlight w:val="none"/>
              </w:rPr>
              <w:t>生态</w:t>
            </w:r>
            <w:r>
              <w:rPr>
                <w:b/>
                <w:bCs/>
                <w:color w:val="auto"/>
                <w:highlight w:val="none"/>
              </w:rPr>
              <w:t>环境影响分析</w:t>
            </w:r>
          </w:p>
          <w:p w14:paraId="401C6036">
            <w:pPr>
              <w:ind w:firstLine="480"/>
              <w:rPr>
                <w:color w:val="auto"/>
                <w:highlight w:val="none"/>
              </w:rPr>
            </w:pPr>
            <w:r>
              <w:rPr>
                <w:color w:val="auto"/>
                <w:highlight w:val="none"/>
              </w:rPr>
              <w:t>项目采矿期对生态的影响主要体现在采矿区，具体如下：</w:t>
            </w:r>
          </w:p>
          <w:p w14:paraId="27693F54">
            <w:pPr>
              <w:ind w:firstLine="482"/>
              <w:rPr>
                <w:b/>
                <w:bCs/>
                <w:color w:val="auto"/>
                <w:highlight w:val="none"/>
              </w:rPr>
            </w:pPr>
            <w:r>
              <w:rPr>
                <w:b/>
                <w:bCs/>
                <w:color w:val="auto"/>
                <w:highlight w:val="none"/>
              </w:rPr>
              <w:t>1）对地形、地貌的影响</w:t>
            </w:r>
          </w:p>
          <w:p w14:paraId="73E7D035">
            <w:pPr>
              <w:ind w:firstLine="480"/>
              <w:rPr>
                <w:color w:val="auto"/>
                <w:highlight w:val="none"/>
              </w:rPr>
            </w:pPr>
            <w:r>
              <w:rPr>
                <w:color w:val="auto"/>
                <w:highlight w:val="none"/>
              </w:rPr>
              <w:t>本项目矿权范围为0.</w:t>
            </w:r>
            <w:r>
              <w:rPr>
                <w:rFonts w:hint="eastAsia"/>
                <w:color w:val="auto"/>
                <w:highlight w:val="none"/>
                <w:lang w:val="en-US" w:eastAsia="zh-CN"/>
              </w:rPr>
              <w:t>0399</w:t>
            </w:r>
            <w:r>
              <w:rPr>
                <w:color w:val="auto"/>
                <w:highlight w:val="none"/>
              </w:rPr>
              <w:t>km</w:t>
            </w:r>
            <w:r>
              <w:rPr>
                <w:color w:val="auto"/>
                <w:highlight w:val="none"/>
                <w:vertAlign w:val="superscript"/>
              </w:rPr>
              <w:t>2</w:t>
            </w:r>
            <w:r>
              <w:rPr>
                <w:color w:val="auto"/>
                <w:highlight w:val="none"/>
              </w:rPr>
              <w:t>，设计拟采用露天开采+道路汽车运输开拓的方式对矿区内资源进行开采。矿山开采将改变矿区内原有中低山地貌，原有土地的性质和利用结构随之发生变化。</w:t>
            </w:r>
          </w:p>
          <w:p w14:paraId="1C64CB55">
            <w:pPr>
              <w:ind w:firstLine="482"/>
              <w:rPr>
                <w:b/>
                <w:bCs/>
                <w:color w:val="auto"/>
                <w:highlight w:val="none"/>
              </w:rPr>
            </w:pPr>
            <w:r>
              <w:rPr>
                <w:b/>
                <w:bCs/>
                <w:color w:val="auto"/>
                <w:highlight w:val="none"/>
              </w:rPr>
              <w:t>2）对土地利用结构的影响</w:t>
            </w:r>
          </w:p>
          <w:p w14:paraId="3562A1F6">
            <w:pPr>
              <w:ind w:firstLine="480"/>
              <w:rPr>
                <w:color w:val="auto"/>
                <w:highlight w:val="none"/>
              </w:rPr>
            </w:pPr>
            <w:r>
              <w:rPr>
                <w:color w:val="auto"/>
                <w:highlight w:val="none"/>
              </w:rPr>
              <w:t>土地利用的改变有两条途径，一是大量固体废物排放，压占土地，这对土地的消耗不容忽视；二是工业占地及交通占地，使林地、耕地和其他园地等转变为工矿用地或交通用地。</w:t>
            </w:r>
          </w:p>
          <w:p w14:paraId="74CE705F">
            <w:pPr>
              <w:ind w:firstLine="480"/>
              <w:rPr>
                <w:color w:val="auto"/>
                <w:highlight w:val="none"/>
              </w:rPr>
            </w:pPr>
            <w:r>
              <w:rPr>
                <w:color w:val="auto"/>
                <w:highlight w:val="none"/>
              </w:rPr>
              <w:t>本项目</w:t>
            </w:r>
            <w:r>
              <w:rPr>
                <w:rFonts w:hint="eastAsia"/>
                <w:color w:val="auto"/>
                <w:highlight w:val="none"/>
                <w:lang w:val="en-US" w:eastAsia="zh-CN"/>
              </w:rPr>
              <w:t>占地</w:t>
            </w:r>
            <w:r>
              <w:rPr>
                <w:color w:val="auto"/>
                <w:highlight w:val="none"/>
              </w:rPr>
              <w:t>面积</w:t>
            </w:r>
            <w:r>
              <w:rPr>
                <w:rFonts w:hint="eastAsia"/>
                <w:color w:val="auto"/>
                <w:highlight w:val="none"/>
                <w:lang w:val="en-US" w:eastAsia="zh-CN"/>
              </w:rPr>
              <w:t>6.9915</w:t>
            </w:r>
            <w:r>
              <w:rPr>
                <w:rFonts w:hint="eastAsia"/>
                <w:color w:val="auto"/>
                <w:highlight w:val="none"/>
              </w:rPr>
              <w:t>h</w:t>
            </w:r>
            <w:r>
              <w:rPr>
                <w:color w:val="auto"/>
                <w:highlight w:val="none"/>
              </w:rPr>
              <w:t>m</w:t>
            </w:r>
            <w:r>
              <w:rPr>
                <w:color w:val="auto"/>
                <w:highlight w:val="none"/>
                <w:vertAlign w:val="superscript"/>
              </w:rPr>
              <w:t>2</w:t>
            </w:r>
            <w:r>
              <w:rPr>
                <w:color w:val="auto"/>
                <w:highlight w:val="none"/>
              </w:rPr>
              <w:t>。占地类型主要为草地</w:t>
            </w:r>
            <w:r>
              <w:rPr>
                <w:rFonts w:hint="eastAsia"/>
                <w:color w:val="auto"/>
                <w:highlight w:val="none"/>
              </w:rPr>
              <w:t>、</w:t>
            </w:r>
            <w:r>
              <w:rPr>
                <w:rFonts w:hint="eastAsia"/>
                <w:color w:val="auto"/>
                <w:highlight w:val="none"/>
                <w:lang w:val="en-US" w:eastAsia="zh-CN"/>
              </w:rPr>
              <w:t>林地</w:t>
            </w:r>
            <w:r>
              <w:rPr>
                <w:color w:val="auto"/>
                <w:highlight w:val="none"/>
              </w:rPr>
              <w:t>。本项目矿山开采过程中对矿区植被的破坏集中在露天开采区，经过矿山的开采，评价区内的植物覆盖率将下降，对于评价区占用的土地面积而言，土地利用现状会发生明显变化</w:t>
            </w:r>
            <w:r>
              <w:rPr>
                <w:rFonts w:hint="eastAsia"/>
                <w:color w:val="auto"/>
                <w:highlight w:val="none"/>
                <w:lang w:eastAsia="zh-CN"/>
              </w:rPr>
              <w:t>，</w:t>
            </w:r>
            <w:r>
              <w:rPr>
                <w:color w:val="auto"/>
                <w:highlight w:val="none"/>
              </w:rPr>
              <w:t>占用</w:t>
            </w:r>
            <w:r>
              <w:rPr>
                <w:rFonts w:hint="eastAsia"/>
                <w:color w:val="auto"/>
                <w:highlight w:val="none"/>
                <w:lang w:val="en-US" w:eastAsia="zh-CN"/>
              </w:rPr>
              <w:t>林地和</w:t>
            </w:r>
            <w:r>
              <w:rPr>
                <w:color w:val="auto"/>
                <w:highlight w:val="none"/>
              </w:rPr>
              <w:t>草地所占面积与评价区</w:t>
            </w:r>
            <w:r>
              <w:rPr>
                <w:rFonts w:hint="eastAsia"/>
                <w:color w:val="auto"/>
                <w:highlight w:val="none"/>
                <w:lang w:val="en-US" w:eastAsia="zh-CN"/>
              </w:rPr>
              <w:t>及周边</w:t>
            </w:r>
            <w:r>
              <w:rPr>
                <w:color w:val="auto"/>
                <w:highlight w:val="none"/>
              </w:rPr>
              <w:t>土地面积相对而言较小，矿山占地总体不会改变当地土地利用的格局，本项目开发建设占用</w:t>
            </w:r>
            <w:r>
              <w:rPr>
                <w:rFonts w:hint="eastAsia"/>
                <w:color w:val="auto"/>
                <w:highlight w:val="none"/>
                <w:lang w:val="en-US" w:eastAsia="zh-CN"/>
              </w:rPr>
              <w:t>林地和</w:t>
            </w:r>
            <w:r>
              <w:rPr>
                <w:color w:val="auto"/>
                <w:highlight w:val="none"/>
              </w:rPr>
              <w:t>草地等将造成评价区内植被覆盖率下降，因此，建设单位须根据《</w:t>
            </w:r>
            <w:r>
              <w:rPr>
                <w:rFonts w:hint="eastAsia"/>
                <w:color w:val="auto"/>
                <w:highlight w:val="none"/>
              </w:rPr>
              <w:t>中华人民共和国森林法</w:t>
            </w:r>
            <w:r>
              <w:rPr>
                <w:color w:val="auto"/>
                <w:highlight w:val="none"/>
              </w:rPr>
              <w:t>》有关规定，补植树木或交纳补偿金</w:t>
            </w:r>
            <w:r>
              <w:rPr>
                <w:rFonts w:hint="eastAsia"/>
                <w:color w:val="auto"/>
                <w:highlight w:val="none"/>
                <w:lang w:eastAsia="zh-CN"/>
              </w:rPr>
              <w:t>，</w:t>
            </w:r>
            <w:r>
              <w:rPr>
                <w:rFonts w:hint="eastAsia"/>
                <w:color w:val="auto"/>
                <w:highlight w:val="none"/>
                <w:lang w:val="en-US" w:eastAsia="zh-CN"/>
              </w:rPr>
              <w:t>项目已经完成相关林草地使用手续，已经取得林草部门出具的行政许可决定书（附件6）</w:t>
            </w:r>
            <w:r>
              <w:rPr>
                <w:color w:val="auto"/>
                <w:highlight w:val="none"/>
              </w:rPr>
              <w:t>。同时，对于被占用的林地、耕地等将采取对矿山进行绿化和复垦使植被得以逐渐恢复，但需要一定的过程。</w:t>
            </w:r>
          </w:p>
          <w:p w14:paraId="54661882">
            <w:pPr>
              <w:ind w:firstLine="482"/>
              <w:rPr>
                <w:b/>
                <w:bCs/>
                <w:color w:val="auto"/>
                <w:highlight w:val="none"/>
              </w:rPr>
            </w:pPr>
            <w:r>
              <w:rPr>
                <w:b/>
                <w:bCs/>
                <w:color w:val="auto"/>
                <w:highlight w:val="none"/>
              </w:rPr>
              <w:t>3）对水土流失的影响</w:t>
            </w:r>
          </w:p>
          <w:p w14:paraId="5A06E4F4">
            <w:pPr>
              <w:ind w:firstLine="480"/>
              <w:rPr>
                <w:color w:val="auto"/>
                <w:highlight w:val="none"/>
              </w:rPr>
            </w:pPr>
            <w:r>
              <w:rPr>
                <w:color w:val="auto"/>
                <w:highlight w:val="none"/>
              </w:rPr>
              <w:t>本项目运营期将在基建期的基础上扩大采区面积，加剧了对区内陆生植被的破坏强度。根据</w:t>
            </w:r>
            <w:r>
              <w:rPr>
                <w:rFonts w:hint="eastAsia"/>
                <w:color w:val="auto"/>
                <w:highlight w:val="none"/>
                <w:lang w:val="en-US" w:eastAsia="zh-CN"/>
              </w:rPr>
              <w:t>安全设计报告</w:t>
            </w:r>
            <w:r>
              <w:rPr>
                <w:color w:val="auto"/>
                <w:highlight w:val="none"/>
              </w:rPr>
              <w:t>，本项目</w:t>
            </w:r>
            <w:r>
              <w:rPr>
                <w:rFonts w:hint="eastAsia"/>
                <w:color w:val="auto"/>
                <w:highlight w:val="none"/>
              </w:rPr>
              <w:t>运行期共开挖土石方</w:t>
            </w:r>
            <w:r>
              <w:rPr>
                <w:rFonts w:hint="eastAsia"/>
                <w:color w:val="auto"/>
                <w:highlight w:val="none"/>
                <w:lang w:val="en-US" w:eastAsia="zh-CN"/>
              </w:rPr>
              <w:t>0.92万m</w:t>
            </w:r>
            <w:r>
              <w:rPr>
                <w:rFonts w:hint="eastAsia"/>
                <w:color w:val="auto"/>
                <w:highlight w:val="none"/>
                <w:vertAlign w:val="superscript"/>
                <w:lang w:val="en-US" w:eastAsia="zh-CN"/>
              </w:rPr>
              <w:t>3</w:t>
            </w:r>
            <w:r>
              <w:rPr>
                <w:rFonts w:hint="eastAsia" w:ascii="仿宋_GB2312" w:hAnsi="仿宋_GB2312"/>
                <w:color w:val="auto"/>
                <w:highlight w:val="none"/>
              </w:rPr>
              <w:t>，最终无永久弃方产生</w:t>
            </w:r>
            <w:r>
              <w:rPr>
                <w:color w:val="auto"/>
                <w:highlight w:val="none"/>
              </w:rPr>
              <w:t>，</w:t>
            </w:r>
            <w:r>
              <w:rPr>
                <w:rFonts w:hint="eastAsia"/>
                <w:color w:val="auto"/>
                <w:highlight w:val="none"/>
                <w:lang w:val="en-US" w:eastAsia="zh-CN"/>
              </w:rPr>
              <w:t>用于采空区覆土复垦</w:t>
            </w:r>
            <w:r>
              <w:rPr>
                <w:color w:val="auto"/>
                <w:highlight w:val="none"/>
              </w:rPr>
              <w:t>。</w:t>
            </w:r>
            <w:r>
              <w:rPr>
                <w:rFonts w:hint="eastAsia"/>
                <w:color w:val="auto"/>
                <w:highlight w:val="none"/>
                <w:lang w:eastAsia="zh-CN"/>
              </w:rPr>
              <w:t>露天开采区</w:t>
            </w:r>
            <w:r>
              <w:rPr>
                <w:color w:val="auto"/>
                <w:highlight w:val="none"/>
              </w:rPr>
              <w:t>的开挖将加强区域内水土流失强度，因此，需在</w:t>
            </w:r>
            <w:r>
              <w:rPr>
                <w:rFonts w:hint="eastAsia"/>
                <w:color w:val="auto"/>
                <w:highlight w:val="none"/>
                <w:lang w:eastAsia="zh-CN"/>
              </w:rPr>
              <w:t>露天开采区</w:t>
            </w:r>
            <w:r>
              <w:rPr>
                <w:color w:val="auto"/>
                <w:highlight w:val="none"/>
              </w:rPr>
              <w:t>周边设置截</w:t>
            </w:r>
            <w:r>
              <w:rPr>
                <w:rFonts w:hint="eastAsia"/>
                <w:color w:val="auto"/>
                <w:highlight w:val="none"/>
              </w:rPr>
              <w:t>（</w:t>
            </w:r>
            <w:r>
              <w:rPr>
                <w:color w:val="auto"/>
                <w:highlight w:val="none"/>
              </w:rPr>
              <w:t>排</w:t>
            </w:r>
            <w:r>
              <w:rPr>
                <w:rFonts w:hint="eastAsia"/>
                <w:color w:val="auto"/>
                <w:highlight w:val="none"/>
              </w:rPr>
              <w:t>）</w:t>
            </w:r>
            <w:r>
              <w:rPr>
                <w:color w:val="auto"/>
                <w:highlight w:val="none"/>
              </w:rPr>
              <w:t>水沟</w:t>
            </w:r>
            <w:r>
              <w:rPr>
                <w:rFonts w:hint="eastAsia"/>
                <w:color w:val="auto"/>
                <w:highlight w:val="none"/>
              </w:rPr>
              <w:t>、滚石挡墙</w:t>
            </w:r>
            <w:r>
              <w:rPr>
                <w:color w:val="auto"/>
                <w:highlight w:val="none"/>
              </w:rPr>
              <w:t>措施降低工程运营期区域水土流失的强度。</w:t>
            </w:r>
          </w:p>
          <w:p w14:paraId="5D2509F1">
            <w:pPr>
              <w:ind w:firstLine="482"/>
              <w:rPr>
                <w:b/>
                <w:bCs/>
                <w:color w:val="auto"/>
                <w:highlight w:val="none"/>
              </w:rPr>
            </w:pPr>
            <w:r>
              <w:rPr>
                <w:b/>
                <w:bCs/>
                <w:color w:val="auto"/>
                <w:highlight w:val="none"/>
              </w:rPr>
              <w:t>4）对景观的影响分析</w:t>
            </w:r>
          </w:p>
          <w:p w14:paraId="7652C61E">
            <w:pPr>
              <w:ind w:firstLine="480"/>
              <w:rPr>
                <w:color w:val="auto"/>
                <w:highlight w:val="none"/>
              </w:rPr>
            </w:pPr>
            <w:r>
              <w:rPr>
                <w:color w:val="auto"/>
                <w:highlight w:val="none"/>
              </w:rPr>
              <w:t>本项目运营期形成采矿用地与工业用地两种地块类型，与周围的水域、林地、村庄形成不同的斑块，同时矿石采掘，地表变形，弃土堆存，矿区原有地貌环境将随之发生改变，对矿区范围内的山地景观和植被景观会造成一定程度的破坏。根据</w:t>
            </w:r>
            <w:r>
              <w:rPr>
                <w:rFonts w:hint="eastAsia"/>
                <w:color w:val="auto"/>
                <w:highlight w:val="none"/>
                <w:lang w:val="en-US" w:eastAsia="zh-CN"/>
              </w:rPr>
              <w:t>安全设计报告</w:t>
            </w:r>
            <w:r>
              <w:rPr>
                <w:color w:val="auto"/>
                <w:highlight w:val="none"/>
              </w:rPr>
              <w:t>，露天采矿场的地质环境恢复治理要求，终了一个台阶，恢复治理一个台阶，实现边开采边治理。采矿平台的出现会对原来的景观进行</w:t>
            </w:r>
            <w:r>
              <w:rPr>
                <w:rFonts w:hint="eastAsia"/>
                <w:color w:val="auto"/>
                <w:highlight w:val="none"/>
              </w:rPr>
              <w:t>分割</w:t>
            </w:r>
            <w:r>
              <w:rPr>
                <w:color w:val="auto"/>
                <w:highlight w:val="none"/>
              </w:rPr>
              <w:t>，造成空间上的非连续性和一些人为的劣质景观，造成与周围自然环境一定的不相协调。在矿山服务期满后，通过对采区平整修复、逐步落实生态恢复措施后，可减轻对景观环境的不良影响。但本项目占地范围内无自然风景区和名胜古迹，对区域景观环境影响较小。本项目虽为露天开采，地表破坏严重，但项目露天开采占地面积较小且</w:t>
            </w:r>
            <w:r>
              <w:rPr>
                <w:rFonts w:hint="eastAsia"/>
                <w:color w:val="auto"/>
                <w:highlight w:val="none"/>
                <w:lang w:eastAsia="zh-CN"/>
              </w:rPr>
              <w:t>露天开采区</w:t>
            </w:r>
            <w:r>
              <w:rPr>
                <w:color w:val="auto"/>
                <w:highlight w:val="none"/>
              </w:rPr>
              <w:t>依山而建，仅对局地小范围景观有所影响。</w:t>
            </w:r>
          </w:p>
          <w:p w14:paraId="0749AA60">
            <w:pPr>
              <w:ind w:firstLine="482"/>
              <w:rPr>
                <w:b/>
                <w:bCs/>
                <w:color w:val="auto"/>
                <w:highlight w:val="none"/>
              </w:rPr>
            </w:pPr>
            <w:r>
              <w:rPr>
                <w:b/>
                <w:bCs/>
                <w:color w:val="auto"/>
                <w:highlight w:val="none"/>
              </w:rPr>
              <w:t>5）对矿区生态系统的影响分析</w:t>
            </w:r>
          </w:p>
          <w:p w14:paraId="7F9CC84F">
            <w:pPr>
              <w:ind w:firstLine="482"/>
              <w:rPr>
                <w:b/>
                <w:bCs/>
                <w:color w:val="auto"/>
                <w:highlight w:val="none"/>
              </w:rPr>
            </w:pPr>
            <w:r>
              <w:rPr>
                <w:b/>
                <w:bCs/>
                <w:color w:val="auto"/>
                <w:highlight w:val="none"/>
              </w:rPr>
              <w:t>A、对生物多样性影响分析</w:t>
            </w:r>
          </w:p>
          <w:p w14:paraId="32FC2E59">
            <w:pPr>
              <w:ind w:firstLine="480"/>
              <w:rPr>
                <w:color w:val="auto"/>
                <w:highlight w:val="none"/>
              </w:rPr>
            </w:pPr>
            <w:r>
              <w:rPr>
                <w:color w:val="auto"/>
                <w:highlight w:val="none"/>
              </w:rPr>
              <w:t>本项目建设对环境影响的主要因素是采矿工程、</w:t>
            </w:r>
            <w:r>
              <w:rPr>
                <w:rFonts w:hint="eastAsia"/>
                <w:color w:val="auto"/>
                <w:highlight w:val="none"/>
                <w:lang w:val="en-US" w:eastAsia="zh-CN"/>
              </w:rPr>
              <w:t>工业场地区、办公生活区</w:t>
            </w:r>
            <w:r>
              <w:rPr>
                <w:color w:val="auto"/>
                <w:highlight w:val="none"/>
              </w:rPr>
              <w:t>建设扰动地表土层，造成局部地段植被破坏，对生态环境产生干扰与影响，工程影响区内</w:t>
            </w:r>
            <w:r>
              <w:rPr>
                <w:rFonts w:hint="eastAsia"/>
                <w:color w:val="auto"/>
                <w:highlight w:val="none"/>
                <w:lang w:val="en-US" w:eastAsia="zh-CN"/>
              </w:rPr>
              <w:t>未发现有</w:t>
            </w:r>
            <w:r>
              <w:rPr>
                <w:color w:val="auto"/>
                <w:highlight w:val="none"/>
              </w:rPr>
              <w:t>无国家</w:t>
            </w:r>
            <w:r>
              <w:rPr>
                <w:rFonts w:hint="eastAsia"/>
                <w:color w:val="auto"/>
                <w:highlight w:val="none"/>
                <w:lang w:val="en-US" w:eastAsia="zh-CN"/>
              </w:rPr>
              <w:t>和云南省重点</w:t>
            </w:r>
            <w:r>
              <w:rPr>
                <w:color w:val="auto"/>
                <w:highlight w:val="none"/>
              </w:rPr>
              <w:t>保护物种</w:t>
            </w:r>
            <w:r>
              <w:rPr>
                <w:rFonts w:hint="eastAsia"/>
                <w:color w:val="auto"/>
                <w:highlight w:val="none"/>
                <w:lang w:eastAsia="zh-CN"/>
              </w:rPr>
              <w:t>的</w:t>
            </w:r>
            <w:r>
              <w:rPr>
                <w:rFonts w:hint="eastAsia"/>
                <w:color w:val="auto"/>
                <w:highlight w:val="none"/>
                <w:lang w:val="en-US" w:eastAsia="zh-CN"/>
              </w:rPr>
              <w:t>分布</w:t>
            </w:r>
            <w:r>
              <w:rPr>
                <w:color w:val="auto"/>
                <w:highlight w:val="none"/>
              </w:rPr>
              <w:t>，评价区内</w:t>
            </w:r>
            <w:r>
              <w:rPr>
                <w:rFonts w:hint="eastAsia"/>
                <w:color w:val="auto"/>
                <w:highlight w:val="none"/>
              </w:rPr>
              <w:t>矿区范围外</w:t>
            </w:r>
            <w:r>
              <w:rPr>
                <w:color w:val="auto"/>
                <w:highlight w:val="none"/>
              </w:rPr>
              <w:t>主要植被类型为</w:t>
            </w:r>
            <w:r>
              <w:rPr>
                <w:rFonts w:hint="eastAsia"/>
                <w:color w:val="auto"/>
                <w:highlight w:val="none"/>
                <w:lang w:val="en-US" w:eastAsia="zh-CN"/>
              </w:rPr>
              <w:t>暖温性针叶林、暖性落叶阔叶林、暖温性稀树灌木草丛、耕地植被</w:t>
            </w:r>
            <w:r>
              <w:rPr>
                <w:color w:val="auto"/>
                <w:highlight w:val="none"/>
              </w:rPr>
              <w:t>，</w:t>
            </w:r>
            <w:r>
              <w:rPr>
                <w:rFonts w:hint="eastAsia"/>
                <w:color w:val="auto"/>
                <w:highlight w:val="none"/>
                <w:lang w:val="en-US" w:eastAsia="zh-CN"/>
              </w:rPr>
              <w:t>多为本地</w:t>
            </w:r>
            <w:r>
              <w:rPr>
                <w:color w:val="auto"/>
                <w:highlight w:val="none"/>
              </w:rPr>
              <w:t>常见的</w:t>
            </w:r>
            <w:r>
              <w:rPr>
                <w:rFonts w:hint="eastAsia"/>
                <w:color w:val="auto"/>
                <w:highlight w:val="none"/>
                <w:lang w:val="en-US" w:eastAsia="zh-CN"/>
              </w:rPr>
              <w:t>植被类型</w:t>
            </w:r>
            <w:r>
              <w:rPr>
                <w:color w:val="auto"/>
                <w:highlight w:val="none"/>
              </w:rPr>
              <w:t>，</w:t>
            </w:r>
            <w:r>
              <w:rPr>
                <w:rFonts w:hint="eastAsia"/>
                <w:color w:val="auto"/>
                <w:highlight w:val="none"/>
                <w:lang w:val="en-US" w:eastAsia="zh-CN"/>
              </w:rPr>
              <w:t>项目矿区边采边恢复，且</w:t>
            </w:r>
            <w:r>
              <w:rPr>
                <w:color w:val="auto"/>
                <w:highlight w:val="none"/>
              </w:rPr>
              <w:t>矿山服务期满后</w:t>
            </w:r>
            <w:r>
              <w:rPr>
                <w:rFonts w:hint="eastAsia"/>
                <w:color w:val="auto"/>
                <w:highlight w:val="none"/>
                <w:lang w:eastAsia="zh-CN"/>
              </w:rPr>
              <w:t>，</w:t>
            </w:r>
            <w:r>
              <w:rPr>
                <w:rFonts w:hint="eastAsia"/>
                <w:color w:val="auto"/>
                <w:highlight w:val="none"/>
                <w:lang w:val="en-US" w:eastAsia="zh-CN"/>
              </w:rPr>
              <w:t>对项目区进行全面覆土复垦，采用当地树种及草种进行植被恢复，</w:t>
            </w:r>
            <w:r>
              <w:rPr>
                <w:color w:val="auto"/>
                <w:highlight w:val="none"/>
              </w:rPr>
              <w:t>基本不会造成生物多样性的损失。</w:t>
            </w:r>
          </w:p>
          <w:p w14:paraId="7644C8A6">
            <w:pPr>
              <w:ind w:firstLine="480"/>
              <w:rPr>
                <w:color w:val="auto"/>
                <w:highlight w:val="none"/>
              </w:rPr>
            </w:pPr>
            <w:r>
              <w:rPr>
                <w:color w:val="auto"/>
                <w:highlight w:val="none"/>
              </w:rPr>
              <w:t>综上所述，采矿扰动范围无需要保护的珍稀濒危动物、植物分布，采矿活动不破坏特殊生境、不会使保护物种受到影响，只会对当地的生物量产生一定的不利影响，但由于扰动范围面积较整个区域较小，不会导致区域物种的多样性的降低。</w:t>
            </w:r>
          </w:p>
          <w:p w14:paraId="3FE4D380">
            <w:pPr>
              <w:ind w:firstLine="482"/>
              <w:rPr>
                <w:b/>
                <w:bCs/>
                <w:color w:val="auto"/>
                <w:highlight w:val="none"/>
              </w:rPr>
            </w:pPr>
            <w:r>
              <w:rPr>
                <w:b/>
                <w:bCs/>
                <w:color w:val="auto"/>
                <w:highlight w:val="none"/>
              </w:rPr>
              <w:t>B、对生态系统生产力影响分析</w:t>
            </w:r>
          </w:p>
          <w:p w14:paraId="3ED1BE94">
            <w:pPr>
              <w:ind w:firstLine="480"/>
              <w:rPr>
                <w:color w:val="auto"/>
                <w:highlight w:val="none"/>
              </w:rPr>
            </w:pPr>
            <w:r>
              <w:rPr>
                <w:color w:val="auto"/>
                <w:highlight w:val="none"/>
              </w:rPr>
              <w:t>本工程占地范围内生态系统的核心是地表植被，当地表植被受到破坏时，该生态系统维持平衡的能力消失，由较高级生态系统衰退为较低级生态系统。本次评价通过受扰动地表生产力及生物量的变化情况，预测生态系统受干扰的程度。</w:t>
            </w:r>
          </w:p>
          <w:p w14:paraId="6C768A7C">
            <w:pPr>
              <w:ind w:firstLine="480"/>
              <w:rPr>
                <w:color w:val="auto"/>
                <w:highlight w:val="none"/>
              </w:rPr>
            </w:pPr>
            <w:r>
              <w:rPr>
                <w:color w:val="auto"/>
                <w:highlight w:val="none"/>
              </w:rPr>
              <w:t>根据全国生态系统平均生产力及生物量统计数据，本工程实施后对工程区植被扰动范围为</w:t>
            </w:r>
            <w:r>
              <w:rPr>
                <w:rFonts w:hint="eastAsia"/>
                <w:color w:val="auto"/>
                <w:highlight w:val="none"/>
                <w:lang w:val="en-US" w:eastAsia="zh-CN"/>
              </w:rPr>
              <w:t>6.9915h</w:t>
            </w:r>
            <w:r>
              <w:rPr>
                <w:color w:val="auto"/>
                <w:highlight w:val="none"/>
              </w:rPr>
              <w:t>m</w:t>
            </w:r>
            <w:r>
              <w:rPr>
                <w:color w:val="auto"/>
                <w:highlight w:val="none"/>
                <w:vertAlign w:val="superscript"/>
              </w:rPr>
              <w:t>2</w:t>
            </w:r>
            <w:r>
              <w:rPr>
                <w:color w:val="auto"/>
                <w:highlight w:val="none"/>
              </w:rPr>
              <w:t>。类比同类型项目，本工程建成运营后</w:t>
            </w:r>
            <w:r>
              <w:rPr>
                <w:rFonts w:hint="eastAsia"/>
                <w:color w:val="auto"/>
                <w:highlight w:val="none"/>
                <w:lang w:val="en-US" w:eastAsia="zh-CN"/>
              </w:rPr>
              <w:t>实行边采边恢复，对采空区进行植被恢复，因此项目范围</w:t>
            </w:r>
            <w:r>
              <w:rPr>
                <w:color w:val="auto"/>
                <w:highlight w:val="none"/>
              </w:rPr>
              <w:t>不会发生严重的植被退化，也不会出现植被荒芜的问题，本工程建设对生态系统生产力的影响轻微。同时，随着</w:t>
            </w:r>
            <w:r>
              <w:rPr>
                <w:rFonts w:hint="eastAsia"/>
                <w:color w:val="auto"/>
                <w:highlight w:val="none"/>
                <w:lang w:val="en-US" w:eastAsia="zh-CN"/>
              </w:rPr>
              <w:t>矿山服务期</w:t>
            </w:r>
            <w:r>
              <w:rPr>
                <w:color w:val="auto"/>
                <w:highlight w:val="none"/>
              </w:rPr>
              <w:t>结束通过采取生态恢复措施对地表植被</w:t>
            </w:r>
            <w:r>
              <w:rPr>
                <w:rFonts w:hint="eastAsia"/>
                <w:color w:val="auto"/>
                <w:highlight w:val="none"/>
                <w:lang w:val="en-US" w:eastAsia="zh-CN"/>
              </w:rPr>
              <w:t>进行</w:t>
            </w:r>
            <w:r>
              <w:rPr>
                <w:color w:val="auto"/>
                <w:highlight w:val="none"/>
              </w:rPr>
              <w:t>恢复，可以逐步恢复区域生态系统生产力。因此，本工程对</w:t>
            </w:r>
            <w:r>
              <w:rPr>
                <w:rFonts w:hint="eastAsia"/>
                <w:color w:val="auto"/>
                <w:highlight w:val="none"/>
                <w:lang w:val="en-US" w:eastAsia="zh-CN"/>
              </w:rPr>
              <w:t>评价区生态系统</w:t>
            </w:r>
            <w:r>
              <w:rPr>
                <w:color w:val="auto"/>
                <w:highlight w:val="none"/>
              </w:rPr>
              <w:t>生产能力的影响是可以</w:t>
            </w:r>
            <w:r>
              <w:rPr>
                <w:rFonts w:hint="eastAsia"/>
                <w:color w:val="auto"/>
                <w:highlight w:val="none"/>
                <w:lang w:val="en-US" w:eastAsia="zh-CN"/>
              </w:rPr>
              <w:t>接受</w:t>
            </w:r>
            <w:r>
              <w:rPr>
                <w:color w:val="auto"/>
                <w:highlight w:val="none"/>
              </w:rPr>
              <w:t>的。</w:t>
            </w:r>
          </w:p>
          <w:p w14:paraId="3F78BDE3">
            <w:pPr>
              <w:numPr>
                <w:ilvl w:val="0"/>
                <w:numId w:val="0"/>
              </w:numPr>
              <w:ind w:firstLine="482" w:firstLineChars="200"/>
              <w:rPr>
                <w:rFonts w:hint="eastAsia"/>
                <w:b/>
                <w:bCs/>
                <w:color w:val="auto"/>
                <w:highlight w:val="none"/>
                <w:lang w:val="en-US" w:eastAsia="zh-CN"/>
              </w:rPr>
            </w:pPr>
            <w:r>
              <w:rPr>
                <w:rFonts w:hint="eastAsia" w:cs="Times New Roman"/>
                <w:b/>
                <w:bCs/>
                <w:color w:val="auto"/>
                <w:kern w:val="2"/>
                <w:sz w:val="24"/>
                <w:szCs w:val="22"/>
                <w:lang w:val="en-US" w:eastAsia="zh-CN" w:bidi="ar-SA"/>
              </w:rPr>
              <w:t>6</w:t>
            </w:r>
            <w:r>
              <w:rPr>
                <w:rFonts w:hint="eastAsia" w:ascii="Times New Roman" w:hAnsi="Times New Roman" w:eastAsia="宋体" w:cs="Times New Roman"/>
                <w:b/>
                <w:bCs/>
                <w:color w:val="auto"/>
                <w:kern w:val="2"/>
                <w:sz w:val="24"/>
                <w:szCs w:val="22"/>
                <w:lang w:val="en-US" w:eastAsia="zh-CN" w:bidi="ar-SA"/>
              </w:rPr>
              <w:t>）</w:t>
            </w:r>
            <w:r>
              <w:rPr>
                <w:rFonts w:hint="eastAsia"/>
                <w:b/>
                <w:bCs/>
                <w:color w:val="auto"/>
                <w:highlight w:val="none"/>
                <w:lang w:val="en-US" w:eastAsia="zh-CN"/>
              </w:rPr>
              <w:t>对永久基本农田的影响分析</w:t>
            </w:r>
          </w:p>
          <w:p w14:paraId="1849581D">
            <w:pPr>
              <w:ind w:firstLine="480"/>
              <w:rPr>
                <w:rFonts w:hint="default"/>
                <w:color w:val="auto"/>
                <w:highlight w:val="none"/>
                <w:lang w:val="en-US" w:eastAsia="zh-CN"/>
              </w:rPr>
            </w:pPr>
            <w:r>
              <w:rPr>
                <w:rFonts w:hint="eastAsia"/>
                <w:color w:val="auto"/>
                <w:highlight w:val="none"/>
                <w:lang w:val="en-US" w:eastAsia="zh-CN"/>
              </w:rPr>
              <w:t>项目占地范围不涉及永久基本农田，但项目评价区涉及永久基本农田，位于项目用地范围北侧，紧邻项目边界线，距离约1m。项目设置边界围栏，运营期不新增占地，不会破坏永久基本农田及其农作物；项目无废水外排，不会造成永久基本农田污染；矿区扬尘洒水降尘后对永久基本农田上植被影响较小。因此，项目对评价区的永久基本农田的影响是可接受的。</w:t>
            </w:r>
          </w:p>
          <w:p w14:paraId="2B530109">
            <w:pPr>
              <w:ind w:firstLine="482"/>
              <w:rPr>
                <w:b/>
                <w:bCs/>
                <w:color w:val="auto"/>
                <w:highlight w:val="none"/>
              </w:rPr>
            </w:pPr>
            <w:r>
              <w:rPr>
                <w:rFonts w:hint="eastAsia"/>
                <w:b/>
                <w:bCs/>
                <w:color w:val="auto"/>
                <w:highlight w:val="none"/>
                <w:lang w:val="en-US" w:eastAsia="zh-CN"/>
              </w:rPr>
              <w:t>7</w:t>
            </w:r>
            <w:r>
              <w:rPr>
                <w:rFonts w:hint="eastAsia"/>
                <w:b/>
                <w:bCs/>
                <w:color w:val="auto"/>
                <w:highlight w:val="none"/>
              </w:rPr>
              <w:t>）</w:t>
            </w:r>
            <w:r>
              <w:rPr>
                <w:b/>
                <w:bCs/>
                <w:color w:val="auto"/>
                <w:highlight w:val="none"/>
              </w:rPr>
              <w:t>服务期满影响分析</w:t>
            </w:r>
          </w:p>
          <w:p w14:paraId="349C37A6">
            <w:pPr>
              <w:ind w:firstLine="480"/>
              <w:rPr>
                <w:color w:val="auto"/>
                <w:szCs w:val="21"/>
                <w:highlight w:val="none"/>
              </w:rPr>
            </w:pPr>
            <w:r>
              <w:rPr>
                <w:color w:val="auto"/>
                <w:szCs w:val="21"/>
                <w:highlight w:val="none"/>
              </w:rPr>
              <w:t>矿山露天开采对</w:t>
            </w:r>
            <w:r>
              <w:rPr>
                <w:rFonts w:hint="eastAsia"/>
                <w:color w:val="auto"/>
                <w:szCs w:val="21"/>
                <w:highlight w:val="none"/>
              </w:rPr>
              <w:t>区域</w:t>
            </w:r>
            <w:r>
              <w:rPr>
                <w:color w:val="auto"/>
                <w:szCs w:val="21"/>
                <w:highlight w:val="none"/>
              </w:rPr>
              <w:t>环境造成不同程度的影响，矿山</w:t>
            </w:r>
            <w:r>
              <w:rPr>
                <w:rFonts w:hint="eastAsia"/>
                <w:color w:val="auto"/>
                <w:szCs w:val="21"/>
                <w:highlight w:val="none"/>
              </w:rPr>
              <w:t>服务服务期满</w:t>
            </w:r>
            <w:r>
              <w:rPr>
                <w:color w:val="auto"/>
                <w:szCs w:val="21"/>
                <w:highlight w:val="none"/>
              </w:rPr>
              <w:t>时，若不进行有效的管理和治理，将会加剧和形成一些环境问题，主要有：</w:t>
            </w:r>
          </w:p>
          <w:p w14:paraId="5963D68D">
            <w:pPr>
              <w:ind w:firstLine="480"/>
              <w:rPr>
                <w:color w:val="auto"/>
                <w:szCs w:val="21"/>
                <w:highlight w:val="none"/>
              </w:rPr>
            </w:pPr>
            <w:r>
              <w:rPr>
                <w:color w:val="auto"/>
                <w:szCs w:val="21"/>
                <w:highlight w:val="none"/>
              </w:rPr>
              <w:t>（1）由于采矿活动对岩石的稳定性造成一定的影响，局部地段可能会发生小型边坡崩滑等地质灾害以及采矿活动易造成地表开裂。</w:t>
            </w:r>
          </w:p>
          <w:p w14:paraId="496E970A">
            <w:pPr>
              <w:ind w:firstLine="480"/>
              <w:rPr>
                <w:color w:val="auto"/>
                <w:szCs w:val="21"/>
                <w:highlight w:val="none"/>
              </w:rPr>
            </w:pPr>
            <w:r>
              <w:rPr>
                <w:color w:val="auto"/>
                <w:szCs w:val="21"/>
                <w:highlight w:val="none"/>
              </w:rPr>
              <w:t>（2）采场裸露，地表疏松，在地表径流和降雨影响下，易形成水土流失，且水土流失程度较开采前大大加重。</w:t>
            </w:r>
          </w:p>
          <w:p w14:paraId="1418590F">
            <w:pPr>
              <w:ind w:firstLine="480"/>
              <w:rPr>
                <w:color w:val="auto"/>
                <w:szCs w:val="21"/>
                <w:highlight w:val="none"/>
              </w:rPr>
            </w:pPr>
            <w:r>
              <w:rPr>
                <w:color w:val="auto"/>
                <w:szCs w:val="21"/>
                <w:highlight w:val="none"/>
              </w:rPr>
              <w:t>环评要求矿山服务期满后，建设方按照矿山地质环境保护与土地复垦方案进行复垦，并严格落实水土保持方案报告书中提出的水保措施，对露天采区采用工程及植物措施进行复垦，恢复地貌及植被。</w:t>
            </w:r>
          </w:p>
          <w:p w14:paraId="39715093">
            <w:pPr>
              <w:ind w:firstLine="482"/>
              <w:rPr>
                <w:b/>
                <w:bCs/>
                <w:color w:val="auto"/>
                <w:highlight w:val="none"/>
              </w:rPr>
            </w:pPr>
            <w:r>
              <w:rPr>
                <w:rFonts w:hint="eastAsia"/>
                <w:b/>
                <w:bCs/>
                <w:color w:val="auto"/>
                <w:highlight w:val="none"/>
              </w:rPr>
              <w:t>七</w:t>
            </w:r>
            <w:r>
              <w:rPr>
                <w:b/>
                <w:bCs/>
                <w:color w:val="auto"/>
                <w:highlight w:val="none"/>
              </w:rPr>
              <w:t>、地下水环境影响分析</w:t>
            </w:r>
          </w:p>
          <w:p w14:paraId="58582E33">
            <w:pPr>
              <w:ind w:firstLine="480"/>
              <w:rPr>
                <w:color w:val="auto"/>
                <w:highlight w:val="none"/>
              </w:rPr>
            </w:pPr>
            <w:r>
              <w:rPr>
                <w:color w:val="auto"/>
                <w:highlight w:val="none"/>
              </w:rPr>
              <w:t>该项目污染物进入地下水的</w:t>
            </w:r>
            <w:r>
              <w:rPr>
                <w:rFonts w:hint="eastAsia"/>
                <w:color w:val="auto"/>
                <w:highlight w:val="none"/>
              </w:rPr>
              <w:t>途径</w:t>
            </w:r>
            <w:r>
              <w:rPr>
                <w:color w:val="auto"/>
                <w:highlight w:val="none"/>
              </w:rPr>
              <w:t>主要是由降雨、机械设备柴油跑、冒、滴、漏等通过垂直渗透进入包气带，进入包气带的污染物在物理、化学和生物作用下经吸附、转化、迁移和分解后输入地下水。</w:t>
            </w:r>
          </w:p>
          <w:p w14:paraId="0A586AE5">
            <w:pPr>
              <w:ind w:firstLine="480"/>
              <w:rPr>
                <w:color w:val="auto"/>
                <w:highlight w:val="none"/>
              </w:rPr>
            </w:pPr>
            <w:r>
              <w:rPr>
                <w:color w:val="auto"/>
                <w:highlight w:val="none"/>
              </w:rPr>
              <w:t>根据项目所处区域的地质情况，项目可能对地下水造成污染的</w:t>
            </w:r>
            <w:r>
              <w:rPr>
                <w:rFonts w:hint="eastAsia"/>
                <w:color w:val="auto"/>
                <w:highlight w:val="none"/>
              </w:rPr>
              <w:t>途径</w:t>
            </w:r>
            <w:r>
              <w:rPr>
                <w:color w:val="auto"/>
                <w:highlight w:val="none"/>
              </w:rPr>
              <w:t>主要有：机械设备柴油跑、冒、滴、漏等对地下水造成的污染。</w:t>
            </w:r>
          </w:p>
          <w:p w14:paraId="19DEE1DE">
            <w:pPr>
              <w:ind w:firstLine="480"/>
              <w:rPr>
                <w:color w:val="auto"/>
                <w:highlight w:val="none"/>
              </w:rPr>
            </w:pPr>
            <w:r>
              <w:rPr>
                <w:color w:val="auto"/>
                <w:highlight w:val="none"/>
              </w:rPr>
              <w:t>机械设备柴油跑、冒、滴、漏等泄漏量较小且发生概率较小，对项目区地下水环境影响较小。</w:t>
            </w:r>
          </w:p>
          <w:p w14:paraId="14425A1A">
            <w:pPr>
              <w:ind w:firstLine="480"/>
              <w:rPr>
                <w:color w:val="auto"/>
                <w:highlight w:val="none"/>
              </w:rPr>
            </w:pPr>
            <w:r>
              <w:rPr>
                <w:color w:val="auto"/>
                <w:highlight w:val="none"/>
              </w:rPr>
              <w:t>综上所述，在采取上述防渗处理措施后，项目对地下水基本不会造成明显影响。</w:t>
            </w:r>
          </w:p>
          <w:p w14:paraId="5EA83EC5">
            <w:pPr>
              <w:ind w:firstLine="482"/>
              <w:rPr>
                <w:b/>
                <w:bCs/>
                <w:color w:val="auto"/>
                <w:highlight w:val="none"/>
              </w:rPr>
            </w:pPr>
            <w:r>
              <w:rPr>
                <w:rFonts w:hint="eastAsia"/>
                <w:b/>
                <w:bCs/>
                <w:color w:val="auto"/>
                <w:highlight w:val="none"/>
              </w:rPr>
              <w:t>八</w:t>
            </w:r>
            <w:r>
              <w:rPr>
                <w:b/>
                <w:bCs/>
                <w:color w:val="auto"/>
                <w:highlight w:val="none"/>
              </w:rPr>
              <w:t>、土壤环境影响分析</w:t>
            </w:r>
          </w:p>
          <w:p w14:paraId="746EA0E8">
            <w:pPr>
              <w:ind w:firstLine="480"/>
              <w:rPr>
                <w:color w:val="auto"/>
                <w:highlight w:val="none"/>
              </w:rPr>
            </w:pPr>
            <w:r>
              <w:rPr>
                <w:color w:val="auto"/>
                <w:highlight w:val="none"/>
              </w:rPr>
              <w:t>矿山开采后基本不会引起土壤盐化、酸化、碱化等生态影响，本项目属于</w:t>
            </w:r>
            <w:r>
              <w:rPr>
                <w:rFonts w:hint="eastAsia"/>
                <w:color w:val="auto"/>
                <w:highlight w:val="none"/>
              </w:rPr>
              <w:t>生态</w:t>
            </w:r>
            <w:r>
              <w:rPr>
                <w:color w:val="auto"/>
                <w:highlight w:val="none"/>
              </w:rPr>
              <w:t>影响型项目。</w:t>
            </w:r>
            <w:r>
              <w:rPr>
                <w:bCs/>
                <w:color w:val="auto"/>
                <w:szCs w:val="25"/>
                <w:highlight w:val="none"/>
              </w:rPr>
              <w:t>根据《环境影响评价技术导则</w:t>
            </w:r>
            <w:r>
              <w:rPr>
                <w:rFonts w:hint="eastAsia"/>
                <w:bCs/>
                <w:color w:val="auto"/>
                <w:szCs w:val="25"/>
                <w:highlight w:val="none"/>
              </w:rPr>
              <w:t xml:space="preserve">  </w:t>
            </w:r>
            <w:r>
              <w:rPr>
                <w:bCs/>
                <w:color w:val="auto"/>
                <w:szCs w:val="25"/>
                <w:highlight w:val="none"/>
              </w:rPr>
              <w:t>土壤环境》（HJ964-2018）附录A.1，本项目属于</w:t>
            </w:r>
            <w:r>
              <w:rPr>
                <w:rFonts w:hint="eastAsia"/>
                <w:bCs/>
                <w:color w:val="auto"/>
                <w:szCs w:val="25"/>
                <w:highlight w:val="none"/>
              </w:rPr>
              <w:t>“</w:t>
            </w:r>
            <w:r>
              <w:rPr>
                <w:bCs/>
                <w:color w:val="auto"/>
                <w:szCs w:val="25"/>
                <w:highlight w:val="none"/>
              </w:rPr>
              <w:t>采矿业</w:t>
            </w:r>
            <w:r>
              <w:rPr>
                <w:rFonts w:hint="eastAsia"/>
                <w:bCs/>
                <w:color w:val="auto"/>
                <w:szCs w:val="25"/>
                <w:highlight w:val="none"/>
              </w:rPr>
              <w:t>”</w:t>
            </w:r>
            <w:r>
              <w:rPr>
                <w:bCs/>
                <w:color w:val="auto"/>
                <w:szCs w:val="25"/>
                <w:highlight w:val="none"/>
              </w:rPr>
              <w:t>中</w:t>
            </w:r>
            <w:r>
              <w:rPr>
                <w:rFonts w:hint="eastAsia"/>
                <w:bCs/>
                <w:color w:val="auto"/>
                <w:szCs w:val="25"/>
                <w:highlight w:val="none"/>
              </w:rPr>
              <w:t>“</w:t>
            </w:r>
            <w:r>
              <w:rPr>
                <w:bCs/>
                <w:color w:val="auto"/>
                <w:szCs w:val="25"/>
                <w:highlight w:val="none"/>
              </w:rPr>
              <w:t>其他类</w:t>
            </w:r>
            <w:r>
              <w:rPr>
                <w:rFonts w:hint="eastAsia"/>
                <w:bCs/>
                <w:color w:val="auto"/>
                <w:szCs w:val="25"/>
                <w:highlight w:val="none"/>
              </w:rPr>
              <w:t>”</w:t>
            </w:r>
            <w:r>
              <w:rPr>
                <w:bCs/>
                <w:color w:val="auto"/>
                <w:szCs w:val="25"/>
                <w:highlight w:val="none"/>
              </w:rPr>
              <w:t>属于III类建设项目，</w:t>
            </w:r>
            <w:r>
              <w:rPr>
                <w:rFonts w:hint="eastAsia"/>
                <w:color w:val="auto"/>
                <w:kern w:val="0"/>
                <w:szCs w:val="24"/>
                <w:highlight w:val="none"/>
                <w:lang w:bidi="ar"/>
              </w:rPr>
              <w:t>对照</w:t>
            </w:r>
            <w:r>
              <w:rPr>
                <w:bCs/>
                <w:color w:val="auto"/>
                <w:szCs w:val="25"/>
                <w:highlight w:val="none"/>
              </w:rPr>
              <w:t>HJ964-2018</w:t>
            </w:r>
            <w:r>
              <w:rPr>
                <w:rFonts w:hint="eastAsia"/>
                <w:bCs/>
                <w:color w:val="auto"/>
                <w:szCs w:val="25"/>
                <w:highlight w:val="none"/>
              </w:rPr>
              <w:t>表1，参考本次评价</w:t>
            </w:r>
            <w:r>
              <w:rPr>
                <w:rFonts w:hint="eastAsia"/>
                <w:color w:val="auto"/>
                <w:kern w:val="0"/>
                <w:szCs w:val="24"/>
                <w:highlight w:val="none"/>
                <w:lang w:bidi="ar"/>
              </w:rPr>
              <w:t>引用的云南诚淇科技有限公司塑料制品生产线建设项目环境质量现状检测报告中土壤pH监测结果（pH=6.82），判定区域土壤环境敏感程度属于不敏感</w:t>
            </w:r>
            <w:r>
              <w:rPr>
                <w:color w:val="auto"/>
                <w:highlight w:val="none"/>
              </w:rPr>
              <w:t>。根据</w:t>
            </w:r>
            <w:r>
              <w:rPr>
                <w:bCs/>
                <w:color w:val="auto"/>
                <w:szCs w:val="25"/>
                <w:highlight w:val="none"/>
              </w:rPr>
              <w:t>HJ964-2018</w:t>
            </w:r>
            <w:r>
              <w:rPr>
                <w:rFonts w:hint="eastAsia"/>
                <w:bCs/>
                <w:color w:val="auto"/>
                <w:szCs w:val="25"/>
                <w:highlight w:val="none"/>
              </w:rPr>
              <w:t>表1</w:t>
            </w:r>
            <w:r>
              <w:rPr>
                <w:rFonts w:hint="eastAsia"/>
                <w:color w:val="auto"/>
                <w:highlight w:val="none"/>
              </w:rPr>
              <w:t>生态</w:t>
            </w:r>
            <w:r>
              <w:rPr>
                <w:color w:val="auto"/>
                <w:highlight w:val="none"/>
              </w:rPr>
              <w:t>影响型评价工作等级划分表，本项目可不开展土壤环境影响评价工作。</w:t>
            </w:r>
          </w:p>
          <w:p w14:paraId="784A5CCF">
            <w:pPr>
              <w:ind w:firstLine="480"/>
              <w:rPr>
                <w:color w:val="auto"/>
                <w:highlight w:val="none"/>
              </w:rPr>
            </w:pPr>
            <w:r>
              <w:rPr>
                <w:color w:val="auto"/>
                <w:highlight w:val="none"/>
              </w:rPr>
              <w:t>本项目对土壤的影响进行简单分析，其对土壤的影响主要表</w:t>
            </w:r>
            <w:r>
              <w:rPr>
                <w:rFonts w:hint="eastAsia"/>
                <w:color w:val="auto"/>
                <w:highlight w:val="none"/>
              </w:rPr>
              <w:t>现在</w:t>
            </w:r>
            <w:r>
              <w:rPr>
                <w:color w:val="auto"/>
                <w:highlight w:val="none"/>
              </w:rPr>
              <w:t>运营期排放的污染物对土壤质地性状的影响。本项目产生的污染物若处理不当，也会对土壤环境产生影响，包括项目生产产生的粉尘等。这些污染物一旦进入土壤环境，会对土壤质地性状的影响，特别是一些</w:t>
            </w:r>
            <w:r>
              <w:rPr>
                <w:rFonts w:hint="eastAsia"/>
                <w:color w:val="auto"/>
                <w:highlight w:val="none"/>
              </w:rPr>
              <w:t>难以</w:t>
            </w:r>
            <w:r>
              <w:rPr>
                <w:color w:val="auto"/>
                <w:highlight w:val="none"/>
              </w:rPr>
              <w:t>分解的固体废物被埋入土壤中会长期残留，影响土壤和植物生长。</w:t>
            </w:r>
          </w:p>
          <w:p w14:paraId="563E0631">
            <w:pPr>
              <w:ind w:firstLine="482"/>
              <w:rPr>
                <w:b/>
                <w:bCs/>
                <w:color w:val="auto"/>
                <w:highlight w:val="none"/>
              </w:rPr>
            </w:pPr>
            <w:r>
              <w:rPr>
                <w:b/>
                <w:bCs/>
                <w:color w:val="auto"/>
                <w:highlight w:val="none"/>
              </w:rPr>
              <w:t>（1）淋溶水对土壤环境影响分析</w:t>
            </w:r>
          </w:p>
          <w:p w14:paraId="08AD21B1">
            <w:pPr>
              <w:ind w:firstLine="480"/>
              <w:rPr>
                <w:color w:val="auto"/>
                <w:highlight w:val="none"/>
              </w:rPr>
            </w:pPr>
            <w:r>
              <w:rPr>
                <w:color w:val="auto"/>
                <w:highlight w:val="none"/>
              </w:rPr>
              <w:t>收集的初期雨水主要污染物为SS。由于场区内采取相关防渗措施，正常情况下不会下渗进入土壤，场区初期雨水对土壤环境影响较小。</w:t>
            </w:r>
          </w:p>
          <w:p w14:paraId="0F869E81">
            <w:pPr>
              <w:ind w:firstLine="482"/>
              <w:rPr>
                <w:b/>
                <w:bCs/>
                <w:color w:val="auto"/>
                <w:highlight w:val="none"/>
              </w:rPr>
            </w:pPr>
            <w:r>
              <w:rPr>
                <w:b/>
                <w:bCs/>
                <w:color w:val="auto"/>
                <w:highlight w:val="none"/>
              </w:rPr>
              <w:t>（2）项目产生的粉尘对土壤环境影响分析</w:t>
            </w:r>
          </w:p>
          <w:p w14:paraId="4A04F962">
            <w:pPr>
              <w:ind w:firstLine="480"/>
              <w:rPr>
                <w:color w:val="auto"/>
                <w:highlight w:val="none"/>
              </w:rPr>
            </w:pPr>
            <w:r>
              <w:rPr>
                <w:color w:val="auto"/>
                <w:highlight w:val="none"/>
              </w:rPr>
              <w:t>本项目在营运期间，会有粉尘产生。这些扬尘、粉尘通过大气扩散，在降水和重力作用降落至地面，经淋溶，地面径流部分渗透进入土壤。根据漂洗原理，将厂区地面上的污染物基本带走，进入</w:t>
            </w:r>
            <w:r>
              <w:rPr>
                <w:rFonts w:hint="eastAsia"/>
                <w:color w:val="auto"/>
                <w:highlight w:val="none"/>
                <w:lang w:eastAsia="zh-CN"/>
              </w:rPr>
              <w:t>沉砂池</w:t>
            </w:r>
            <w:r>
              <w:rPr>
                <w:color w:val="auto"/>
                <w:highlight w:val="none"/>
              </w:rPr>
              <w:t>，不会下渗进入土壤。因此，项目生产产生的粉尘对当地土壤环境影响较小。</w:t>
            </w:r>
          </w:p>
          <w:p w14:paraId="6E2BE50C">
            <w:pPr>
              <w:ind w:firstLine="480"/>
              <w:rPr>
                <w:color w:val="auto"/>
                <w:highlight w:val="none"/>
              </w:rPr>
            </w:pPr>
            <w:r>
              <w:rPr>
                <w:color w:val="auto"/>
                <w:highlight w:val="none"/>
              </w:rPr>
              <w:t>通过采取本次环评提出的土壤环境防控措施，本项目生产建设对周围土壤环境影响较小，项目建设是可行的。</w:t>
            </w:r>
          </w:p>
          <w:p w14:paraId="410D2690">
            <w:pPr>
              <w:ind w:firstLine="482"/>
              <w:rPr>
                <w:b/>
                <w:bCs/>
                <w:color w:val="auto"/>
                <w:highlight w:val="none"/>
              </w:rPr>
            </w:pPr>
            <w:r>
              <w:rPr>
                <w:b/>
                <w:bCs/>
                <w:color w:val="auto"/>
                <w:highlight w:val="none"/>
              </w:rPr>
              <w:t>10、环境风险分析</w:t>
            </w:r>
          </w:p>
          <w:p w14:paraId="5F8F5E9E">
            <w:pPr>
              <w:ind w:firstLine="482"/>
              <w:rPr>
                <w:b/>
                <w:bCs/>
                <w:color w:val="auto"/>
                <w:highlight w:val="none"/>
              </w:rPr>
            </w:pPr>
            <w:r>
              <w:rPr>
                <w:b/>
                <w:bCs/>
                <w:color w:val="auto"/>
                <w:highlight w:val="none"/>
              </w:rPr>
              <w:t>（1）环境风险识别</w:t>
            </w:r>
          </w:p>
          <w:p w14:paraId="69E7BCBD">
            <w:pPr>
              <w:spacing w:line="360" w:lineRule="auto"/>
              <w:ind w:firstLine="480" w:firstLineChars="20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项目</w:t>
            </w:r>
            <w:r>
              <w:rPr>
                <w:rFonts w:hint="eastAsia" w:ascii="Times New Roman" w:hAnsi="Times New Roman" w:eastAsia="宋体" w:cs="Times New Roman"/>
                <w:color w:val="auto"/>
                <w:highlight w:val="none"/>
              </w:rPr>
              <w:t>生产过程中车辆及机械设备（</w:t>
            </w:r>
            <w:r>
              <w:rPr>
                <w:rFonts w:hint="eastAsia" w:ascii="Times New Roman" w:hAnsi="Times New Roman" w:eastAsia="宋体" w:cs="Times New Roman"/>
                <w:color w:val="auto"/>
                <w:highlight w:val="none"/>
                <w:lang w:val="en-US" w:eastAsia="zh-CN"/>
              </w:rPr>
              <w:t>挖掘机、</w:t>
            </w:r>
            <w:r>
              <w:rPr>
                <w:rFonts w:hint="eastAsia" w:ascii="Times New Roman" w:hAnsi="Times New Roman" w:eastAsia="宋体" w:cs="Times New Roman"/>
                <w:color w:val="auto"/>
                <w:highlight w:val="none"/>
              </w:rPr>
              <w:t>装载机、运输汽车）使用的柴油</w:t>
            </w:r>
            <w:r>
              <w:rPr>
                <w:rFonts w:hint="eastAsia" w:ascii="Times New Roman" w:hAnsi="Times New Roman" w:eastAsia="宋体" w:cs="Times New Roman"/>
                <w:color w:val="auto"/>
                <w:highlight w:val="none"/>
                <w:lang w:val="en-US" w:eastAsia="zh-CN"/>
              </w:rPr>
              <w:t>由附近加油站供给，本项目区不设置固定储油罐。</w:t>
            </w:r>
            <w:r>
              <w:rPr>
                <w:rFonts w:hint="eastAsia" w:ascii="Times New Roman" w:hAnsi="Times New Roman" w:eastAsia="宋体" w:cs="Times New Roman"/>
                <w:color w:val="auto"/>
                <w:highlight w:val="none"/>
              </w:rPr>
              <w:t>根据项目原辅料情况，经查《建设项目环境风险评价技术导则》（HJ169-2018）附录B，建设项目所涉及的危险化学品主要为</w:t>
            </w:r>
            <w:r>
              <w:rPr>
                <w:rFonts w:hint="eastAsia" w:ascii="Times New Roman" w:hAnsi="Times New Roman" w:eastAsia="宋体" w:cs="Times New Roman"/>
                <w:color w:val="auto"/>
                <w:highlight w:val="none"/>
                <w:lang w:val="en-US" w:eastAsia="zh-CN"/>
              </w:rPr>
              <w:t>废机油</w:t>
            </w:r>
            <w:r>
              <w:rPr>
                <w:rFonts w:hint="eastAsia" w:cs="Times New Roman"/>
                <w:color w:val="auto"/>
                <w:highlight w:val="none"/>
                <w:lang w:eastAsia="zh-CN"/>
              </w:rPr>
              <w:t>（900-214-08）</w:t>
            </w:r>
            <w:r>
              <w:rPr>
                <w:rFonts w:hint="eastAsia" w:ascii="Times New Roman" w:hAnsi="Times New Roman" w:eastAsia="宋体" w:cs="Times New Roman"/>
                <w:color w:val="auto"/>
                <w:highlight w:val="none"/>
              </w:rPr>
              <w:t>，</w:t>
            </w:r>
            <w:r>
              <w:rPr>
                <w:rFonts w:hint="default" w:ascii="Times New Roman" w:hAnsi="Times New Roman" w:eastAsia="宋体" w:cs="Times New Roman"/>
                <w:color w:val="auto"/>
                <w:highlight w:val="none"/>
              </w:rPr>
              <w:t>产生量为0.</w:t>
            </w:r>
            <w:r>
              <w:rPr>
                <w:rFonts w:hint="eastAsia" w:cs="Times New Roman"/>
                <w:color w:val="auto"/>
                <w:highlight w:val="none"/>
                <w:lang w:val="en-US" w:eastAsia="zh-CN"/>
              </w:rPr>
              <w:t>2</w:t>
            </w:r>
            <w:r>
              <w:rPr>
                <w:rFonts w:hint="default" w:ascii="Times New Roman" w:hAnsi="Times New Roman" w:eastAsia="宋体" w:cs="Times New Roman"/>
                <w:color w:val="auto"/>
                <w:highlight w:val="none"/>
              </w:rPr>
              <w:t>t/a，暂存于危废暂存间</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占地面积5m</w:t>
            </w:r>
            <w:r>
              <w:rPr>
                <w:rFonts w:hint="eastAsia" w:ascii="Times New Roman" w:hAnsi="Times New Roman" w:eastAsia="宋体" w:cs="Times New Roman"/>
                <w:color w:val="auto"/>
                <w:highlight w:val="none"/>
                <w:vertAlign w:val="superscript"/>
                <w:lang w:val="en-US" w:eastAsia="zh-CN"/>
              </w:rPr>
              <w:t>2</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w:t>
            </w:r>
            <w:r>
              <w:rPr>
                <w:rFonts w:hint="default" w:ascii="Times New Roman" w:hAnsi="Times New Roman" w:eastAsia="宋体" w:cs="Times New Roman"/>
                <w:color w:val="auto"/>
                <w:highlight w:val="none"/>
              </w:rPr>
              <w:t>对照《建设项目环境风险评价技术导则》（HJ/T169-2018）附录B及《危险化学品重大危险源辨识》（GB18218-2018），本项目涉及的危险物质及其Q值见下表。</w:t>
            </w:r>
          </w:p>
          <w:p w14:paraId="48573C00">
            <w:pPr>
              <w:pStyle w:val="55"/>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b/>
                <w:bCs w:val="0"/>
                <w:color w:val="auto"/>
                <w:highlight w:val="none"/>
              </w:rPr>
            </w:pPr>
            <w:r>
              <w:rPr>
                <w:rFonts w:hint="default" w:ascii="Times New Roman" w:hAnsi="Times New Roman" w:cs="Times New Roman"/>
                <w:b/>
                <w:bCs w:val="0"/>
                <w:color w:val="auto"/>
                <w:highlight w:val="none"/>
              </w:rPr>
              <w:t>表4-1</w:t>
            </w:r>
            <w:r>
              <w:rPr>
                <w:rFonts w:hint="eastAsia" w:ascii="Times New Roman" w:hAnsi="Times New Roman" w:cs="Times New Roman"/>
                <w:b/>
                <w:bCs w:val="0"/>
                <w:color w:val="auto"/>
                <w:highlight w:val="none"/>
                <w:lang w:val="en-US" w:eastAsia="zh-CN"/>
              </w:rPr>
              <w:t xml:space="preserve">3  </w:t>
            </w:r>
            <w:r>
              <w:rPr>
                <w:rFonts w:hint="default" w:ascii="Times New Roman" w:hAnsi="Times New Roman" w:cs="Times New Roman"/>
                <w:b/>
                <w:bCs w:val="0"/>
                <w:color w:val="auto"/>
                <w:highlight w:val="none"/>
              </w:rPr>
              <w:t>主要危险物质及Q值确定表</w:t>
            </w:r>
          </w:p>
          <w:tbl>
            <w:tblPr>
              <w:tblStyle w:val="30"/>
              <w:tblW w:w="7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1263"/>
              <w:gridCol w:w="1306"/>
              <w:gridCol w:w="1546"/>
              <w:gridCol w:w="1028"/>
              <w:gridCol w:w="1640"/>
            </w:tblGrid>
            <w:tr w14:paraId="7A046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noWrap w:val="0"/>
                  <w:vAlign w:val="center"/>
                </w:tcPr>
                <w:p w14:paraId="50524BF2">
                  <w:pPr>
                    <w:pStyle w:val="54"/>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序号</w:t>
                  </w:r>
                </w:p>
              </w:tc>
              <w:tc>
                <w:tcPr>
                  <w:tcW w:w="854" w:type="pct"/>
                  <w:noWrap w:val="0"/>
                  <w:vAlign w:val="center"/>
                </w:tcPr>
                <w:p w14:paraId="5D204665">
                  <w:pPr>
                    <w:pStyle w:val="54"/>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危险物质名称</w:t>
                  </w:r>
                </w:p>
              </w:tc>
              <w:tc>
                <w:tcPr>
                  <w:tcW w:w="883" w:type="pct"/>
                  <w:noWrap w:val="0"/>
                  <w:vAlign w:val="center"/>
                </w:tcPr>
                <w:p w14:paraId="3394C93A">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kern w:val="0"/>
                      <w:sz w:val="21"/>
                      <w:szCs w:val="21"/>
                      <w:highlight w:val="none"/>
                      <w:lang w:bidi="ar"/>
                    </w:rPr>
                    <w:t>储存位置</w:t>
                  </w:r>
                </w:p>
              </w:tc>
              <w:tc>
                <w:tcPr>
                  <w:tcW w:w="1045" w:type="pct"/>
                  <w:noWrap w:val="0"/>
                  <w:vAlign w:val="center"/>
                </w:tcPr>
                <w:p w14:paraId="41EB0D06">
                  <w:pPr>
                    <w:pStyle w:val="54"/>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最大存在总量qn/t</w:t>
                  </w:r>
                </w:p>
              </w:tc>
              <w:tc>
                <w:tcPr>
                  <w:tcW w:w="695" w:type="pct"/>
                  <w:noWrap w:val="0"/>
                  <w:vAlign w:val="center"/>
                </w:tcPr>
                <w:p w14:paraId="11386A78">
                  <w:pPr>
                    <w:pStyle w:val="54"/>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临界量Qn/t</w:t>
                  </w:r>
                </w:p>
              </w:tc>
              <w:tc>
                <w:tcPr>
                  <w:tcW w:w="1109" w:type="pct"/>
                  <w:noWrap w:val="0"/>
                  <w:vAlign w:val="center"/>
                </w:tcPr>
                <w:p w14:paraId="6D8741A6">
                  <w:pPr>
                    <w:pStyle w:val="54"/>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b/>
                      <w:bCs w:val="0"/>
                      <w:color w:val="auto"/>
                      <w:sz w:val="21"/>
                      <w:szCs w:val="21"/>
                      <w:highlight w:val="none"/>
                    </w:rPr>
                  </w:pPr>
                  <w:r>
                    <w:rPr>
                      <w:rFonts w:hint="default" w:ascii="Times New Roman" w:hAnsi="Times New Roman" w:cs="Times New Roman"/>
                      <w:b/>
                      <w:bCs w:val="0"/>
                      <w:color w:val="auto"/>
                      <w:sz w:val="21"/>
                      <w:szCs w:val="21"/>
                      <w:highlight w:val="none"/>
                    </w:rPr>
                    <w:t>该种危险物质Q值</w:t>
                  </w:r>
                </w:p>
              </w:tc>
            </w:tr>
            <w:tr w14:paraId="480E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412" w:type="pct"/>
                  <w:noWrap w:val="0"/>
                  <w:vAlign w:val="center"/>
                </w:tcPr>
                <w:p w14:paraId="340E0307">
                  <w:pPr>
                    <w:pStyle w:val="54"/>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b w:val="0"/>
                      <w:bCs/>
                      <w:color w:val="auto"/>
                      <w:sz w:val="21"/>
                      <w:szCs w:val="21"/>
                      <w:highlight w:val="none"/>
                    </w:rPr>
                  </w:pPr>
                  <w:r>
                    <w:rPr>
                      <w:rFonts w:hint="default" w:ascii="Times New Roman" w:hAnsi="Times New Roman" w:cs="Times New Roman"/>
                      <w:b w:val="0"/>
                      <w:bCs/>
                      <w:color w:val="auto"/>
                      <w:sz w:val="21"/>
                      <w:szCs w:val="21"/>
                      <w:highlight w:val="none"/>
                    </w:rPr>
                    <w:t>1</w:t>
                  </w:r>
                </w:p>
              </w:tc>
              <w:tc>
                <w:tcPr>
                  <w:tcW w:w="854" w:type="pct"/>
                  <w:noWrap w:val="0"/>
                  <w:vAlign w:val="center"/>
                </w:tcPr>
                <w:p w14:paraId="4AEBE3D3">
                  <w:pPr>
                    <w:pStyle w:val="54"/>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b w:val="0"/>
                      <w:bCs/>
                      <w:color w:val="auto"/>
                      <w:sz w:val="21"/>
                      <w:szCs w:val="21"/>
                      <w:highlight w:val="none"/>
                    </w:rPr>
                  </w:pPr>
                  <w:r>
                    <w:rPr>
                      <w:rFonts w:hint="default" w:ascii="Times New Roman" w:hAnsi="Times New Roman" w:cs="Times New Roman"/>
                      <w:b w:val="0"/>
                      <w:bCs/>
                      <w:color w:val="auto"/>
                      <w:sz w:val="21"/>
                      <w:szCs w:val="21"/>
                      <w:highlight w:val="none"/>
                    </w:rPr>
                    <w:t>废</w:t>
                  </w:r>
                  <w:r>
                    <w:rPr>
                      <w:rFonts w:hint="eastAsia" w:ascii="Times New Roman" w:hAnsi="Times New Roman" w:cs="Times New Roman"/>
                      <w:b w:val="0"/>
                      <w:bCs/>
                      <w:color w:val="auto"/>
                      <w:sz w:val="21"/>
                      <w:szCs w:val="21"/>
                      <w:highlight w:val="none"/>
                      <w:lang w:val="en-US" w:eastAsia="zh-CN"/>
                    </w:rPr>
                    <w:t>机油</w:t>
                  </w:r>
                </w:p>
              </w:tc>
              <w:tc>
                <w:tcPr>
                  <w:tcW w:w="883" w:type="pct"/>
                  <w:noWrap w:val="0"/>
                  <w:vAlign w:val="center"/>
                </w:tcPr>
                <w:p w14:paraId="483134E1">
                  <w:pPr>
                    <w:pStyle w:val="54"/>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b w:val="0"/>
                      <w:bCs/>
                      <w:color w:val="auto"/>
                      <w:sz w:val="21"/>
                      <w:szCs w:val="21"/>
                      <w:highlight w:val="none"/>
                    </w:rPr>
                  </w:pPr>
                  <w:r>
                    <w:rPr>
                      <w:rFonts w:hint="default" w:ascii="Times New Roman" w:hAnsi="Times New Roman" w:cs="Times New Roman"/>
                      <w:b w:val="0"/>
                      <w:bCs/>
                      <w:color w:val="auto"/>
                      <w:sz w:val="21"/>
                      <w:szCs w:val="21"/>
                      <w:highlight w:val="none"/>
                    </w:rPr>
                    <w:t>危废暂存间</w:t>
                  </w:r>
                </w:p>
              </w:tc>
              <w:tc>
                <w:tcPr>
                  <w:tcW w:w="1045" w:type="pct"/>
                  <w:noWrap w:val="0"/>
                  <w:vAlign w:val="center"/>
                </w:tcPr>
                <w:p w14:paraId="1BA77CC6">
                  <w:pPr>
                    <w:pStyle w:val="54"/>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Times New Roman" w:hAnsi="Times New Roman" w:eastAsia="宋体"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rPr>
                    <w:t>0.</w:t>
                  </w:r>
                  <w:r>
                    <w:rPr>
                      <w:rFonts w:hint="eastAsia" w:ascii="Times New Roman" w:cs="Times New Roman"/>
                      <w:b w:val="0"/>
                      <w:bCs/>
                      <w:color w:val="auto"/>
                      <w:sz w:val="21"/>
                      <w:szCs w:val="21"/>
                      <w:highlight w:val="none"/>
                      <w:lang w:val="en-US" w:eastAsia="zh-CN"/>
                    </w:rPr>
                    <w:t>2</w:t>
                  </w:r>
                </w:p>
              </w:tc>
              <w:tc>
                <w:tcPr>
                  <w:tcW w:w="695" w:type="pct"/>
                  <w:noWrap w:val="0"/>
                  <w:vAlign w:val="center"/>
                </w:tcPr>
                <w:p w14:paraId="0FF56022">
                  <w:pPr>
                    <w:pStyle w:val="54"/>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cs="Times New Roman"/>
                      <w:b w:val="0"/>
                      <w:bCs/>
                      <w:color w:val="auto"/>
                      <w:sz w:val="21"/>
                      <w:szCs w:val="21"/>
                      <w:highlight w:val="none"/>
                    </w:rPr>
                  </w:pPr>
                  <w:r>
                    <w:rPr>
                      <w:rFonts w:hint="default" w:ascii="Times New Roman" w:hAnsi="Times New Roman" w:cs="Times New Roman"/>
                      <w:b w:val="0"/>
                      <w:bCs/>
                      <w:color w:val="auto"/>
                      <w:sz w:val="21"/>
                      <w:szCs w:val="21"/>
                      <w:highlight w:val="none"/>
                    </w:rPr>
                    <w:t>2500</w:t>
                  </w:r>
                </w:p>
              </w:tc>
              <w:tc>
                <w:tcPr>
                  <w:tcW w:w="1109" w:type="pct"/>
                  <w:noWrap w:val="0"/>
                  <w:vAlign w:val="center"/>
                </w:tcPr>
                <w:p w14:paraId="24B543BA">
                  <w:pPr>
                    <w:pStyle w:val="54"/>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cs="Times New Roman"/>
                      <w:b w:val="0"/>
                      <w:bCs/>
                      <w:color w:val="auto"/>
                      <w:sz w:val="21"/>
                      <w:szCs w:val="21"/>
                      <w:highlight w:val="none"/>
                    </w:rPr>
                    <w:t>0.000</w:t>
                  </w:r>
                  <w:r>
                    <w:rPr>
                      <w:rFonts w:hint="eastAsia" w:ascii="Times New Roman" w:hAnsi="Times New Roman" w:cs="Times New Roman"/>
                      <w:b w:val="0"/>
                      <w:bCs/>
                      <w:color w:val="auto"/>
                      <w:sz w:val="21"/>
                      <w:szCs w:val="21"/>
                      <w:highlight w:val="none"/>
                      <w:lang w:val="en-US" w:eastAsia="zh-CN"/>
                    </w:rPr>
                    <w:t>0</w:t>
                  </w:r>
                  <w:r>
                    <w:rPr>
                      <w:rFonts w:hint="eastAsia" w:ascii="Times New Roman" w:cs="Times New Roman"/>
                      <w:b w:val="0"/>
                      <w:bCs/>
                      <w:color w:val="auto"/>
                      <w:sz w:val="21"/>
                      <w:szCs w:val="21"/>
                      <w:highlight w:val="none"/>
                      <w:lang w:val="en-US" w:eastAsia="zh-CN"/>
                    </w:rPr>
                    <w:t>8</w:t>
                  </w:r>
                </w:p>
              </w:tc>
            </w:tr>
          </w:tbl>
          <w:p w14:paraId="04A6E9EB">
            <w:pPr>
              <w:spacing w:line="360" w:lineRule="auto"/>
              <w:ind w:firstLine="480"/>
              <w:rPr>
                <w:color w:val="auto"/>
                <w:highlight w:val="none"/>
              </w:rPr>
            </w:pPr>
            <w:r>
              <w:rPr>
                <w:color w:val="auto"/>
                <w:highlight w:val="none"/>
              </w:rPr>
              <w:t>危险</w:t>
            </w:r>
            <w:r>
              <w:rPr>
                <w:rFonts w:ascii="Times New Roman" w:hAnsi="Times New Roman" w:eastAsia="宋体" w:cs="Times New Roman"/>
                <w:color w:val="auto"/>
                <w:highlight w:val="none"/>
              </w:rPr>
              <w:t>物质数量与临界量的比值Q为</w:t>
            </w:r>
            <w:r>
              <w:rPr>
                <w:rFonts w:hint="default" w:ascii="Times New Roman" w:hAnsi="Times New Roman" w:eastAsia="宋体" w:cs="Times New Roman"/>
                <w:color w:val="auto"/>
                <w:highlight w:val="none"/>
              </w:rPr>
              <w:t>0.000</w:t>
            </w:r>
            <w:r>
              <w:rPr>
                <w:rFonts w:hint="eastAsia" w:ascii="Times New Roman" w:hAnsi="Times New Roman" w:eastAsia="宋体" w:cs="Times New Roman"/>
                <w:color w:val="auto"/>
                <w:highlight w:val="none"/>
                <w:lang w:val="en-US" w:eastAsia="zh-CN"/>
              </w:rPr>
              <w:t>0</w:t>
            </w:r>
            <w:r>
              <w:rPr>
                <w:rFonts w:hint="eastAsia" w:cs="Times New Roman"/>
                <w:color w:val="auto"/>
                <w:highlight w:val="none"/>
                <w:lang w:val="en-US" w:eastAsia="zh-CN"/>
              </w:rPr>
              <w:t>8</w:t>
            </w:r>
            <w:r>
              <w:rPr>
                <w:rFonts w:ascii="Times New Roman" w:hAnsi="Times New Roman" w:eastAsia="宋体" w:cs="Times New Roman"/>
                <w:color w:val="auto"/>
                <w:highlight w:val="none"/>
              </w:rPr>
              <w:t>＜1，项目环境风险潜势为Ⅰ，本次评价对项目</w:t>
            </w:r>
            <w:r>
              <w:rPr>
                <w:color w:val="auto"/>
                <w:highlight w:val="none"/>
              </w:rPr>
              <w:t>环境风险仅进行简单分析。</w:t>
            </w:r>
          </w:p>
          <w:p w14:paraId="68155679">
            <w:pPr>
              <w:ind w:firstLine="482"/>
              <w:rPr>
                <w:b/>
                <w:bCs/>
                <w:color w:val="auto"/>
                <w:highlight w:val="none"/>
              </w:rPr>
            </w:pPr>
            <w:r>
              <w:rPr>
                <w:b/>
                <w:bCs/>
                <w:color w:val="auto"/>
                <w:highlight w:val="none"/>
              </w:rPr>
              <w:t>（2）环境风险分析</w:t>
            </w:r>
          </w:p>
          <w:p w14:paraId="27A4A1F4">
            <w:pPr>
              <w:ind w:firstLine="480"/>
              <w:rPr>
                <w:color w:val="auto"/>
                <w:highlight w:val="none"/>
              </w:rPr>
            </w:pPr>
            <w:r>
              <w:rPr>
                <w:color w:val="auto"/>
                <w:highlight w:val="none"/>
              </w:rPr>
              <w:t>项目环</w:t>
            </w:r>
            <w:r>
              <w:rPr>
                <w:rFonts w:hint="eastAsia" w:ascii="宋体" w:hAnsi="宋体" w:cs="宋体"/>
                <w:color w:val="auto"/>
                <w:highlight w:val="none"/>
              </w:rPr>
              <w:t>境风险</w:t>
            </w:r>
            <w:r>
              <w:rPr>
                <w:rFonts w:hint="eastAsia" w:ascii="宋体" w:hAnsi="宋体" w:cs="宋体"/>
                <w:color w:val="auto"/>
                <w:highlight w:val="none"/>
                <w:lang w:val="en-US" w:eastAsia="zh-CN"/>
              </w:rPr>
              <w:t>物质为废机油，</w:t>
            </w:r>
            <w:r>
              <w:rPr>
                <w:rFonts w:hint="default" w:ascii="Times New Roman" w:hAnsi="Times New Roman" w:cs="Times New Roman"/>
                <w:color w:val="auto"/>
                <w:sz w:val="24"/>
                <w:highlight w:val="none"/>
              </w:rPr>
              <w:t>最大</w:t>
            </w:r>
            <w:r>
              <w:rPr>
                <w:rFonts w:hint="eastAsia" w:ascii="Times New Roman" w:hAnsi="Times New Roman" w:eastAsia="宋体" w:cs="Times New Roman"/>
                <w:color w:val="auto"/>
                <w:sz w:val="24"/>
                <w:highlight w:val="none"/>
                <w:lang w:val="en-US" w:eastAsia="zh-CN"/>
              </w:rPr>
              <w:t>储存</w:t>
            </w:r>
            <w:r>
              <w:rPr>
                <w:rFonts w:hint="default" w:ascii="Times New Roman" w:hAnsi="Times New Roman" w:eastAsia="宋体" w:cs="Times New Roman"/>
                <w:color w:val="auto"/>
                <w:sz w:val="24"/>
                <w:highlight w:val="none"/>
              </w:rPr>
              <w:t>总</w:t>
            </w:r>
            <w:r>
              <w:rPr>
                <w:rFonts w:hint="default" w:ascii="Times New Roman" w:hAnsi="Times New Roman" w:cs="Times New Roman"/>
                <w:color w:val="auto"/>
                <w:sz w:val="24"/>
                <w:highlight w:val="none"/>
              </w:rPr>
              <w:t>量为0.</w:t>
            </w:r>
            <w:r>
              <w:rPr>
                <w:rFonts w:hint="eastAsia"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t，暂存于危废暂存间内。项目风险类型为危险物质泄漏，若危废暂存间发生泄漏，导至油品泄漏至场地周围，对土壤造成影响，下渗地下则会污染周围地下水环境</w:t>
            </w:r>
            <w:r>
              <w:rPr>
                <w:rFonts w:hint="eastAsia" w:ascii="宋体" w:hAnsi="宋体" w:cs="宋体"/>
                <w:color w:val="auto"/>
                <w:highlight w:val="none"/>
              </w:rPr>
              <w:t>发生泄露造成的土壤环境污染</w:t>
            </w:r>
            <w:r>
              <w:rPr>
                <w:rFonts w:hint="eastAsia" w:ascii="宋体" w:hAnsi="宋体" w:cs="宋体"/>
                <w:color w:val="auto"/>
                <w:highlight w:val="none"/>
                <w:lang w:eastAsia="zh-CN"/>
              </w:rPr>
              <w:t>，</w:t>
            </w:r>
            <w:r>
              <w:rPr>
                <w:color w:val="auto"/>
                <w:highlight w:val="none"/>
              </w:rPr>
              <w:t>渗入地下水</w:t>
            </w:r>
            <w:r>
              <w:rPr>
                <w:rFonts w:hint="eastAsia"/>
                <w:color w:val="auto"/>
                <w:highlight w:val="none"/>
                <w:lang w:val="en-US" w:eastAsia="zh-CN"/>
              </w:rPr>
              <w:t>造成</w:t>
            </w:r>
            <w:r>
              <w:rPr>
                <w:color w:val="auto"/>
                <w:highlight w:val="none"/>
              </w:rPr>
              <w:t>地下水污染。</w:t>
            </w:r>
          </w:p>
          <w:p w14:paraId="149E4B06">
            <w:pPr>
              <w:ind w:firstLine="482"/>
              <w:rPr>
                <w:b/>
                <w:bCs/>
                <w:color w:val="auto"/>
                <w:highlight w:val="none"/>
              </w:rPr>
            </w:pPr>
            <w:r>
              <w:rPr>
                <w:rFonts w:hint="eastAsia"/>
                <w:b/>
                <w:bCs/>
                <w:color w:val="auto"/>
                <w:highlight w:val="none"/>
              </w:rPr>
              <w:t>（3）环境风险防范措施及应急要求</w:t>
            </w:r>
          </w:p>
          <w:p w14:paraId="19E047B2">
            <w:pPr>
              <w:spacing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①加强对员工环境风险事件的宣传教育，提高防范事故风险的意识；在项目区醒目位置设置禁烟、禁火的警示牌。</w:t>
            </w:r>
          </w:p>
          <w:p w14:paraId="2A2AA117">
            <w:pPr>
              <w:spacing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②</w:t>
            </w:r>
            <w:r>
              <w:rPr>
                <w:rFonts w:hint="eastAsia" w:ascii="Times New Roman" w:hAnsi="Times New Roman"/>
                <w:caps w:val="0"/>
                <w:smallCaps w:val="0"/>
                <w:color w:val="auto"/>
                <w:sz w:val="24"/>
                <w:highlight w:val="none"/>
              </w:rPr>
              <w:t>危废暂存间</w:t>
            </w:r>
            <w:r>
              <w:rPr>
                <w:rFonts w:ascii="Times New Roman" w:hAnsi="Times New Roman"/>
                <w:caps w:val="0"/>
                <w:smallCaps w:val="0"/>
                <w:color w:val="auto"/>
                <w:sz w:val="24"/>
                <w:highlight w:val="none"/>
              </w:rPr>
              <w:t>按照《危险废物贮存污染控制标准》（GB18597-20</w:t>
            </w:r>
            <w:r>
              <w:rPr>
                <w:rFonts w:hint="eastAsia" w:ascii="Times New Roman" w:hAnsi="Times New Roman"/>
                <w:caps w:val="0"/>
                <w:smallCaps w:val="0"/>
                <w:color w:val="auto"/>
                <w:sz w:val="24"/>
                <w:highlight w:val="none"/>
              </w:rPr>
              <w:t>23</w:t>
            </w:r>
            <w:r>
              <w:rPr>
                <w:rFonts w:ascii="Times New Roman" w:hAnsi="Times New Roman"/>
                <w:caps w:val="0"/>
                <w:smallCaps w:val="0"/>
                <w:color w:val="auto"/>
                <w:sz w:val="24"/>
                <w:highlight w:val="none"/>
              </w:rPr>
              <w:t>）中的相关要求</w:t>
            </w:r>
            <w:r>
              <w:rPr>
                <w:rFonts w:hint="eastAsia" w:ascii="Times New Roman" w:hAnsi="Times New Roman" w:eastAsia="宋体" w:cs="Times New Roman"/>
                <w:caps w:val="0"/>
                <w:smallCaps w:val="0"/>
                <w:color w:val="auto"/>
                <w:sz w:val="24"/>
                <w:highlight w:val="none"/>
                <w:lang w:val="en-US" w:eastAsia="zh-CN"/>
              </w:rPr>
              <w:t>进行重点防渗，废机油采用专用油桶承装，并设置防渗托盘，</w:t>
            </w:r>
            <w:r>
              <w:rPr>
                <w:rFonts w:hint="default" w:ascii="Times New Roman" w:hAnsi="Times New Roman" w:eastAsia="宋体" w:cs="Times New Roman"/>
                <w:caps w:val="0"/>
                <w:smallCaps w:val="0"/>
                <w:color w:val="auto"/>
                <w:sz w:val="24"/>
                <w:highlight w:val="none"/>
                <w:lang w:val="en-US" w:eastAsia="zh-CN"/>
              </w:rPr>
              <w:t>可有效避免</w:t>
            </w:r>
            <w:r>
              <w:rPr>
                <w:rFonts w:hint="eastAsia" w:ascii="Times New Roman" w:hAnsi="Times New Roman" w:eastAsia="宋体" w:cs="Times New Roman"/>
                <w:caps w:val="0"/>
                <w:smallCaps w:val="0"/>
                <w:color w:val="auto"/>
                <w:sz w:val="24"/>
                <w:highlight w:val="none"/>
                <w:lang w:val="en-US" w:eastAsia="zh-CN"/>
              </w:rPr>
              <w:t>废机油泄漏造成对</w:t>
            </w:r>
            <w:r>
              <w:rPr>
                <w:rFonts w:hint="default" w:ascii="Times New Roman" w:hAnsi="Times New Roman" w:eastAsia="宋体" w:cs="Times New Roman"/>
                <w:caps w:val="0"/>
                <w:smallCaps w:val="0"/>
                <w:color w:val="auto"/>
                <w:sz w:val="24"/>
                <w:highlight w:val="none"/>
                <w:lang w:val="en-US" w:eastAsia="zh-CN"/>
              </w:rPr>
              <w:t>土壤的污染</w:t>
            </w:r>
            <w:r>
              <w:rPr>
                <w:rFonts w:ascii="Times New Roman" w:hAnsi="Times New Roman"/>
                <w:color w:val="auto"/>
                <w:sz w:val="24"/>
                <w:highlight w:val="none"/>
              </w:rPr>
              <w:t>。</w:t>
            </w:r>
          </w:p>
          <w:p w14:paraId="3A59ED13">
            <w:pPr>
              <w:spacing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③</w:t>
            </w:r>
            <w:r>
              <w:rPr>
                <w:rFonts w:hint="eastAsia" w:ascii="Times New Roman" w:hAnsi="Times New Roman"/>
                <w:color w:val="auto"/>
                <w:sz w:val="24"/>
                <w:highlight w:val="none"/>
                <w:lang w:val="en-US" w:eastAsia="zh-CN"/>
              </w:rPr>
              <w:t>危废暂存间</w:t>
            </w:r>
            <w:r>
              <w:rPr>
                <w:rFonts w:ascii="Times New Roman" w:hAnsi="Times New Roman"/>
                <w:color w:val="auto"/>
                <w:sz w:val="24"/>
                <w:highlight w:val="none"/>
              </w:rPr>
              <w:t>按《危险废物识别标志设置技术规范》（HJ1276-2022），完善危险废物标识标牌和禁火禁烟标识；</w:t>
            </w:r>
          </w:p>
          <w:p w14:paraId="4C5B2A90">
            <w:pPr>
              <w:spacing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④建立危险固废管理台账，如实记载废机油的来源、数量、特性、包装容器类别、入库日期、存放库位。贮存期间，定期对存储容器进行检查，及时更换破损容器。</w:t>
            </w:r>
          </w:p>
          <w:p w14:paraId="23C20BD3">
            <w:pPr>
              <w:spacing w:line="360" w:lineRule="auto"/>
              <w:ind w:firstLine="480" w:firstLineChars="200"/>
              <w:rPr>
                <w:rFonts w:ascii="Times New Roman" w:hAnsi="Times New Roman"/>
                <w:color w:val="auto"/>
                <w:sz w:val="24"/>
                <w:highlight w:val="none"/>
              </w:rPr>
            </w:pPr>
            <w:r>
              <w:rPr>
                <w:rFonts w:ascii="Times New Roman" w:hAnsi="Times New Roman"/>
                <w:color w:val="auto"/>
                <w:sz w:val="24"/>
                <w:highlight w:val="none"/>
              </w:rPr>
              <w:t>⑤针对项目可能发生的突发事故，为了将风险事故率降低到最小，企业应针对本次项目编制全厂突发环境事件应急预案并报当地生态环境保护主管部门备案。建设单位应严格按照《企业突发环境事件风险分级方法》（HJ941-2018）、《企业突发环境事件应急预案编制指南》等文件要求开展公司应急预案的编制工作。</w:t>
            </w:r>
          </w:p>
          <w:p w14:paraId="7F6A4F79">
            <w:pPr>
              <w:ind w:firstLine="482"/>
              <w:rPr>
                <w:b/>
                <w:bCs/>
                <w:color w:val="auto"/>
                <w:highlight w:val="none"/>
              </w:rPr>
            </w:pPr>
            <w:r>
              <w:rPr>
                <w:rFonts w:hint="eastAsia"/>
                <w:b/>
                <w:bCs/>
                <w:color w:val="auto"/>
                <w:highlight w:val="none"/>
              </w:rPr>
              <w:t>（5）环境风险分析结论</w:t>
            </w:r>
          </w:p>
          <w:p w14:paraId="4AB89BFB">
            <w:pPr>
              <w:autoSpaceDE w:val="0"/>
              <w:autoSpaceDN w:val="0"/>
              <w:adjustRightInd w:val="0"/>
              <w:spacing w:line="360" w:lineRule="auto"/>
              <w:ind w:firstLine="480" w:firstLineChars="200"/>
              <w:jc w:val="both"/>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通过上述措施，项目的危险、有害因素是可以控制和预防的。存在的风险是可以接受的。可以保证在风险状态下对周围的环境质量影响较小。综合分析，项目建设从环境风险角度分析可行。</w:t>
            </w:r>
          </w:p>
          <w:p w14:paraId="19CDA84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风险评价内容总结见下表。</w:t>
            </w:r>
          </w:p>
          <w:p w14:paraId="4ADB67FE">
            <w:pPr>
              <w:pStyle w:val="55"/>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b/>
                <w:bCs w:val="0"/>
                <w:color w:val="auto"/>
                <w:highlight w:val="none"/>
              </w:rPr>
            </w:pPr>
            <w:r>
              <w:rPr>
                <w:rFonts w:hint="default" w:ascii="Times New Roman" w:hAnsi="Times New Roman" w:cs="Times New Roman"/>
                <w:b/>
                <w:bCs w:val="0"/>
                <w:color w:val="auto"/>
                <w:highlight w:val="none"/>
              </w:rPr>
              <w:t>表4-1</w:t>
            </w:r>
            <w:r>
              <w:rPr>
                <w:rFonts w:hint="eastAsia" w:ascii="Times New Roman" w:hAnsi="Times New Roman" w:cs="Times New Roman"/>
                <w:b/>
                <w:bCs w:val="0"/>
                <w:color w:val="auto"/>
                <w:highlight w:val="none"/>
                <w:lang w:val="en-US" w:eastAsia="zh-CN"/>
              </w:rPr>
              <w:t>4</w:t>
            </w:r>
            <w:r>
              <w:rPr>
                <w:rFonts w:hint="default" w:ascii="Times New Roman" w:hAnsi="Times New Roman" w:cs="Times New Roman"/>
                <w:b/>
                <w:bCs w:val="0"/>
                <w:color w:val="auto"/>
                <w:highlight w:val="none"/>
              </w:rPr>
              <w:t xml:space="preserve">  建设项目环境风险简单分析内容表</w:t>
            </w:r>
          </w:p>
          <w:tbl>
            <w:tblPr>
              <w:tblStyle w:val="3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6316"/>
            </w:tblGrid>
            <w:tr w14:paraId="1CEE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2" w:type="pct"/>
                  <w:tcBorders>
                    <w:top w:val="single" w:color="auto" w:sz="4" w:space="0"/>
                    <w:left w:val="single" w:color="auto" w:sz="4" w:space="0"/>
                    <w:bottom w:val="single" w:color="auto" w:sz="4" w:space="0"/>
                    <w:right w:val="single" w:color="auto" w:sz="4" w:space="0"/>
                  </w:tcBorders>
                  <w:noWrap w:val="0"/>
                  <w:vAlign w:val="center"/>
                </w:tcPr>
                <w:p w14:paraId="02ECD978">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建设项目名称</w:t>
                  </w:r>
                </w:p>
              </w:tc>
              <w:tc>
                <w:tcPr>
                  <w:tcW w:w="4037" w:type="pct"/>
                  <w:tcBorders>
                    <w:top w:val="single" w:color="auto" w:sz="4" w:space="0"/>
                    <w:left w:val="single" w:color="auto" w:sz="4" w:space="0"/>
                    <w:bottom w:val="single" w:color="auto" w:sz="4" w:space="0"/>
                    <w:right w:val="single" w:color="auto" w:sz="4" w:space="0"/>
                  </w:tcBorders>
                  <w:noWrap w:val="0"/>
                  <w:vAlign w:val="center"/>
                </w:tcPr>
                <w:p w14:paraId="4238E856">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云南省寻甸县柯渡黄龙溏普通建筑材料用砂岩矿50万t/a扩建项目</w:t>
                  </w:r>
                </w:p>
              </w:tc>
            </w:tr>
            <w:tr w14:paraId="2FB1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62" w:type="pct"/>
                  <w:tcBorders>
                    <w:top w:val="single" w:color="auto" w:sz="4" w:space="0"/>
                    <w:left w:val="single" w:color="auto" w:sz="4" w:space="0"/>
                    <w:bottom w:val="single" w:color="auto" w:sz="4" w:space="0"/>
                    <w:right w:val="single" w:color="auto" w:sz="4" w:space="0"/>
                  </w:tcBorders>
                  <w:noWrap w:val="0"/>
                  <w:vAlign w:val="center"/>
                </w:tcPr>
                <w:p w14:paraId="076E433C">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建设地点</w:t>
                  </w:r>
                </w:p>
              </w:tc>
              <w:tc>
                <w:tcPr>
                  <w:tcW w:w="4037" w:type="pct"/>
                  <w:tcBorders>
                    <w:top w:val="single" w:color="auto" w:sz="4" w:space="0"/>
                    <w:left w:val="single" w:color="auto" w:sz="4" w:space="0"/>
                    <w:bottom w:val="single" w:color="auto" w:sz="4" w:space="0"/>
                    <w:right w:val="single" w:color="auto" w:sz="4" w:space="0"/>
                  </w:tcBorders>
                  <w:noWrap w:val="0"/>
                  <w:vAlign w:val="center"/>
                </w:tcPr>
                <w:p w14:paraId="0CF92365">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寻甸县柯渡镇乐郎村委会稗子田村境内</w:t>
                  </w:r>
                </w:p>
              </w:tc>
            </w:tr>
            <w:tr w14:paraId="1FDD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962" w:type="pct"/>
                  <w:tcBorders>
                    <w:top w:val="single" w:color="auto" w:sz="4" w:space="0"/>
                    <w:left w:val="single" w:color="auto" w:sz="4" w:space="0"/>
                    <w:bottom w:val="single" w:color="auto" w:sz="4" w:space="0"/>
                    <w:right w:val="single" w:color="auto" w:sz="4" w:space="0"/>
                  </w:tcBorders>
                  <w:noWrap w:val="0"/>
                  <w:vAlign w:val="center"/>
                </w:tcPr>
                <w:p w14:paraId="4A6F6D1C">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地理坐标</w:t>
                  </w:r>
                </w:p>
              </w:tc>
              <w:tc>
                <w:tcPr>
                  <w:tcW w:w="4037" w:type="pct"/>
                  <w:tcBorders>
                    <w:top w:val="single" w:color="auto" w:sz="4" w:space="0"/>
                    <w:left w:val="single" w:color="auto" w:sz="4" w:space="0"/>
                    <w:bottom w:val="single" w:color="auto" w:sz="4" w:space="0"/>
                    <w:right w:val="single" w:color="auto" w:sz="4" w:space="0"/>
                  </w:tcBorders>
                  <w:noWrap w:val="0"/>
                  <w:vAlign w:val="center"/>
                </w:tcPr>
                <w:p w14:paraId="4FEAF5FD">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zh-CN" w:eastAsia="zh-CN"/>
                    </w:rPr>
                    <w:t>东经</w:t>
                  </w:r>
                  <w:r>
                    <w:rPr>
                      <w:rFonts w:hint="default" w:ascii="Times New Roman" w:hAnsi="Times New Roman" w:eastAsia="宋体" w:cs="Times New Roman"/>
                      <w:b w:val="0"/>
                      <w:bCs w:val="0"/>
                      <w:color w:val="auto"/>
                      <w:highlight w:val="none"/>
                      <w:lang w:val="en-US" w:eastAsia="zh-CN"/>
                    </w:rPr>
                    <w:t>102°46′54.74″</w:t>
                  </w:r>
                  <w:r>
                    <w:rPr>
                      <w:rFonts w:hint="default" w:ascii="Times New Roman" w:hAnsi="Times New Roman" w:eastAsia="宋体" w:cs="Times New Roman"/>
                      <w:b w:val="0"/>
                      <w:bCs w:val="0"/>
                      <w:color w:val="auto"/>
                      <w:highlight w:val="none"/>
                      <w:lang w:val="zh-CN" w:eastAsia="zh-CN"/>
                    </w:rPr>
                    <w:t>，北纬</w:t>
                  </w:r>
                  <w:r>
                    <w:rPr>
                      <w:rFonts w:hint="default" w:ascii="Times New Roman" w:hAnsi="Times New Roman" w:eastAsia="宋体" w:cs="Times New Roman"/>
                      <w:b w:val="0"/>
                      <w:bCs w:val="0"/>
                      <w:color w:val="auto"/>
                      <w:highlight w:val="none"/>
                      <w:lang w:val="en-US" w:eastAsia="zh-CN"/>
                    </w:rPr>
                    <w:t>25°29′31.04″</w:t>
                  </w:r>
                </w:p>
              </w:tc>
            </w:tr>
            <w:tr w14:paraId="4D29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62" w:type="pct"/>
                  <w:tcBorders>
                    <w:top w:val="single" w:color="auto" w:sz="4" w:space="0"/>
                    <w:left w:val="single" w:color="auto" w:sz="4" w:space="0"/>
                    <w:bottom w:val="single" w:color="auto" w:sz="4" w:space="0"/>
                    <w:right w:val="single" w:color="auto" w:sz="4" w:space="0"/>
                  </w:tcBorders>
                  <w:noWrap w:val="0"/>
                  <w:vAlign w:val="center"/>
                </w:tcPr>
                <w:p w14:paraId="4D52CD6D">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主要危险物质及分布</w:t>
                  </w:r>
                </w:p>
              </w:tc>
              <w:tc>
                <w:tcPr>
                  <w:tcW w:w="4037" w:type="pct"/>
                  <w:tcBorders>
                    <w:top w:val="single" w:color="auto" w:sz="4" w:space="0"/>
                    <w:left w:val="single" w:color="auto" w:sz="4" w:space="0"/>
                    <w:bottom w:val="single" w:color="auto" w:sz="4" w:space="0"/>
                    <w:right w:val="single" w:color="auto" w:sz="4" w:space="0"/>
                  </w:tcBorders>
                  <w:noWrap w:val="0"/>
                  <w:vAlign w:val="center"/>
                </w:tcPr>
                <w:p w14:paraId="083EAEE0">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本项目涉及的危险物质为废机油，废矿物油最大存在总量为0.2t，暂存于危废暂存间内</w:t>
                  </w:r>
                </w:p>
              </w:tc>
            </w:tr>
            <w:tr w14:paraId="597FF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tcBorders>
                    <w:top w:val="single" w:color="auto" w:sz="4" w:space="0"/>
                    <w:left w:val="single" w:color="auto" w:sz="4" w:space="0"/>
                    <w:bottom w:val="single" w:color="auto" w:sz="4" w:space="0"/>
                    <w:right w:val="single" w:color="auto" w:sz="4" w:space="0"/>
                  </w:tcBorders>
                  <w:noWrap w:val="0"/>
                  <w:vAlign w:val="center"/>
                </w:tcPr>
                <w:p w14:paraId="32176856">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both"/>
                    <w:textAlignment w:val="auto"/>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环境影响途经及危险后果</w:t>
                  </w:r>
                </w:p>
              </w:tc>
              <w:tc>
                <w:tcPr>
                  <w:tcW w:w="4037" w:type="pct"/>
                  <w:tcBorders>
                    <w:top w:val="single" w:color="auto" w:sz="4" w:space="0"/>
                    <w:left w:val="single" w:color="auto" w:sz="4" w:space="0"/>
                    <w:bottom w:val="single" w:color="auto" w:sz="4" w:space="0"/>
                    <w:right w:val="single" w:color="auto" w:sz="4" w:space="0"/>
                  </w:tcBorders>
                  <w:noWrap w:val="0"/>
                  <w:vAlign w:val="center"/>
                </w:tcPr>
                <w:p w14:paraId="07AADB18">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lang w:val="en-US" w:eastAsia="zh-CN"/>
                    </w:rPr>
                    <w:t>废机</w:t>
                  </w:r>
                  <w:r>
                    <w:rPr>
                      <w:rFonts w:hint="default" w:ascii="Times New Roman" w:hAnsi="Times New Roman" w:eastAsia="宋体" w:cs="Times New Roman"/>
                      <w:b w:val="0"/>
                      <w:bCs w:val="0"/>
                      <w:color w:val="auto"/>
                      <w:highlight w:val="none"/>
                    </w:rPr>
                    <w:t>油——泄露——土壤环境污染、地下水污染</w:t>
                  </w:r>
                </w:p>
              </w:tc>
            </w:tr>
            <w:tr w14:paraId="5B84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tcBorders>
                    <w:top w:val="single" w:color="auto" w:sz="4" w:space="0"/>
                    <w:left w:val="single" w:color="auto" w:sz="4" w:space="0"/>
                    <w:bottom w:val="single" w:color="auto" w:sz="4" w:space="0"/>
                    <w:right w:val="single" w:color="auto" w:sz="4" w:space="0"/>
                  </w:tcBorders>
                  <w:noWrap w:val="0"/>
                  <w:vAlign w:val="center"/>
                </w:tcPr>
                <w:p w14:paraId="3A21619C">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textAlignment w:val="auto"/>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风险防范措施要求</w:t>
                  </w:r>
                </w:p>
              </w:tc>
              <w:tc>
                <w:tcPr>
                  <w:tcW w:w="4037" w:type="pct"/>
                  <w:tcBorders>
                    <w:top w:val="single" w:color="auto" w:sz="4" w:space="0"/>
                    <w:left w:val="single" w:color="auto" w:sz="4" w:space="0"/>
                    <w:bottom w:val="single" w:color="auto" w:sz="4" w:space="0"/>
                    <w:right w:val="single" w:color="auto" w:sz="4" w:space="0"/>
                  </w:tcBorders>
                  <w:noWrap w:val="0"/>
                  <w:vAlign w:val="center"/>
                </w:tcPr>
                <w:p w14:paraId="7408DC85">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left"/>
                    <w:textAlignment w:val="auto"/>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①加强对员工环境风险事件的宣传教育，提高防范事故风险的意识；在项目区醒目位置设置禁烟、禁火的警示牌。</w:t>
                  </w:r>
                </w:p>
                <w:p w14:paraId="07BBB1EB">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left"/>
                    <w:textAlignment w:val="auto"/>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②危废暂存间按照《危险废物贮存污染控制标准》（GB18597-2023）中的相关要求</w:t>
                  </w:r>
                  <w:r>
                    <w:rPr>
                      <w:rFonts w:hint="default" w:ascii="Times New Roman" w:hAnsi="Times New Roman" w:eastAsia="宋体" w:cs="Times New Roman"/>
                      <w:b w:val="0"/>
                      <w:bCs w:val="0"/>
                      <w:color w:val="auto"/>
                      <w:highlight w:val="none"/>
                      <w:lang w:val="en-US" w:eastAsia="zh-CN"/>
                    </w:rPr>
                    <w:t>进行重点防渗，废机油采用专用油桶承装，并设置防渗托盘，可有效避免废机油泄漏造成对土壤的污染</w:t>
                  </w:r>
                  <w:r>
                    <w:rPr>
                      <w:rFonts w:hint="default" w:ascii="Times New Roman" w:hAnsi="Times New Roman" w:eastAsia="宋体" w:cs="Times New Roman"/>
                      <w:b w:val="0"/>
                      <w:bCs w:val="0"/>
                      <w:color w:val="auto"/>
                      <w:highlight w:val="none"/>
                    </w:rPr>
                    <w:t>。</w:t>
                  </w:r>
                </w:p>
                <w:p w14:paraId="33C16809">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left"/>
                    <w:textAlignment w:val="auto"/>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③危险废物贮存设施按《危险废物识别标志设置技术规范》（HJ1276-2022），完善危险废物标识标牌和禁火禁烟标识；</w:t>
                  </w:r>
                </w:p>
                <w:p w14:paraId="6B017F1E">
                  <w:pPr>
                    <w:pStyle w:val="54"/>
                    <w:keepNext w:val="0"/>
                    <w:keepLines w:val="0"/>
                    <w:pageBreakBefore w:val="0"/>
                    <w:widowControl w:val="0"/>
                    <w:kinsoku/>
                    <w:wordWrap/>
                    <w:overflowPunct/>
                    <w:topLinePunct w:val="0"/>
                    <w:autoSpaceDE/>
                    <w:autoSpaceDN/>
                    <w:bidi w:val="0"/>
                    <w:adjustRightInd w:val="0"/>
                    <w:snapToGrid w:val="0"/>
                    <w:spacing w:beforeLines="0" w:afterLines="0" w:line="240" w:lineRule="auto"/>
                    <w:ind w:firstLine="0" w:firstLineChars="0"/>
                    <w:jc w:val="left"/>
                    <w:textAlignment w:val="auto"/>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④建立危险固废管理台账，如实记载废机油的来源、数量、特性、包装容器类别、入库日期、存放库位。贮存期间，定期对存储容器进行检查，及时更换破损容器。</w:t>
                  </w:r>
                </w:p>
              </w:tc>
            </w:tr>
          </w:tbl>
          <w:p w14:paraId="56D7FB1A">
            <w:pPr>
              <w:pStyle w:val="2"/>
              <w:jc w:val="both"/>
              <w:rPr>
                <w:rFonts w:hint="default" w:ascii="Times New Roman" w:hAnsi="Times New Roman" w:cs="Times New Roman"/>
                <w:b/>
                <w:bCs/>
                <w:color w:val="auto"/>
                <w:spacing w:val="-3"/>
                <w:sz w:val="21"/>
                <w:highlight w:val="none"/>
                <w:lang w:eastAsia="zh-CN"/>
              </w:rPr>
            </w:pPr>
          </w:p>
        </w:tc>
      </w:tr>
    </w:tbl>
    <w:p w14:paraId="289DC0D7">
      <w:pPr>
        <w:pStyle w:val="4"/>
        <w:jc w:val="center"/>
        <w:rPr>
          <w:color w:val="auto"/>
          <w:highlight w:val="none"/>
        </w:rPr>
        <w:sectPr>
          <w:headerReference r:id="rId9" w:type="default"/>
          <w:footerReference r:id="rId10" w:type="default"/>
          <w:pgSz w:w="11906" w:h="16838"/>
          <w:pgMar w:top="1440" w:right="1800" w:bottom="1440" w:left="1800" w:header="851" w:footer="992" w:gutter="0"/>
          <w:pgNumType w:fmt="numberInDash" w:start="1"/>
          <w:cols w:space="720" w:num="1"/>
          <w:docGrid w:type="lines" w:linePitch="312" w:charSpace="0"/>
        </w:sectPr>
      </w:pPr>
    </w:p>
    <w:tbl>
      <w:tblPr>
        <w:tblStyle w:val="30"/>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70"/>
        <w:gridCol w:w="8052"/>
      </w:tblGrid>
      <w:tr w14:paraId="5A5267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75" w:type="pct"/>
            <w:vAlign w:val="center"/>
          </w:tcPr>
          <w:p w14:paraId="3981AAC8">
            <w:pPr>
              <w:spacing w:line="240" w:lineRule="auto"/>
              <w:ind w:firstLine="0" w:firstLineChars="0"/>
              <w:jc w:val="center"/>
              <w:rPr>
                <w:b/>
                <w:bCs/>
                <w:color w:val="auto"/>
                <w:highlight w:val="none"/>
              </w:rPr>
            </w:pPr>
            <w:r>
              <w:rPr>
                <w:b/>
                <w:bCs/>
                <w:color w:val="auto"/>
                <w:highlight w:val="none"/>
              </w:rPr>
              <w:t>选址选线环境合理性分析</w:t>
            </w:r>
          </w:p>
        </w:tc>
        <w:tc>
          <w:tcPr>
            <w:tcW w:w="4724" w:type="pct"/>
          </w:tcPr>
          <w:p w14:paraId="4EAF42A8">
            <w:pPr>
              <w:spacing w:before="156" w:beforeLines="50"/>
              <w:ind w:firstLine="482"/>
              <w:rPr>
                <w:b/>
                <w:bCs/>
                <w:color w:val="auto"/>
                <w:highlight w:val="none"/>
              </w:rPr>
            </w:pPr>
            <w:r>
              <w:rPr>
                <w:b/>
                <w:bCs/>
                <w:color w:val="auto"/>
                <w:highlight w:val="none"/>
              </w:rPr>
              <w:t>1、</w:t>
            </w:r>
            <w:r>
              <w:rPr>
                <w:rFonts w:hint="eastAsia"/>
                <w:b/>
                <w:bCs/>
                <w:color w:val="auto"/>
                <w:highlight w:val="none"/>
                <w:lang w:val="en-US" w:eastAsia="zh-CN"/>
              </w:rPr>
              <w:t>项目选址</w:t>
            </w:r>
            <w:r>
              <w:rPr>
                <w:b/>
                <w:bCs/>
                <w:color w:val="auto"/>
                <w:highlight w:val="none"/>
              </w:rPr>
              <w:t>合理性分析</w:t>
            </w:r>
          </w:p>
          <w:p w14:paraId="06295361">
            <w:pPr>
              <w:spacing w:line="360" w:lineRule="auto"/>
              <w:ind w:firstLine="480" w:firstLineChars="200"/>
              <w:rPr>
                <w:color w:val="auto"/>
                <w:highlight w:val="none"/>
              </w:rPr>
            </w:pPr>
            <w:r>
              <w:rPr>
                <w:rFonts w:hint="eastAsia"/>
                <w:color w:val="auto"/>
                <w:sz w:val="24"/>
                <w:highlight w:val="none"/>
                <w:lang w:eastAsia="zh-CN"/>
              </w:rPr>
              <w:t>（</w:t>
            </w:r>
            <w:r>
              <w:rPr>
                <w:rFonts w:hint="eastAsia"/>
                <w:color w:val="auto"/>
                <w:sz w:val="24"/>
                <w:highlight w:val="none"/>
                <w:lang w:val="en-US" w:eastAsia="zh-CN"/>
              </w:rPr>
              <w:t>1</w:t>
            </w:r>
            <w:r>
              <w:rPr>
                <w:rFonts w:hint="eastAsia"/>
                <w:color w:val="auto"/>
                <w:sz w:val="24"/>
                <w:highlight w:val="none"/>
                <w:lang w:eastAsia="zh-CN"/>
              </w:rPr>
              <w:t>）</w:t>
            </w:r>
            <w:r>
              <w:rPr>
                <w:color w:val="auto"/>
                <w:sz w:val="24"/>
                <w:highlight w:val="none"/>
              </w:rPr>
              <w:t>本项目位于</w:t>
            </w:r>
            <w:r>
              <w:rPr>
                <w:rFonts w:hint="eastAsia"/>
                <w:color w:val="auto"/>
                <w:highlight w:val="none"/>
              </w:rPr>
              <w:t>寻甸县柯渡镇乐郎村境内</w:t>
            </w:r>
            <w:r>
              <w:rPr>
                <w:color w:val="auto"/>
                <w:sz w:val="24"/>
                <w:highlight w:val="none"/>
              </w:rPr>
              <w:t>，</w:t>
            </w:r>
            <w:r>
              <w:rPr>
                <w:rFonts w:hint="eastAsia" w:ascii="Times New Roman" w:hAnsi="Times New Roman" w:eastAsia="宋体"/>
                <w:caps w:val="0"/>
                <w:smallCaps w:val="0"/>
                <w:color w:val="auto"/>
                <w:sz w:val="24"/>
                <w:highlight w:val="none"/>
                <w:lang w:val="en-US" w:eastAsia="zh-CN"/>
              </w:rPr>
              <w:t>根据</w:t>
            </w:r>
            <w:r>
              <w:rPr>
                <w:rFonts w:hint="eastAsia" w:ascii="Times New Roman" w:hAnsi="Times New Roman"/>
                <w:caps w:val="0"/>
                <w:smallCaps w:val="0"/>
                <w:color w:val="auto"/>
                <w:sz w:val="24"/>
                <w:highlight w:val="none"/>
              </w:rPr>
              <w:t>寻甸回族彝族自治县自然资源局</w:t>
            </w:r>
            <w:r>
              <w:rPr>
                <w:rFonts w:hint="eastAsia" w:ascii="Times New Roman" w:hAnsi="Times New Roman"/>
                <w:caps w:val="0"/>
                <w:smallCaps w:val="0"/>
                <w:color w:val="auto"/>
                <w:sz w:val="24"/>
                <w:highlight w:val="none"/>
                <w:lang w:eastAsia="zh-CN"/>
              </w:rPr>
              <w:t>“</w:t>
            </w:r>
            <w:r>
              <w:rPr>
                <w:rFonts w:hint="eastAsia" w:ascii="Times New Roman" w:hAnsi="Times New Roman"/>
                <w:caps w:val="0"/>
                <w:smallCaps w:val="0"/>
                <w:color w:val="auto"/>
                <w:sz w:val="24"/>
                <w:highlight w:val="none"/>
                <w:lang w:val="en-US" w:eastAsia="zh-CN"/>
              </w:rPr>
              <w:t>三区三线</w:t>
            </w:r>
            <w:r>
              <w:rPr>
                <w:rFonts w:hint="eastAsia" w:ascii="Times New Roman" w:hAnsi="Times New Roman"/>
                <w:caps w:val="0"/>
                <w:smallCaps w:val="0"/>
                <w:color w:val="auto"/>
                <w:sz w:val="24"/>
                <w:highlight w:val="none"/>
                <w:lang w:eastAsia="zh-CN"/>
              </w:rPr>
              <w:t>”</w:t>
            </w:r>
            <w:r>
              <w:rPr>
                <w:rFonts w:hint="eastAsia" w:ascii="Times New Roman" w:hAnsi="Times New Roman"/>
                <w:caps w:val="0"/>
                <w:smallCaps w:val="0"/>
                <w:color w:val="auto"/>
                <w:sz w:val="24"/>
                <w:highlight w:val="none"/>
                <w:lang w:val="en-US" w:eastAsia="zh-CN"/>
              </w:rPr>
              <w:t>查询结果</w:t>
            </w:r>
            <w:r>
              <w:rPr>
                <w:rFonts w:hint="eastAsia" w:ascii="Times New Roman" w:hAnsi="Times New Roman"/>
                <w:caps w:val="0"/>
                <w:smallCaps w:val="0"/>
                <w:color w:val="auto"/>
                <w:sz w:val="24"/>
                <w:highlight w:val="none"/>
              </w:rPr>
              <w:t>，项目用地范围</w:t>
            </w:r>
            <w:r>
              <w:rPr>
                <w:rFonts w:hint="eastAsia" w:ascii="Times New Roman" w:hAnsi="Times New Roman"/>
                <w:caps w:val="0"/>
                <w:smallCaps w:val="0"/>
                <w:color w:val="auto"/>
                <w:sz w:val="24"/>
                <w:highlight w:val="none"/>
                <w:lang w:val="en-US" w:eastAsia="zh-CN"/>
              </w:rPr>
              <w:t>内</w:t>
            </w:r>
            <w:r>
              <w:rPr>
                <w:rFonts w:hint="eastAsia" w:ascii="Times New Roman" w:hAnsi="Times New Roman"/>
                <w:caps w:val="0"/>
                <w:smallCaps w:val="0"/>
                <w:color w:val="auto"/>
                <w:sz w:val="24"/>
                <w:highlight w:val="none"/>
              </w:rPr>
              <w:t>未与生态保护红线管控范围重叠，不在城镇开发边界内</w:t>
            </w:r>
            <w:r>
              <w:rPr>
                <w:rFonts w:hint="eastAsia" w:ascii="Times New Roman" w:hAnsi="Times New Roman"/>
                <w:caps w:val="0"/>
                <w:smallCaps w:val="0"/>
                <w:color w:val="auto"/>
                <w:sz w:val="24"/>
                <w:highlight w:val="none"/>
                <w:lang w:eastAsia="zh-CN"/>
              </w:rPr>
              <w:t>，</w:t>
            </w:r>
            <w:r>
              <w:rPr>
                <w:rFonts w:hint="eastAsia" w:ascii="Times New Roman" w:hAnsi="Times New Roman"/>
                <w:caps w:val="0"/>
                <w:smallCaps w:val="0"/>
                <w:color w:val="auto"/>
                <w:sz w:val="24"/>
                <w:highlight w:val="none"/>
                <w:lang w:val="en-US" w:eastAsia="zh-CN"/>
              </w:rPr>
              <w:t>未涉及永久基本农田。项目</w:t>
            </w:r>
            <w:r>
              <w:rPr>
                <w:color w:val="auto"/>
                <w:highlight w:val="none"/>
              </w:rPr>
              <w:t>评价范围内不涉及自然保护区、风景名胜区、森林公园、重要湿地等敏感区域，无国家及云南省规定的保护野生动物、植物及古树名木分布。</w:t>
            </w:r>
          </w:p>
          <w:p w14:paraId="204CF9FA">
            <w:pPr>
              <w:ind w:firstLine="48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本项目矿区边界</w:t>
            </w:r>
            <w:r>
              <w:rPr>
                <w:rFonts w:hint="eastAsia"/>
                <w:color w:val="auto"/>
                <w:highlight w:val="none"/>
                <w:lang w:val="en-US" w:eastAsia="zh-CN"/>
              </w:rPr>
              <w:t>300m范围内</w:t>
            </w:r>
            <w:r>
              <w:rPr>
                <w:color w:val="auto"/>
                <w:highlight w:val="none"/>
              </w:rPr>
              <w:t>无其他矿权设置，</w:t>
            </w:r>
            <w:r>
              <w:rPr>
                <w:rFonts w:hint="eastAsia"/>
                <w:color w:val="auto"/>
                <w:highlight w:val="none"/>
                <w:lang w:val="en-US" w:eastAsia="zh-CN"/>
              </w:rPr>
              <w:t>项目矿界范围外围5</w:t>
            </w:r>
            <w:r>
              <w:rPr>
                <w:color w:val="auto"/>
                <w:highlight w:val="none"/>
              </w:rPr>
              <w:t>00m内没有</w:t>
            </w:r>
            <w:r>
              <w:rPr>
                <w:rFonts w:hint="eastAsia"/>
                <w:color w:val="auto"/>
                <w:highlight w:val="none"/>
                <w:lang w:val="en-US" w:eastAsia="zh-CN"/>
              </w:rPr>
              <w:t>村庄</w:t>
            </w:r>
            <w:r>
              <w:rPr>
                <w:color w:val="auto"/>
                <w:highlight w:val="none"/>
              </w:rPr>
              <w:t>居民点，项目采矿区不在铁路、高速公路、国道、省道等重要交通干线和重要旅游线路两侧可视范围内。</w:t>
            </w:r>
            <w:r>
              <w:rPr>
                <w:rFonts w:hint="eastAsia"/>
                <w:color w:val="auto"/>
                <w:highlight w:val="none"/>
                <w:lang w:val="en-US" w:eastAsia="zh-CN"/>
              </w:rPr>
              <w:t>项目</w:t>
            </w:r>
            <w:r>
              <w:rPr>
                <w:color w:val="auto"/>
                <w:highlight w:val="none"/>
              </w:rPr>
              <w:t>地下水埋深大于开采最低开采限，不会出现地下水水文地质问题。</w:t>
            </w:r>
          </w:p>
          <w:p w14:paraId="225BC653">
            <w:pPr>
              <w:ind w:firstLine="480"/>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color w:val="auto"/>
                <w:highlight w:val="none"/>
              </w:rPr>
              <w:t>根据本项目污染物排放环境影响</w:t>
            </w:r>
            <w:r>
              <w:rPr>
                <w:rFonts w:hint="eastAsia"/>
                <w:color w:val="auto"/>
                <w:highlight w:val="none"/>
                <w:lang w:val="en-US" w:eastAsia="zh-CN"/>
              </w:rPr>
              <w:t>分析</w:t>
            </w:r>
            <w:r>
              <w:rPr>
                <w:color w:val="auto"/>
                <w:highlight w:val="none"/>
              </w:rPr>
              <w:t>结果，在落实本评价提出的各项环保措施后，本项目污染物的排放不会改变区域现有的环境功能，对周边环境的影响均控制在当地环境可接受范围内</w:t>
            </w:r>
            <w:r>
              <w:rPr>
                <w:rFonts w:hint="eastAsia"/>
                <w:color w:val="auto"/>
                <w:highlight w:val="none"/>
                <w:lang w:eastAsia="zh-CN"/>
              </w:rPr>
              <w:t>。</w:t>
            </w:r>
          </w:p>
          <w:p w14:paraId="3D72317D">
            <w:pPr>
              <w:ind w:firstLine="480"/>
              <w:rPr>
                <w:color w:val="auto"/>
                <w:highlight w:val="none"/>
              </w:rPr>
            </w:pPr>
            <w:r>
              <w:rPr>
                <w:rFonts w:hint="eastAsia"/>
                <w:color w:val="auto"/>
                <w:highlight w:val="none"/>
                <w:lang w:val="en-US" w:eastAsia="zh-CN"/>
              </w:rPr>
              <w:t>综上所述，</w:t>
            </w:r>
            <w:r>
              <w:rPr>
                <w:color w:val="auto"/>
                <w:highlight w:val="none"/>
              </w:rPr>
              <w:t>该项目选址合理可行。</w:t>
            </w:r>
          </w:p>
        </w:tc>
      </w:tr>
    </w:tbl>
    <w:p w14:paraId="6D66C375">
      <w:pPr>
        <w:pStyle w:val="4"/>
        <w:jc w:val="both"/>
        <w:rPr>
          <w:color w:val="auto"/>
          <w:highlight w:val="none"/>
        </w:rPr>
      </w:pPr>
      <w:r>
        <w:rPr>
          <w:color w:val="auto"/>
          <w:highlight w:val="none"/>
        </w:rPr>
        <w:br w:type="page"/>
      </w:r>
      <w:bookmarkStart w:id="30" w:name="_Toc10472"/>
      <w:r>
        <w:rPr>
          <w:color w:val="auto"/>
          <w:highlight w:val="none"/>
        </w:rPr>
        <w:t>五、主要生态环境保护措施</w:t>
      </w:r>
      <w:bookmarkEnd w:id="30"/>
    </w:p>
    <w:tbl>
      <w:tblPr>
        <w:tblStyle w:val="30"/>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55"/>
        <w:gridCol w:w="8067"/>
      </w:tblGrid>
      <w:tr w14:paraId="4BBA46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31" w:type="dxa"/>
            <w:vAlign w:val="center"/>
          </w:tcPr>
          <w:p w14:paraId="1A6542A3">
            <w:pPr>
              <w:spacing w:line="240" w:lineRule="auto"/>
              <w:ind w:firstLine="0" w:firstLineChars="0"/>
              <w:jc w:val="center"/>
              <w:rPr>
                <w:b/>
                <w:bCs/>
                <w:color w:val="auto"/>
                <w:szCs w:val="24"/>
                <w:highlight w:val="none"/>
              </w:rPr>
            </w:pPr>
            <w:r>
              <w:rPr>
                <w:b/>
                <w:bCs/>
                <w:color w:val="auto"/>
                <w:szCs w:val="24"/>
                <w:highlight w:val="none"/>
              </w:rPr>
              <w:t>施工期环境保护措施</w:t>
            </w:r>
          </w:p>
        </w:tc>
        <w:tc>
          <w:tcPr>
            <w:tcW w:w="7991" w:type="dxa"/>
            <w:vAlign w:val="center"/>
          </w:tcPr>
          <w:p w14:paraId="39BA26AE">
            <w:pPr>
              <w:adjustRightInd w:val="0"/>
              <w:spacing w:before="156" w:beforeLines="50"/>
              <w:ind w:firstLine="482"/>
              <w:rPr>
                <w:b/>
                <w:color w:val="auto"/>
                <w:szCs w:val="21"/>
                <w:highlight w:val="none"/>
              </w:rPr>
            </w:pPr>
            <w:r>
              <w:rPr>
                <w:b/>
                <w:color w:val="auto"/>
                <w:szCs w:val="21"/>
                <w:highlight w:val="none"/>
              </w:rPr>
              <w:t>一、施工期生态保护措施</w:t>
            </w:r>
          </w:p>
          <w:p w14:paraId="356AB548">
            <w:pPr>
              <w:adjustRightInd w:val="0"/>
              <w:ind w:firstLine="480"/>
              <w:rPr>
                <w:b/>
                <w:color w:val="auto"/>
                <w:szCs w:val="21"/>
                <w:highlight w:val="none"/>
              </w:rPr>
            </w:pPr>
            <w:r>
              <w:rPr>
                <w:bCs/>
                <w:color w:val="auto"/>
                <w:szCs w:val="21"/>
                <w:highlight w:val="none"/>
              </w:rPr>
              <w:t>项目施工期生态环境影响主要是对土地利用的影响、项目区动植物的影响、水土流失影响。项目施工期生态环境影响范围主要为本项目的工程施工范围，主要为</w:t>
            </w:r>
            <w:r>
              <w:rPr>
                <w:rFonts w:hint="eastAsia"/>
                <w:bCs/>
                <w:color w:val="auto"/>
                <w:szCs w:val="21"/>
                <w:highlight w:val="none"/>
                <w:lang w:val="en-US" w:eastAsia="zh-CN"/>
              </w:rPr>
              <w:t>露天开采</w:t>
            </w:r>
            <w:r>
              <w:rPr>
                <w:bCs/>
                <w:color w:val="auto"/>
                <w:szCs w:val="21"/>
                <w:highlight w:val="none"/>
              </w:rPr>
              <w:t>区、</w:t>
            </w:r>
            <w:r>
              <w:rPr>
                <w:rFonts w:hint="eastAsia"/>
                <w:bCs/>
                <w:color w:val="auto"/>
                <w:szCs w:val="21"/>
                <w:highlight w:val="none"/>
                <w:lang w:val="en-US" w:eastAsia="zh-CN"/>
              </w:rPr>
              <w:t>工业场地区、办公生活区</w:t>
            </w:r>
            <w:r>
              <w:rPr>
                <w:rFonts w:hint="eastAsia"/>
                <w:bCs/>
                <w:color w:val="auto"/>
                <w:szCs w:val="21"/>
                <w:highlight w:val="none"/>
              </w:rPr>
              <w:t>、截（排）</w:t>
            </w:r>
            <w:r>
              <w:rPr>
                <w:bCs/>
                <w:color w:val="auto"/>
                <w:szCs w:val="21"/>
                <w:highlight w:val="none"/>
              </w:rPr>
              <w:t>水沟等，影响时长约为3个月，项目施工区域不涉及重点保护野生动植物、名木古树等。</w:t>
            </w:r>
          </w:p>
          <w:p w14:paraId="59B95D5A">
            <w:pPr>
              <w:adjustRightInd w:val="0"/>
              <w:ind w:firstLine="482"/>
              <w:rPr>
                <w:b/>
                <w:color w:val="auto"/>
                <w:szCs w:val="21"/>
                <w:highlight w:val="none"/>
              </w:rPr>
            </w:pPr>
            <w:r>
              <w:rPr>
                <w:b/>
                <w:color w:val="auto"/>
                <w:szCs w:val="21"/>
                <w:highlight w:val="none"/>
              </w:rPr>
              <w:t>1、施工期生态环境保护措施</w:t>
            </w:r>
          </w:p>
          <w:p w14:paraId="373F2980">
            <w:pPr>
              <w:adjustRightInd w:val="0"/>
              <w:ind w:firstLine="480"/>
              <w:rPr>
                <w:bCs/>
                <w:color w:val="auto"/>
                <w:szCs w:val="21"/>
                <w:highlight w:val="none"/>
              </w:rPr>
            </w:pPr>
            <w:r>
              <w:rPr>
                <w:bCs/>
                <w:color w:val="auto"/>
                <w:szCs w:val="21"/>
                <w:highlight w:val="none"/>
              </w:rPr>
              <w:t>项目施工期采取的生态环境保护措施如下：</w:t>
            </w:r>
          </w:p>
          <w:p w14:paraId="0D27EB3F">
            <w:pPr>
              <w:adjustRightInd w:val="0"/>
              <w:ind w:firstLine="480"/>
              <w:rPr>
                <w:bCs/>
                <w:color w:val="auto"/>
                <w:kern w:val="0"/>
                <w:szCs w:val="21"/>
                <w:highlight w:val="none"/>
              </w:rPr>
            </w:pPr>
            <w:r>
              <w:rPr>
                <w:bCs/>
                <w:color w:val="auto"/>
                <w:kern w:val="0"/>
                <w:szCs w:val="21"/>
                <w:highlight w:val="none"/>
              </w:rPr>
              <w:t>（1）严格控制施工扰动面积，尽量减少施工期对原地表植被的破坏；</w:t>
            </w:r>
          </w:p>
          <w:p w14:paraId="4F7877E6">
            <w:pPr>
              <w:adjustRightInd w:val="0"/>
              <w:ind w:firstLine="480"/>
              <w:rPr>
                <w:bCs/>
                <w:color w:val="auto"/>
                <w:kern w:val="0"/>
                <w:szCs w:val="21"/>
                <w:highlight w:val="none"/>
              </w:rPr>
            </w:pPr>
            <w:r>
              <w:rPr>
                <w:bCs/>
                <w:color w:val="auto"/>
                <w:kern w:val="0"/>
                <w:szCs w:val="21"/>
                <w:highlight w:val="none"/>
              </w:rPr>
              <w:t>（2）加强对施工人员的管理，</w:t>
            </w:r>
            <w:r>
              <w:rPr>
                <w:rFonts w:hint="eastAsia"/>
                <w:bCs/>
                <w:color w:val="auto"/>
                <w:kern w:val="0"/>
                <w:szCs w:val="21"/>
                <w:highlight w:val="none"/>
              </w:rPr>
              <w:t>须严格控制施工范围，严禁超计划占地，</w:t>
            </w:r>
            <w:r>
              <w:rPr>
                <w:bCs/>
                <w:color w:val="auto"/>
                <w:kern w:val="0"/>
                <w:szCs w:val="21"/>
                <w:highlight w:val="none"/>
              </w:rPr>
              <w:t>严禁施工人员乱砍、滥伐，以及猎杀野生动物等行为；</w:t>
            </w:r>
          </w:p>
          <w:p w14:paraId="53F85D87">
            <w:pPr>
              <w:adjustRightInd w:val="0"/>
              <w:ind w:firstLine="480"/>
              <w:rPr>
                <w:bCs/>
                <w:color w:val="auto"/>
                <w:kern w:val="0"/>
                <w:szCs w:val="21"/>
                <w:highlight w:val="none"/>
              </w:rPr>
            </w:pPr>
            <w:r>
              <w:rPr>
                <w:bCs/>
                <w:color w:val="auto"/>
                <w:kern w:val="0"/>
                <w:szCs w:val="21"/>
                <w:highlight w:val="none"/>
              </w:rPr>
              <w:t>（3）施工时，做好施工区临时截</w:t>
            </w:r>
            <w:r>
              <w:rPr>
                <w:rFonts w:hint="eastAsia"/>
                <w:bCs/>
                <w:color w:val="auto"/>
                <w:kern w:val="0"/>
                <w:szCs w:val="21"/>
                <w:highlight w:val="none"/>
              </w:rPr>
              <w:t>（</w:t>
            </w:r>
            <w:r>
              <w:rPr>
                <w:bCs/>
                <w:color w:val="auto"/>
                <w:kern w:val="0"/>
                <w:szCs w:val="21"/>
                <w:highlight w:val="none"/>
              </w:rPr>
              <w:t>排</w:t>
            </w:r>
            <w:r>
              <w:rPr>
                <w:rFonts w:hint="eastAsia"/>
                <w:bCs/>
                <w:color w:val="auto"/>
                <w:kern w:val="0"/>
                <w:szCs w:val="21"/>
                <w:highlight w:val="none"/>
              </w:rPr>
              <w:t>）</w:t>
            </w:r>
            <w:r>
              <w:rPr>
                <w:bCs/>
                <w:color w:val="auto"/>
                <w:kern w:val="0"/>
                <w:szCs w:val="21"/>
                <w:highlight w:val="none"/>
              </w:rPr>
              <w:t>水沟的设置，并避免在暴雨天气进行施工，减少水土流失量。</w:t>
            </w:r>
          </w:p>
          <w:p w14:paraId="5B9C8C3E">
            <w:pPr>
              <w:adjustRightInd w:val="0"/>
              <w:ind w:firstLine="480"/>
              <w:rPr>
                <w:bCs/>
                <w:color w:val="auto"/>
                <w:kern w:val="0"/>
                <w:szCs w:val="21"/>
                <w:highlight w:val="none"/>
              </w:rPr>
            </w:pPr>
            <w:r>
              <w:rPr>
                <w:rFonts w:hint="eastAsia"/>
                <w:bCs/>
                <w:color w:val="auto"/>
                <w:kern w:val="0"/>
                <w:szCs w:val="21"/>
                <w:highlight w:val="none"/>
              </w:rPr>
              <w:t>（4）严格执行水土保持方案提出的</w:t>
            </w:r>
            <w:r>
              <w:rPr>
                <w:rFonts w:hint="eastAsia"/>
                <w:color w:val="auto"/>
                <w:spacing w:val="-2"/>
                <w:highlight w:val="none"/>
              </w:rPr>
              <w:t>水土流失防治措施</w:t>
            </w:r>
            <w:r>
              <w:rPr>
                <w:rFonts w:hint="eastAsia"/>
                <w:bCs/>
                <w:color w:val="auto"/>
                <w:kern w:val="0"/>
                <w:szCs w:val="21"/>
                <w:highlight w:val="none"/>
              </w:rPr>
              <w:t>。</w:t>
            </w:r>
          </w:p>
          <w:p w14:paraId="1FBD10A0">
            <w:pPr>
              <w:adjustRightInd w:val="0"/>
              <w:ind w:firstLine="482"/>
              <w:rPr>
                <w:b/>
                <w:color w:val="auto"/>
                <w:kern w:val="0"/>
                <w:szCs w:val="21"/>
                <w:highlight w:val="none"/>
              </w:rPr>
            </w:pPr>
            <w:r>
              <w:rPr>
                <w:b/>
                <w:color w:val="auto"/>
                <w:kern w:val="0"/>
                <w:szCs w:val="21"/>
                <w:highlight w:val="none"/>
              </w:rPr>
              <w:t>2、施工期生态保护措施可行性</w:t>
            </w:r>
          </w:p>
          <w:p w14:paraId="33338565">
            <w:pPr>
              <w:adjustRightInd w:val="0"/>
              <w:ind w:firstLine="480"/>
              <w:rPr>
                <w:bCs/>
                <w:color w:val="auto"/>
                <w:kern w:val="0"/>
                <w:szCs w:val="21"/>
                <w:highlight w:val="none"/>
              </w:rPr>
            </w:pPr>
            <w:r>
              <w:rPr>
                <w:bCs/>
                <w:color w:val="auto"/>
                <w:kern w:val="0"/>
                <w:szCs w:val="21"/>
                <w:highlight w:val="none"/>
              </w:rPr>
              <w:t>项目施工期主要</w:t>
            </w:r>
            <w:r>
              <w:rPr>
                <w:rFonts w:hint="eastAsia"/>
                <w:bCs/>
                <w:color w:val="auto"/>
                <w:kern w:val="0"/>
                <w:szCs w:val="21"/>
                <w:highlight w:val="none"/>
                <w:lang w:val="en-US" w:eastAsia="zh-CN"/>
              </w:rPr>
              <w:t>进行办公生活区、工业场地区、内部道路建设</w:t>
            </w:r>
            <w:r>
              <w:rPr>
                <w:rFonts w:hint="eastAsia"/>
                <w:color w:val="auto"/>
                <w:highlight w:val="none"/>
                <w:lang w:eastAsia="zh-CN"/>
              </w:rPr>
              <w:t>，</w:t>
            </w:r>
            <w:r>
              <w:rPr>
                <w:bCs/>
                <w:color w:val="auto"/>
                <w:kern w:val="0"/>
                <w:szCs w:val="21"/>
                <w:highlight w:val="none"/>
              </w:rPr>
              <w:t>会造成少量的植被破坏、动物迁徙以及少量的水土流失</w:t>
            </w:r>
            <w:r>
              <w:rPr>
                <w:rFonts w:hint="eastAsia"/>
                <w:bCs/>
                <w:color w:val="auto"/>
                <w:kern w:val="0"/>
                <w:szCs w:val="21"/>
                <w:highlight w:val="none"/>
                <w:lang w:eastAsia="zh-CN"/>
              </w:rPr>
              <w:t>，</w:t>
            </w:r>
            <w:r>
              <w:rPr>
                <w:rFonts w:hint="eastAsia"/>
                <w:color w:val="auto"/>
                <w:highlight w:val="none"/>
                <w:lang w:val="en-US" w:eastAsia="zh-CN"/>
              </w:rPr>
              <w:t>项目不超用地范围建设，严格执行水保提出的相应措施，项目</w:t>
            </w:r>
            <w:r>
              <w:rPr>
                <w:bCs/>
                <w:color w:val="auto"/>
                <w:kern w:val="0"/>
                <w:szCs w:val="21"/>
                <w:highlight w:val="none"/>
              </w:rPr>
              <w:t>对生态环境破坏</w:t>
            </w:r>
            <w:r>
              <w:rPr>
                <w:rFonts w:hint="eastAsia"/>
                <w:bCs/>
                <w:color w:val="auto"/>
                <w:kern w:val="0"/>
                <w:szCs w:val="21"/>
                <w:highlight w:val="none"/>
                <w:lang w:val="en-US" w:eastAsia="zh-CN"/>
              </w:rPr>
              <w:t>在可控范围</w:t>
            </w:r>
            <w:r>
              <w:rPr>
                <w:bCs/>
                <w:color w:val="auto"/>
                <w:kern w:val="0"/>
                <w:szCs w:val="21"/>
                <w:highlight w:val="none"/>
              </w:rPr>
              <w:t>。</w:t>
            </w:r>
          </w:p>
          <w:p w14:paraId="5A91412A">
            <w:pPr>
              <w:adjustRightInd w:val="0"/>
              <w:ind w:firstLine="480"/>
              <w:rPr>
                <w:bCs/>
                <w:color w:val="auto"/>
                <w:kern w:val="0"/>
                <w:szCs w:val="21"/>
                <w:highlight w:val="none"/>
              </w:rPr>
            </w:pPr>
            <w:r>
              <w:rPr>
                <w:bCs/>
                <w:color w:val="auto"/>
                <w:kern w:val="0"/>
                <w:szCs w:val="21"/>
                <w:highlight w:val="none"/>
              </w:rPr>
              <w:t>项目措施主要是针对施工时对生态环境的影响层面进行提出，在严格控制施工范围、管束好施工人员、做好施工期雨季地表径流的截流以及沉砂处理的情况下，项目施工期采取的措施合法合规，满足生态环境保护要求，且投资小、经济可行，对生态环境的影响是可以接受的。</w:t>
            </w:r>
          </w:p>
          <w:p w14:paraId="117DE16C">
            <w:pPr>
              <w:adjustRightInd w:val="0"/>
              <w:ind w:firstLine="480"/>
              <w:rPr>
                <w:bCs/>
                <w:color w:val="auto"/>
                <w:kern w:val="0"/>
                <w:szCs w:val="21"/>
                <w:highlight w:val="none"/>
              </w:rPr>
            </w:pPr>
            <w:r>
              <w:rPr>
                <w:bCs/>
                <w:color w:val="auto"/>
                <w:kern w:val="0"/>
                <w:szCs w:val="21"/>
                <w:highlight w:val="none"/>
              </w:rPr>
              <w:t>项目为矿山开采项目，在闭矿期将对项目扰动区域进行复垦，施工期对生态环境的影响将在闭矿期复垦工作中得到逐步恢复，因此施工期对生态环境的影响具有可逆性。</w:t>
            </w:r>
          </w:p>
          <w:p w14:paraId="253D94B3">
            <w:pPr>
              <w:adjustRightInd w:val="0"/>
              <w:ind w:firstLine="482"/>
              <w:rPr>
                <w:b/>
                <w:color w:val="auto"/>
                <w:kern w:val="0"/>
                <w:szCs w:val="21"/>
                <w:highlight w:val="none"/>
              </w:rPr>
            </w:pPr>
            <w:r>
              <w:rPr>
                <w:b/>
                <w:color w:val="auto"/>
                <w:kern w:val="0"/>
                <w:szCs w:val="21"/>
                <w:highlight w:val="none"/>
              </w:rPr>
              <w:t>二、施工期大气环境污染防治措施和可行性</w:t>
            </w:r>
          </w:p>
          <w:p w14:paraId="467E4DCD">
            <w:pPr>
              <w:adjustRightInd w:val="0"/>
              <w:ind w:firstLine="482"/>
              <w:rPr>
                <w:b/>
                <w:color w:val="auto"/>
                <w:kern w:val="0"/>
                <w:szCs w:val="21"/>
                <w:highlight w:val="none"/>
              </w:rPr>
            </w:pPr>
            <w:r>
              <w:rPr>
                <w:b/>
                <w:color w:val="auto"/>
                <w:kern w:val="0"/>
                <w:szCs w:val="21"/>
                <w:highlight w:val="none"/>
              </w:rPr>
              <w:t>1、施工期大气环境污染防治对策措施</w:t>
            </w:r>
          </w:p>
          <w:p w14:paraId="767B82D7">
            <w:pPr>
              <w:adjustRightInd w:val="0"/>
              <w:ind w:firstLine="480"/>
              <w:rPr>
                <w:bCs/>
                <w:snapToGrid w:val="0"/>
                <w:color w:val="auto"/>
                <w:kern w:val="0"/>
                <w:szCs w:val="21"/>
                <w:highlight w:val="none"/>
              </w:rPr>
            </w:pPr>
            <w:r>
              <w:rPr>
                <w:bCs/>
                <w:snapToGrid w:val="0"/>
                <w:color w:val="auto"/>
                <w:kern w:val="0"/>
                <w:szCs w:val="21"/>
                <w:highlight w:val="none"/>
              </w:rPr>
              <w:t>（1）施工期对施工场地、入场道路等进行洒水降尘处理；</w:t>
            </w:r>
          </w:p>
          <w:p w14:paraId="7B577C58">
            <w:pPr>
              <w:adjustRightInd w:val="0"/>
              <w:ind w:firstLine="480"/>
              <w:rPr>
                <w:rFonts w:hint="eastAsia" w:eastAsia="宋体"/>
                <w:bCs/>
                <w:snapToGrid w:val="0"/>
                <w:color w:val="auto"/>
                <w:kern w:val="0"/>
                <w:szCs w:val="21"/>
                <w:highlight w:val="none"/>
                <w:lang w:eastAsia="zh-CN"/>
              </w:rPr>
            </w:pPr>
            <w:r>
              <w:rPr>
                <w:bCs/>
                <w:snapToGrid w:val="0"/>
                <w:color w:val="auto"/>
                <w:kern w:val="0"/>
                <w:szCs w:val="21"/>
                <w:highlight w:val="none"/>
              </w:rPr>
              <w:t>（2）材料运输过程中，控制车速，并采取篷布遮盖运输易产生扬尘的施工材料</w:t>
            </w:r>
            <w:r>
              <w:rPr>
                <w:rFonts w:hint="eastAsia"/>
                <w:bCs/>
                <w:snapToGrid w:val="0"/>
                <w:color w:val="auto"/>
                <w:kern w:val="0"/>
                <w:szCs w:val="21"/>
                <w:highlight w:val="none"/>
                <w:lang w:eastAsia="zh-CN"/>
              </w:rPr>
              <w:t>；</w:t>
            </w:r>
          </w:p>
          <w:p w14:paraId="55F98E30">
            <w:pPr>
              <w:adjustRightInd w:val="0"/>
              <w:ind w:firstLine="480"/>
              <w:rPr>
                <w:rFonts w:hint="eastAsia" w:eastAsia="宋体"/>
                <w:color w:val="auto"/>
                <w:highlight w:val="none"/>
                <w:lang w:eastAsia="zh-CN"/>
              </w:rPr>
            </w:pPr>
            <w:r>
              <w:rPr>
                <w:rFonts w:hint="eastAsia"/>
                <w:bCs/>
                <w:snapToGrid w:val="0"/>
                <w:color w:val="auto"/>
                <w:kern w:val="0"/>
                <w:szCs w:val="21"/>
                <w:highlight w:val="none"/>
                <w:lang w:eastAsia="zh-CN"/>
              </w:rPr>
              <w:t>（</w:t>
            </w:r>
            <w:r>
              <w:rPr>
                <w:rFonts w:hint="eastAsia"/>
                <w:bCs/>
                <w:snapToGrid w:val="0"/>
                <w:color w:val="auto"/>
                <w:kern w:val="0"/>
                <w:szCs w:val="21"/>
                <w:highlight w:val="none"/>
                <w:lang w:val="en-US" w:eastAsia="zh-CN"/>
              </w:rPr>
              <w:t>3</w:t>
            </w:r>
            <w:r>
              <w:rPr>
                <w:rFonts w:hint="eastAsia"/>
                <w:bCs/>
                <w:snapToGrid w:val="0"/>
                <w:color w:val="auto"/>
                <w:kern w:val="0"/>
                <w:szCs w:val="21"/>
                <w:highlight w:val="none"/>
                <w:lang w:eastAsia="zh-CN"/>
              </w:rPr>
              <w:t>）合理安排施工期，避开大风天；完工后及时清场、加强管理等措施进行控制。</w:t>
            </w:r>
          </w:p>
          <w:p w14:paraId="664A411D">
            <w:pPr>
              <w:adjustRightInd w:val="0"/>
              <w:ind w:firstLine="482"/>
              <w:rPr>
                <w:b/>
                <w:color w:val="auto"/>
                <w:kern w:val="0"/>
                <w:szCs w:val="21"/>
                <w:highlight w:val="none"/>
              </w:rPr>
            </w:pPr>
            <w:r>
              <w:rPr>
                <w:b/>
                <w:color w:val="auto"/>
                <w:kern w:val="0"/>
                <w:szCs w:val="21"/>
                <w:highlight w:val="none"/>
              </w:rPr>
              <w:t>2、施工期废气污染防治措施可行性分析</w:t>
            </w:r>
          </w:p>
          <w:p w14:paraId="49B0ED32">
            <w:pPr>
              <w:adjustRightInd w:val="0"/>
              <w:ind w:firstLine="480"/>
              <w:rPr>
                <w:bCs/>
                <w:snapToGrid w:val="0"/>
                <w:color w:val="auto"/>
                <w:kern w:val="0"/>
                <w:szCs w:val="21"/>
                <w:highlight w:val="none"/>
              </w:rPr>
            </w:pPr>
            <w:r>
              <w:rPr>
                <w:bCs/>
                <w:snapToGrid w:val="0"/>
                <w:color w:val="auto"/>
                <w:kern w:val="0"/>
                <w:szCs w:val="21"/>
                <w:highlight w:val="none"/>
              </w:rPr>
              <w:t>项目废气防治措施主要是针对施工扬尘的一个抑制产生</w:t>
            </w:r>
            <w:r>
              <w:rPr>
                <w:rFonts w:hint="eastAsia"/>
                <w:bCs/>
                <w:snapToGrid w:val="0"/>
                <w:color w:val="auto"/>
                <w:kern w:val="0"/>
                <w:szCs w:val="21"/>
                <w:highlight w:val="none"/>
                <w:lang w:eastAsia="zh-CN"/>
              </w:rPr>
              <w:t>、以</w:t>
            </w:r>
            <w:r>
              <w:rPr>
                <w:bCs/>
                <w:snapToGrid w:val="0"/>
                <w:color w:val="auto"/>
                <w:kern w:val="0"/>
                <w:szCs w:val="21"/>
                <w:highlight w:val="none"/>
              </w:rPr>
              <w:t>及产生后的降尘措施，做好施工材料运输期间的防尘工作，并进行洒水降尘后，空气中湿度增大，漂浮的粉尘随水滴滴落地面，达到降尘效果；项目机械设备、运输车辆在使用过程中产生少量的燃油尾气，由于使用时间较短，产生量较少，在经空气稀释及扩散后，对项目区大气环境影响不大。</w:t>
            </w:r>
          </w:p>
          <w:p w14:paraId="23887414">
            <w:pPr>
              <w:ind w:firstLine="480"/>
              <w:jc w:val="left"/>
              <w:rPr>
                <w:b/>
                <w:bCs/>
                <w:color w:val="auto"/>
                <w:kern w:val="0"/>
                <w:szCs w:val="21"/>
                <w:highlight w:val="none"/>
              </w:rPr>
            </w:pPr>
            <w:r>
              <w:rPr>
                <w:bCs/>
                <w:snapToGrid w:val="0"/>
                <w:color w:val="auto"/>
                <w:kern w:val="0"/>
                <w:szCs w:val="21"/>
                <w:highlight w:val="none"/>
              </w:rPr>
              <w:t>综上，项目施工期废气防治措施主要是从源头上控制以及湿式降尘，为可行技术，操作上简单方便且投资较小，经济可行，在采取以上措施后，项目施工期场界扬尘可满足《大气污染物综合排放标准》（GB16297-1996）表2中无组织排放监控浓度限值要求，项目施工期废气对周围环境影响不大，是可以接受的</w:t>
            </w:r>
            <w:r>
              <w:rPr>
                <w:snapToGrid w:val="0"/>
                <w:color w:val="auto"/>
                <w:kern w:val="0"/>
                <w:szCs w:val="21"/>
                <w:highlight w:val="none"/>
              </w:rPr>
              <w:t>。</w:t>
            </w:r>
          </w:p>
          <w:p w14:paraId="44D9DFBC">
            <w:pPr>
              <w:adjustRightInd w:val="0"/>
              <w:ind w:firstLine="482"/>
              <w:rPr>
                <w:b/>
                <w:color w:val="auto"/>
                <w:kern w:val="0"/>
                <w:szCs w:val="21"/>
                <w:highlight w:val="none"/>
              </w:rPr>
            </w:pPr>
            <w:r>
              <w:rPr>
                <w:b/>
                <w:color w:val="auto"/>
                <w:kern w:val="0"/>
                <w:szCs w:val="21"/>
                <w:highlight w:val="none"/>
              </w:rPr>
              <w:t>三、施工期废水环境污染防治措施</w:t>
            </w:r>
          </w:p>
          <w:p w14:paraId="7568F92C">
            <w:pPr>
              <w:adjustRightInd w:val="0"/>
              <w:ind w:firstLine="482"/>
              <w:rPr>
                <w:b/>
                <w:color w:val="auto"/>
                <w:kern w:val="0"/>
                <w:szCs w:val="21"/>
                <w:highlight w:val="none"/>
              </w:rPr>
            </w:pPr>
            <w:r>
              <w:rPr>
                <w:b/>
                <w:color w:val="auto"/>
                <w:kern w:val="0"/>
                <w:szCs w:val="21"/>
                <w:highlight w:val="none"/>
              </w:rPr>
              <w:t>1、施工期废水污染防治措施</w:t>
            </w:r>
          </w:p>
          <w:p w14:paraId="572C10EF">
            <w:pPr>
              <w:adjustRightInd w:val="0"/>
              <w:ind w:firstLine="480"/>
              <w:rPr>
                <w:bCs/>
                <w:color w:val="auto"/>
                <w:kern w:val="0"/>
                <w:szCs w:val="21"/>
                <w:highlight w:val="none"/>
              </w:rPr>
            </w:pPr>
            <w:r>
              <w:rPr>
                <w:bCs/>
                <w:color w:val="auto"/>
                <w:kern w:val="0"/>
                <w:szCs w:val="21"/>
                <w:highlight w:val="none"/>
              </w:rPr>
              <w:t>施工期施工人员不在厂内食宿，施工期废水主要是施工人员洗手废水、施工废水</w:t>
            </w:r>
            <w:r>
              <w:rPr>
                <w:rFonts w:hint="eastAsia"/>
                <w:bCs/>
                <w:color w:val="auto"/>
                <w:kern w:val="0"/>
                <w:szCs w:val="21"/>
                <w:highlight w:val="none"/>
              </w:rPr>
              <w:t>及地表径流</w:t>
            </w:r>
            <w:r>
              <w:rPr>
                <w:bCs/>
                <w:color w:val="auto"/>
                <w:kern w:val="0"/>
                <w:szCs w:val="21"/>
                <w:highlight w:val="none"/>
              </w:rPr>
              <w:t>。</w:t>
            </w:r>
          </w:p>
          <w:p w14:paraId="7B152BCB">
            <w:pPr>
              <w:adjustRightInd w:val="0"/>
              <w:ind w:firstLine="480"/>
              <w:rPr>
                <w:bCs/>
                <w:color w:val="auto"/>
                <w:kern w:val="0"/>
                <w:szCs w:val="21"/>
                <w:highlight w:val="none"/>
              </w:rPr>
            </w:pPr>
            <w:r>
              <w:rPr>
                <w:bCs/>
                <w:color w:val="auto"/>
                <w:kern w:val="0"/>
                <w:szCs w:val="21"/>
                <w:highlight w:val="none"/>
              </w:rPr>
              <w:t>建设单位拟在施工场地设置一个1m</w:t>
            </w:r>
            <w:r>
              <w:rPr>
                <w:bCs/>
                <w:color w:val="auto"/>
                <w:kern w:val="0"/>
                <w:szCs w:val="21"/>
                <w:highlight w:val="none"/>
                <w:vertAlign w:val="superscript"/>
              </w:rPr>
              <w:t>3</w:t>
            </w:r>
            <w:r>
              <w:rPr>
                <w:bCs/>
                <w:color w:val="auto"/>
                <w:kern w:val="0"/>
                <w:szCs w:val="21"/>
                <w:highlight w:val="none"/>
              </w:rPr>
              <w:t>的临时</w:t>
            </w:r>
            <w:r>
              <w:rPr>
                <w:rFonts w:hint="eastAsia"/>
                <w:bCs/>
                <w:color w:val="auto"/>
                <w:kern w:val="0"/>
                <w:szCs w:val="21"/>
                <w:highlight w:val="none"/>
                <w:lang w:eastAsia="zh-CN"/>
              </w:rPr>
              <w:t>沉砂池</w:t>
            </w:r>
            <w:r>
              <w:rPr>
                <w:bCs/>
                <w:color w:val="auto"/>
                <w:kern w:val="0"/>
                <w:szCs w:val="21"/>
                <w:highlight w:val="none"/>
              </w:rPr>
              <w:t>沉淀施工废水和施工人员生活</w:t>
            </w:r>
            <w:r>
              <w:rPr>
                <w:rFonts w:hint="eastAsia"/>
                <w:bCs/>
                <w:color w:val="auto"/>
                <w:kern w:val="0"/>
                <w:szCs w:val="21"/>
                <w:highlight w:val="none"/>
              </w:rPr>
              <w:t>污水</w:t>
            </w:r>
            <w:r>
              <w:rPr>
                <w:bCs/>
                <w:color w:val="auto"/>
                <w:kern w:val="0"/>
                <w:szCs w:val="21"/>
                <w:highlight w:val="none"/>
              </w:rPr>
              <w:t>，沉淀后用于施工场地晴天洒水降尘。</w:t>
            </w:r>
          </w:p>
          <w:p w14:paraId="1DBAE5F8">
            <w:pPr>
              <w:adjustRightInd w:val="0"/>
              <w:ind w:firstLine="482"/>
              <w:rPr>
                <w:b/>
                <w:color w:val="auto"/>
                <w:kern w:val="0"/>
                <w:szCs w:val="21"/>
                <w:highlight w:val="none"/>
              </w:rPr>
            </w:pPr>
            <w:r>
              <w:rPr>
                <w:b/>
                <w:color w:val="auto"/>
                <w:kern w:val="0"/>
                <w:szCs w:val="21"/>
                <w:highlight w:val="none"/>
              </w:rPr>
              <w:t>2、施工期废水防治措施可行性分析</w:t>
            </w:r>
          </w:p>
          <w:p w14:paraId="26151192">
            <w:pPr>
              <w:adjustRightInd w:val="0"/>
              <w:ind w:firstLine="480"/>
              <w:rPr>
                <w:bCs/>
                <w:color w:val="auto"/>
                <w:kern w:val="0"/>
                <w:szCs w:val="21"/>
                <w:highlight w:val="none"/>
              </w:rPr>
            </w:pPr>
            <w:r>
              <w:rPr>
                <w:bCs/>
                <w:color w:val="auto"/>
                <w:kern w:val="0"/>
                <w:szCs w:val="21"/>
                <w:highlight w:val="none"/>
              </w:rPr>
              <w:t>项目施工期施工人员生活污水中主要是洗手、洗漱废水，废水中污染物主要是SS及少量的COD、BOD</w:t>
            </w:r>
            <w:r>
              <w:rPr>
                <w:bCs/>
                <w:color w:val="auto"/>
                <w:kern w:val="0"/>
                <w:szCs w:val="21"/>
                <w:highlight w:val="none"/>
                <w:vertAlign w:val="subscript"/>
              </w:rPr>
              <w:t>5</w:t>
            </w:r>
            <w:r>
              <w:rPr>
                <w:bCs/>
                <w:color w:val="auto"/>
                <w:kern w:val="0"/>
                <w:szCs w:val="21"/>
                <w:highlight w:val="none"/>
              </w:rPr>
              <w:t>等污染物，项目生活</w:t>
            </w:r>
            <w:r>
              <w:rPr>
                <w:rFonts w:hint="eastAsia"/>
                <w:bCs/>
                <w:color w:val="auto"/>
                <w:kern w:val="0"/>
                <w:szCs w:val="21"/>
                <w:highlight w:val="none"/>
              </w:rPr>
              <w:t>污水</w:t>
            </w:r>
            <w:r>
              <w:rPr>
                <w:bCs/>
                <w:color w:val="auto"/>
                <w:kern w:val="0"/>
                <w:szCs w:val="21"/>
                <w:highlight w:val="none"/>
              </w:rPr>
              <w:t>经</w:t>
            </w:r>
            <w:r>
              <w:rPr>
                <w:rFonts w:hint="eastAsia"/>
                <w:bCs/>
                <w:color w:val="auto"/>
                <w:kern w:val="0"/>
                <w:szCs w:val="21"/>
                <w:highlight w:val="none"/>
                <w:lang w:eastAsia="zh-CN"/>
              </w:rPr>
              <w:t>沉砂池</w:t>
            </w:r>
            <w:r>
              <w:rPr>
                <w:bCs/>
                <w:color w:val="auto"/>
                <w:kern w:val="0"/>
                <w:szCs w:val="21"/>
                <w:highlight w:val="none"/>
              </w:rPr>
              <w:t>处理可去除水中的大部分SS物质，经沉淀处理后的废水是可以满足洒水降尘用水要求的。</w:t>
            </w:r>
          </w:p>
          <w:p w14:paraId="114FC38B">
            <w:pPr>
              <w:adjustRightInd w:val="0"/>
              <w:ind w:firstLine="480"/>
              <w:rPr>
                <w:bCs/>
                <w:color w:val="auto"/>
                <w:kern w:val="0"/>
                <w:szCs w:val="21"/>
                <w:highlight w:val="none"/>
              </w:rPr>
            </w:pPr>
            <w:r>
              <w:rPr>
                <w:bCs/>
                <w:color w:val="auto"/>
                <w:kern w:val="0"/>
                <w:szCs w:val="21"/>
                <w:highlight w:val="none"/>
              </w:rPr>
              <w:t>施工设备冲洗废水水中主要含有SS，经沉淀处理后，可回用于项目施工区洒水降尘处理。</w:t>
            </w:r>
          </w:p>
          <w:p w14:paraId="3C0D5322">
            <w:pPr>
              <w:adjustRightInd w:val="0"/>
              <w:ind w:firstLine="480"/>
              <w:rPr>
                <w:b/>
                <w:bCs/>
                <w:color w:val="auto"/>
                <w:kern w:val="0"/>
                <w:szCs w:val="21"/>
                <w:highlight w:val="none"/>
              </w:rPr>
            </w:pPr>
            <w:r>
              <w:rPr>
                <w:bCs/>
                <w:color w:val="auto"/>
                <w:kern w:val="0"/>
                <w:szCs w:val="21"/>
                <w:highlight w:val="none"/>
              </w:rPr>
              <w:t>综上，项目施工期废水防治措施为可行技术，投资小、经济可行，在采取以上措施后，项目施工期废水对周围环境影响不大，是可以接受的。</w:t>
            </w:r>
          </w:p>
          <w:p w14:paraId="663B1C8F">
            <w:pPr>
              <w:adjustRightInd w:val="0"/>
              <w:ind w:firstLine="482"/>
              <w:rPr>
                <w:b/>
                <w:color w:val="auto"/>
                <w:kern w:val="0"/>
                <w:szCs w:val="21"/>
                <w:highlight w:val="none"/>
              </w:rPr>
            </w:pPr>
            <w:r>
              <w:rPr>
                <w:b/>
                <w:color w:val="auto"/>
                <w:kern w:val="0"/>
                <w:szCs w:val="21"/>
                <w:highlight w:val="none"/>
              </w:rPr>
              <w:t>四、施工期固</w:t>
            </w:r>
            <w:r>
              <w:rPr>
                <w:rFonts w:hint="eastAsia"/>
                <w:b/>
                <w:color w:val="auto"/>
                <w:kern w:val="0"/>
                <w:szCs w:val="21"/>
                <w:highlight w:val="none"/>
              </w:rPr>
              <w:t>固体废</w:t>
            </w:r>
            <w:r>
              <w:rPr>
                <w:rFonts w:hint="eastAsia"/>
                <w:b/>
                <w:color w:val="auto"/>
                <w:kern w:val="0"/>
                <w:szCs w:val="21"/>
                <w:highlight w:val="none"/>
                <w:lang w:eastAsia="zh-CN"/>
              </w:rPr>
              <w:t>物污</w:t>
            </w:r>
            <w:r>
              <w:rPr>
                <w:b/>
                <w:color w:val="auto"/>
                <w:kern w:val="0"/>
                <w:szCs w:val="21"/>
                <w:highlight w:val="none"/>
              </w:rPr>
              <w:t>染防治措施及可行性</w:t>
            </w:r>
          </w:p>
          <w:p w14:paraId="04C398A8">
            <w:pPr>
              <w:adjustRightInd w:val="0"/>
              <w:ind w:firstLine="482"/>
              <w:rPr>
                <w:b/>
                <w:color w:val="auto"/>
                <w:kern w:val="0"/>
                <w:szCs w:val="21"/>
                <w:highlight w:val="none"/>
              </w:rPr>
            </w:pPr>
            <w:r>
              <w:rPr>
                <w:b/>
                <w:color w:val="auto"/>
                <w:kern w:val="0"/>
                <w:szCs w:val="21"/>
                <w:highlight w:val="none"/>
              </w:rPr>
              <w:t>1、施工期</w:t>
            </w:r>
            <w:r>
              <w:rPr>
                <w:rFonts w:hint="eastAsia"/>
                <w:b/>
                <w:color w:val="auto"/>
                <w:kern w:val="0"/>
                <w:szCs w:val="21"/>
                <w:highlight w:val="none"/>
              </w:rPr>
              <w:t>固体废</w:t>
            </w:r>
            <w:r>
              <w:rPr>
                <w:rFonts w:hint="eastAsia"/>
                <w:b/>
                <w:color w:val="auto"/>
                <w:kern w:val="0"/>
                <w:szCs w:val="21"/>
                <w:highlight w:val="none"/>
                <w:lang w:eastAsia="zh-CN"/>
              </w:rPr>
              <w:t>物污</w:t>
            </w:r>
            <w:r>
              <w:rPr>
                <w:b/>
                <w:color w:val="auto"/>
                <w:kern w:val="0"/>
                <w:szCs w:val="21"/>
                <w:highlight w:val="none"/>
              </w:rPr>
              <w:t>染防治措施</w:t>
            </w:r>
          </w:p>
          <w:p w14:paraId="5EC41E6D">
            <w:pPr>
              <w:adjustRightInd w:val="0"/>
              <w:ind w:firstLine="480"/>
              <w:rPr>
                <w:bCs/>
                <w:color w:val="auto"/>
                <w:kern w:val="0"/>
                <w:szCs w:val="21"/>
                <w:highlight w:val="none"/>
              </w:rPr>
            </w:pPr>
            <w:r>
              <w:rPr>
                <w:bCs/>
                <w:color w:val="auto"/>
                <w:kern w:val="0"/>
                <w:szCs w:val="21"/>
                <w:highlight w:val="none"/>
              </w:rPr>
              <w:t>（1）土石方回填</w:t>
            </w:r>
            <w:r>
              <w:rPr>
                <w:rFonts w:hint="eastAsia"/>
                <w:bCs/>
                <w:color w:val="auto"/>
                <w:kern w:val="0"/>
                <w:szCs w:val="21"/>
                <w:highlight w:val="none"/>
              </w:rPr>
              <w:t>及</w:t>
            </w:r>
            <w:r>
              <w:rPr>
                <w:rFonts w:hint="eastAsia"/>
                <w:bCs/>
                <w:color w:val="auto"/>
                <w:kern w:val="0"/>
                <w:szCs w:val="21"/>
                <w:highlight w:val="none"/>
                <w:lang w:val="en-US" w:eastAsia="zh-CN"/>
              </w:rPr>
              <w:t>道路铺垫</w:t>
            </w:r>
            <w:r>
              <w:rPr>
                <w:bCs/>
                <w:color w:val="auto"/>
                <w:kern w:val="0"/>
                <w:szCs w:val="21"/>
                <w:highlight w:val="none"/>
              </w:rPr>
              <w:t>，最终无永久弃方产生；</w:t>
            </w:r>
          </w:p>
          <w:p w14:paraId="24D01AAF">
            <w:pPr>
              <w:adjustRightInd w:val="0"/>
              <w:ind w:firstLine="480"/>
              <w:rPr>
                <w:bCs/>
                <w:color w:val="auto"/>
                <w:kern w:val="0"/>
                <w:szCs w:val="21"/>
                <w:highlight w:val="none"/>
              </w:rPr>
            </w:pPr>
            <w:r>
              <w:rPr>
                <w:bCs/>
                <w:color w:val="auto"/>
                <w:kern w:val="0"/>
                <w:szCs w:val="21"/>
                <w:highlight w:val="none"/>
              </w:rPr>
              <w:t>（2）建筑废料应进行充分回收利用，不能回收利用的部分应给予统一收集，不能随意丢弃，统一收集后运往城建部门指定地点进行处置；</w:t>
            </w:r>
          </w:p>
          <w:p w14:paraId="5E9C724E">
            <w:pPr>
              <w:adjustRightInd w:val="0"/>
              <w:ind w:firstLine="480"/>
              <w:rPr>
                <w:bCs/>
                <w:color w:val="auto"/>
                <w:kern w:val="0"/>
                <w:szCs w:val="21"/>
                <w:highlight w:val="none"/>
              </w:rPr>
            </w:pPr>
            <w:r>
              <w:rPr>
                <w:bCs/>
                <w:color w:val="auto"/>
                <w:kern w:val="0"/>
                <w:szCs w:val="21"/>
                <w:highlight w:val="none"/>
              </w:rPr>
              <w:t>（3）生活垃圾经过统一收集后</w:t>
            </w:r>
            <w:r>
              <w:rPr>
                <w:rFonts w:hint="eastAsia"/>
                <w:bCs/>
                <w:color w:val="auto"/>
                <w:kern w:val="0"/>
                <w:szCs w:val="21"/>
                <w:highlight w:val="none"/>
              </w:rPr>
              <w:t>委托环卫部门清运</w:t>
            </w:r>
            <w:r>
              <w:rPr>
                <w:bCs/>
                <w:color w:val="auto"/>
                <w:kern w:val="0"/>
                <w:szCs w:val="21"/>
                <w:highlight w:val="none"/>
              </w:rPr>
              <w:t>。</w:t>
            </w:r>
          </w:p>
          <w:p w14:paraId="32DA0629">
            <w:pPr>
              <w:adjustRightInd w:val="0"/>
              <w:ind w:firstLine="482"/>
              <w:rPr>
                <w:b/>
                <w:color w:val="auto"/>
                <w:kern w:val="0"/>
                <w:szCs w:val="21"/>
                <w:highlight w:val="none"/>
              </w:rPr>
            </w:pPr>
            <w:r>
              <w:rPr>
                <w:b/>
                <w:color w:val="auto"/>
                <w:kern w:val="0"/>
                <w:szCs w:val="21"/>
                <w:highlight w:val="none"/>
              </w:rPr>
              <w:t>2、施工期固</w:t>
            </w:r>
            <w:r>
              <w:rPr>
                <w:rFonts w:hint="eastAsia"/>
                <w:b/>
                <w:color w:val="auto"/>
                <w:kern w:val="0"/>
                <w:szCs w:val="21"/>
                <w:highlight w:val="none"/>
              </w:rPr>
              <w:t>固体废物污染</w:t>
            </w:r>
            <w:r>
              <w:rPr>
                <w:b/>
                <w:color w:val="auto"/>
                <w:kern w:val="0"/>
                <w:szCs w:val="21"/>
                <w:highlight w:val="none"/>
              </w:rPr>
              <w:t>防治措施可行性分析</w:t>
            </w:r>
          </w:p>
          <w:p w14:paraId="712B14FB">
            <w:pPr>
              <w:adjustRightInd w:val="0"/>
              <w:ind w:firstLine="480"/>
              <w:rPr>
                <w:bCs/>
                <w:color w:val="auto"/>
                <w:kern w:val="0"/>
                <w:szCs w:val="21"/>
                <w:highlight w:val="none"/>
              </w:rPr>
            </w:pPr>
            <w:r>
              <w:rPr>
                <w:bCs/>
                <w:color w:val="auto"/>
                <w:kern w:val="0"/>
                <w:szCs w:val="21"/>
                <w:highlight w:val="none"/>
              </w:rPr>
              <w:t>项目施工期土石方回填</w:t>
            </w:r>
            <w:r>
              <w:rPr>
                <w:rFonts w:hint="eastAsia"/>
                <w:bCs/>
                <w:color w:val="auto"/>
                <w:kern w:val="0"/>
                <w:szCs w:val="21"/>
                <w:highlight w:val="none"/>
                <w:lang w:val="en-US" w:eastAsia="zh-CN"/>
              </w:rPr>
              <w:t>及道路铺垫</w:t>
            </w:r>
            <w:r>
              <w:rPr>
                <w:bCs/>
                <w:color w:val="auto"/>
                <w:kern w:val="0"/>
                <w:szCs w:val="21"/>
                <w:highlight w:val="none"/>
              </w:rPr>
              <w:t>，最终无永久弃方产生，不产生废弃土石方；建筑废料中主要含有施工材料包装袋、建筑砌块、废混凝土块等，包装袋可回收外售给废品收购站，其余建筑垃圾清运</w:t>
            </w:r>
            <w:r>
              <w:rPr>
                <w:rFonts w:hint="eastAsia"/>
                <w:bCs/>
                <w:color w:val="auto"/>
                <w:kern w:val="0"/>
                <w:szCs w:val="21"/>
                <w:highlight w:val="none"/>
              </w:rPr>
              <w:t>至</w:t>
            </w:r>
            <w:r>
              <w:rPr>
                <w:bCs/>
                <w:color w:val="auto"/>
                <w:kern w:val="0"/>
                <w:szCs w:val="21"/>
                <w:highlight w:val="none"/>
              </w:rPr>
              <w:t>城建部门指定地点进行处置；项目区有道路通往</w:t>
            </w:r>
            <w:r>
              <w:rPr>
                <w:rFonts w:hint="eastAsia"/>
                <w:bCs/>
                <w:color w:val="auto"/>
                <w:kern w:val="0"/>
                <w:szCs w:val="21"/>
                <w:highlight w:val="none"/>
                <w:lang w:val="en-US" w:eastAsia="zh-CN"/>
              </w:rPr>
              <w:t>稗子田</w:t>
            </w:r>
            <w:r>
              <w:rPr>
                <w:bCs/>
                <w:color w:val="auto"/>
                <w:kern w:val="0"/>
                <w:szCs w:val="21"/>
                <w:highlight w:val="none"/>
              </w:rPr>
              <w:t>村，施工人员产生的少量生活垃圾</w:t>
            </w:r>
            <w:r>
              <w:rPr>
                <w:rFonts w:hint="eastAsia"/>
                <w:bCs/>
                <w:color w:val="auto"/>
                <w:kern w:val="0"/>
                <w:szCs w:val="21"/>
                <w:highlight w:val="none"/>
              </w:rPr>
              <w:t>委托环卫部门清运</w:t>
            </w:r>
            <w:r>
              <w:rPr>
                <w:bCs/>
                <w:color w:val="auto"/>
                <w:kern w:val="0"/>
                <w:szCs w:val="21"/>
                <w:highlight w:val="none"/>
              </w:rPr>
              <w:t>。因此，项目施工期</w:t>
            </w:r>
            <w:r>
              <w:rPr>
                <w:rFonts w:hint="eastAsia"/>
                <w:bCs/>
                <w:color w:val="auto"/>
                <w:kern w:val="0"/>
                <w:szCs w:val="21"/>
                <w:highlight w:val="none"/>
              </w:rPr>
              <w:t>固体废物</w:t>
            </w:r>
            <w:r>
              <w:rPr>
                <w:bCs/>
                <w:color w:val="auto"/>
                <w:kern w:val="0"/>
                <w:szCs w:val="21"/>
                <w:highlight w:val="none"/>
              </w:rPr>
              <w:t>可100%处置，且处置方式合理可行。</w:t>
            </w:r>
          </w:p>
          <w:p w14:paraId="1CD0C2F8">
            <w:pPr>
              <w:adjustRightInd w:val="0"/>
              <w:ind w:firstLine="482"/>
              <w:rPr>
                <w:b/>
                <w:color w:val="auto"/>
                <w:kern w:val="0"/>
                <w:szCs w:val="21"/>
                <w:highlight w:val="none"/>
              </w:rPr>
            </w:pPr>
            <w:r>
              <w:rPr>
                <w:b/>
                <w:color w:val="auto"/>
                <w:kern w:val="0"/>
                <w:szCs w:val="21"/>
                <w:highlight w:val="none"/>
              </w:rPr>
              <w:t>五、施工期噪声污染防治措施及可行性分析</w:t>
            </w:r>
          </w:p>
          <w:p w14:paraId="0FD45939">
            <w:pPr>
              <w:adjustRightInd w:val="0"/>
              <w:ind w:firstLine="482"/>
              <w:rPr>
                <w:b/>
                <w:color w:val="auto"/>
                <w:kern w:val="0"/>
                <w:szCs w:val="21"/>
                <w:highlight w:val="none"/>
              </w:rPr>
            </w:pPr>
            <w:r>
              <w:rPr>
                <w:b/>
                <w:color w:val="auto"/>
                <w:kern w:val="0"/>
                <w:szCs w:val="21"/>
                <w:highlight w:val="none"/>
              </w:rPr>
              <w:t>1、施工期噪声污染防治措施</w:t>
            </w:r>
          </w:p>
          <w:p w14:paraId="606F8ADD">
            <w:pPr>
              <w:adjustRightInd w:val="0"/>
              <w:ind w:firstLine="480"/>
              <w:rPr>
                <w:bCs/>
                <w:color w:val="auto"/>
                <w:kern w:val="0"/>
                <w:szCs w:val="21"/>
                <w:highlight w:val="none"/>
              </w:rPr>
            </w:pPr>
            <w:r>
              <w:rPr>
                <w:color w:val="auto"/>
                <w:kern w:val="0"/>
                <w:highlight w:val="none"/>
              </w:rPr>
              <w:t>项目施工期的噪声主要</w:t>
            </w:r>
            <w:r>
              <w:rPr>
                <w:rFonts w:hint="eastAsia"/>
                <w:color w:val="auto"/>
                <w:kern w:val="0"/>
                <w:highlight w:val="none"/>
              </w:rPr>
              <w:t>来自</w:t>
            </w:r>
            <w:r>
              <w:rPr>
                <w:color w:val="auto"/>
                <w:kern w:val="0"/>
                <w:highlight w:val="none"/>
              </w:rPr>
              <w:t>各种施工机械和车辆运输产生的作业噪声，噪声一般为</w:t>
            </w:r>
            <w:r>
              <w:rPr>
                <w:rFonts w:hint="eastAsia"/>
                <w:color w:val="auto"/>
                <w:kern w:val="0"/>
                <w:highlight w:val="none"/>
              </w:rPr>
              <w:t>间歇性</w:t>
            </w:r>
            <w:r>
              <w:rPr>
                <w:color w:val="auto"/>
                <w:kern w:val="0"/>
                <w:highlight w:val="none"/>
              </w:rPr>
              <w:t>噪声，施工机械噪声强度在85～95dB</w:t>
            </w:r>
            <w:r>
              <w:rPr>
                <w:rFonts w:hint="eastAsia"/>
                <w:color w:val="auto"/>
                <w:kern w:val="0"/>
                <w:highlight w:val="none"/>
              </w:rPr>
              <w:t>（</w:t>
            </w:r>
            <w:r>
              <w:rPr>
                <w:color w:val="auto"/>
                <w:kern w:val="0"/>
                <w:highlight w:val="none"/>
              </w:rPr>
              <w:t>A</w:t>
            </w:r>
            <w:r>
              <w:rPr>
                <w:rFonts w:hint="eastAsia"/>
                <w:color w:val="auto"/>
                <w:kern w:val="0"/>
                <w:highlight w:val="none"/>
              </w:rPr>
              <w:t>）</w:t>
            </w:r>
            <w:r>
              <w:rPr>
                <w:color w:val="auto"/>
                <w:kern w:val="0"/>
                <w:highlight w:val="none"/>
              </w:rPr>
              <w:t>之间，项目施工期噪声防治措施如下：</w:t>
            </w:r>
          </w:p>
          <w:p w14:paraId="322F321A">
            <w:pPr>
              <w:adjustRightInd w:val="0"/>
              <w:ind w:firstLine="480"/>
              <w:rPr>
                <w:bCs/>
                <w:color w:val="auto"/>
                <w:kern w:val="0"/>
                <w:szCs w:val="21"/>
                <w:highlight w:val="none"/>
              </w:rPr>
            </w:pPr>
            <w:r>
              <w:rPr>
                <w:bCs/>
                <w:color w:val="auto"/>
                <w:kern w:val="0"/>
                <w:szCs w:val="21"/>
                <w:highlight w:val="none"/>
              </w:rPr>
              <w:t>（1）项目夜间不施工</w:t>
            </w:r>
            <w:r>
              <w:rPr>
                <w:rFonts w:hint="eastAsia"/>
                <w:bCs/>
                <w:color w:val="auto"/>
                <w:kern w:val="0"/>
                <w:szCs w:val="21"/>
                <w:highlight w:val="none"/>
              </w:rPr>
              <w:t>。</w:t>
            </w:r>
          </w:p>
          <w:p w14:paraId="57A1E5E9">
            <w:pPr>
              <w:adjustRightInd w:val="0"/>
              <w:ind w:firstLine="480"/>
              <w:rPr>
                <w:bCs/>
                <w:color w:val="auto"/>
                <w:kern w:val="0"/>
                <w:szCs w:val="21"/>
                <w:highlight w:val="none"/>
              </w:rPr>
            </w:pPr>
            <w:r>
              <w:rPr>
                <w:rFonts w:hint="eastAsia"/>
                <w:bCs/>
                <w:color w:val="auto"/>
                <w:kern w:val="0"/>
                <w:szCs w:val="21"/>
                <w:highlight w:val="none"/>
              </w:rPr>
              <w:t>（2）</w:t>
            </w:r>
            <w:r>
              <w:rPr>
                <w:bCs/>
                <w:color w:val="auto"/>
                <w:kern w:val="0"/>
                <w:szCs w:val="21"/>
                <w:highlight w:val="none"/>
              </w:rPr>
              <w:t>合理安排施工机械布置和高噪声机械设备使用时间，错峰使用；</w:t>
            </w:r>
          </w:p>
          <w:p w14:paraId="78FE0D02">
            <w:pPr>
              <w:adjustRightInd w:val="0"/>
              <w:ind w:firstLine="480"/>
              <w:rPr>
                <w:bCs/>
                <w:color w:val="auto"/>
                <w:kern w:val="0"/>
                <w:szCs w:val="21"/>
                <w:highlight w:val="none"/>
              </w:rPr>
            </w:pPr>
            <w:r>
              <w:rPr>
                <w:bCs/>
                <w:color w:val="auto"/>
                <w:kern w:val="0"/>
                <w:szCs w:val="21"/>
                <w:highlight w:val="none"/>
              </w:rPr>
              <w:t>（</w:t>
            </w:r>
            <w:r>
              <w:rPr>
                <w:rFonts w:hint="eastAsia"/>
                <w:bCs/>
                <w:color w:val="auto"/>
                <w:kern w:val="0"/>
                <w:szCs w:val="21"/>
                <w:highlight w:val="none"/>
              </w:rPr>
              <w:t>3</w:t>
            </w:r>
            <w:r>
              <w:rPr>
                <w:bCs/>
                <w:color w:val="auto"/>
                <w:kern w:val="0"/>
                <w:szCs w:val="21"/>
                <w:highlight w:val="none"/>
              </w:rPr>
              <w:t>）施工期间控制好施工材料运输车辆车速。</w:t>
            </w:r>
          </w:p>
          <w:p w14:paraId="4545FF1C">
            <w:pPr>
              <w:adjustRightInd w:val="0"/>
              <w:ind w:firstLine="482"/>
              <w:rPr>
                <w:b/>
                <w:color w:val="auto"/>
                <w:kern w:val="0"/>
                <w:szCs w:val="21"/>
                <w:highlight w:val="none"/>
              </w:rPr>
            </w:pPr>
            <w:r>
              <w:rPr>
                <w:b/>
                <w:color w:val="auto"/>
                <w:kern w:val="0"/>
                <w:szCs w:val="21"/>
                <w:highlight w:val="none"/>
              </w:rPr>
              <w:t>2、施工期噪声污染防治措施可行性分析</w:t>
            </w:r>
          </w:p>
          <w:p w14:paraId="2958B8E7">
            <w:pPr>
              <w:ind w:firstLine="480"/>
              <w:rPr>
                <w:color w:val="auto"/>
                <w:szCs w:val="24"/>
                <w:highlight w:val="none"/>
              </w:rPr>
            </w:pPr>
            <w:r>
              <w:rPr>
                <w:bCs/>
                <w:color w:val="auto"/>
                <w:kern w:val="0"/>
                <w:szCs w:val="21"/>
                <w:highlight w:val="none"/>
              </w:rPr>
              <w:t>项目施工期噪声主要是施工机械设备及车辆噪声，噪声控制措施主要是从声源上控制以及利用距离、墙体等进行降噪处理。项目区地势较为空旷，主要是从源头上进行噪声控制，包括不重叠使用高噪声设备、控制运输车辆车速等。项目夜间不施工</w:t>
            </w:r>
            <w:r>
              <w:rPr>
                <w:rFonts w:hint="eastAsia"/>
                <w:bCs/>
                <w:color w:val="auto"/>
                <w:kern w:val="0"/>
                <w:szCs w:val="21"/>
                <w:highlight w:val="none"/>
              </w:rPr>
              <w:t>，</w:t>
            </w:r>
            <w:r>
              <w:rPr>
                <w:bCs/>
                <w:color w:val="auto"/>
                <w:kern w:val="0"/>
                <w:szCs w:val="21"/>
                <w:highlight w:val="none"/>
              </w:rPr>
              <w:t>项目区</w:t>
            </w:r>
            <w:r>
              <w:rPr>
                <w:rFonts w:hint="eastAsia"/>
                <w:bCs/>
                <w:color w:val="auto"/>
                <w:kern w:val="0"/>
                <w:szCs w:val="21"/>
                <w:highlight w:val="none"/>
              </w:rPr>
              <w:t>200</w:t>
            </w:r>
            <w:r>
              <w:rPr>
                <w:bCs/>
                <w:color w:val="auto"/>
                <w:kern w:val="0"/>
                <w:szCs w:val="21"/>
                <w:highlight w:val="none"/>
              </w:rPr>
              <w:t>m范围内无声环境敏感点，施工期噪声在采取以上措施，以及经过距离衰减后，对周围环境影响不大，可达到</w:t>
            </w:r>
            <w:r>
              <w:rPr>
                <w:color w:val="auto"/>
                <w:highlight w:val="none"/>
              </w:rPr>
              <w:t>《建筑施工噪声排放标准》（GB12523-2025）</w:t>
            </w:r>
            <w:r>
              <w:rPr>
                <w:color w:val="auto"/>
                <w:kern w:val="0"/>
                <w:szCs w:val="21"/>
                <w:highlight w:val="none"/>
              </w:rPr>
              <w:t>要求，因此，项目施工期噪声防治措施是可行的</w:t>
            </w:r>
            <w:r>
              <w:rPr>
                <w:bCs/>
                <w:color w:val="auto"/>
                <w:kern w:val="0"/>
                <w:szCs w:val="21"/>
                <w:highlight w:val="none"/>
              </w:rPr>
              <w:t>。</w:t>
            </w:r>
          </w:p>
        </w:tc>
      </w:tr>
      <w:tr w14:paraId="5B5EC9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31" w:type="dxa"/>
            <w:vAlign w:val="center"/>
          </w:tcPr>
          <w:p w14:paraId="4436C6CC">
            <w:pPr>
              <w:spacing w:line="240" w:lineRule="auto"/>
              <w:ind w:firstLine="0" w:firstLineChars="0"/>
              <w:jc w:val="center"/>
              <w:rPr>
                <w:b/>
                <w:bCs/>
                <w:color w:val="auto"/>
                <w:szCs w:val="24"/>
                <w:highlight w:val="none"/>
              </w:rPr>
            </w:pPr>
            <w:r>
              <w:rPr>
                <w:b/>
                <w:bCs/>
                <w:color w:val="auto"/>
                <w:szCs w:val="24"/>
                <w:highlight w:val="none"/>
              </w:rPr>
              <w:t>运营期环境保护措施</w:t>
            </w:r>
          </w:p>
        </w:tc>
        <w:tc>
          <w:tcPr>
            <w:tcW w:w="7991" w:type="dxa"/>
            <w:vAlign w:val="center"/>
          </w:tcPr>
          <w:p w14:paraId="0475596E">
            <w:pPr>
              <w:adjustRightInd w:val="0"/>
              <w:spacing w:before="156" w:beforeLines="50"/>
              <w:ind w:firstLine="482"/>
              <w:rPr>
                <w:b/>
                <w:color w:val="auto"/>
                <w:szCs w:val="21"/>
                <w:highlight w:val="none"/>
              </w:rPr>
            </w:pPr>
            <w:r>
              <w:rPr>
                <w:b/>
                <w:color w:val="auto"/>
                <w:szCs w:val="21"/>
                <w:highlight w:val="none"/>
              </w:rPr>
              <w:t>一、生态环境保护措施</w:t>
            </w:r>
          </w:p>
          <w:p w14:paraId="24F471DB">
            <w:pPr>
              <w:adjustRightInd w:val="0"/>
              <w:ind w:firstLine="480"/>
              <w:rPr>
                <w:rStyle w:val="35"/>
                <w:color w:val="auto"/>
                <w:kern w:val="0"/>
                <w:sz w:val="24"/>
                <w:szCs w:val="22"/>
                <w:highlight w:val="none"/>
              </w:rPr>
            </w:pPr>
            <w:r>
              <w:rPr>
                <w:rStyle w:val="35"/>
                <w:color w:val="auto"/>
                <w:kern w:val="0"/>
                <w:sz w:val="24"/>
                <w:szCs w:val="22"/>
                <w:highlight w:val="none"/>
              </w:rPr>
              <w:t>项目运行期生态环境影响对象主要为：对项目区土地利用、植被及动植物、生物多样性、景观、水土流失等的影响；影响范围主要为露天采区、道路等；影响时段为项目服务期时段内，约为</w:t>
            </w:r>
            <w:r>
              <w:rPr>
                <w:rStyle w:val="35"/>
                <w:rFonts w:hint="eastAsia"/>
                <w:color w:val="auto"/>
                <w:kern w:val="0"/>
                <w:sz w:val="24"/>
                <w:szCs w:val="22"/>
                <w:highlight w:val="none"/>
                <w:lang w:val="en-US" w:eastAsia="zh-CN"/>
              </w:rPr>
              <w:t>3.91</w:t>
            </w:r>
            <w:r>
              <w:rPr>
                <w:rStyle w:val="35"/>
                <w:rFonts w:hint="eastAsia"/>
                <w:color w:val="auto"/>
                <w:kern w:val="0"/>
                <w:sz w:val="24"/>
                <w:szCs w:val="22"/>
                <w:highlight w:val="none"/>
              </w:rPr>
              <w:t>年</w:t>
            </w:r>
            <w:r>
              <w:rPr>
                <w:rStyle w:val="35"/>
                <w:color w:val="auto"/>
                <w:kern w:val="0"/>
                <w:sz w:val="24"/>
                <w:szCs w:val="22"/>
                <w:highlight w:val="none"/>
              </w:rPr>
              <w:t>，项目工程占地区域不涉及重点保护野生动植物。</w:t>
            </w:r>
          </w:p>
          <w:p w14:paraId="50C0AE6E">
            <w:pPr>
              <w:adjustRightInd w:val="0"/>
              <w:ind w:firstLine="482"/>
              <w:rPr>
                <w:b/>
                <w:color w:val="auto"/>
                <w:szCs w:val="21"/>
                <w:highlight w:val="none"/>
              </w:rPr>
            </w:pPr>
            <w:r>
              <w:rPr>
                <w:b/>
                <w:color w:val="auto"/>
                <w:szCs w:val="21"/>
                <w:highlight w:val="none"/>
              </w:rPr>
              <w:t>1、生态环境保护措施</w:t>
            </w:r>
          </w:p>
          <w:p w14:paraId="0AF0A3EE">
            <w:pPr>
              <w:adjustRightInd w:val="0"/>
              <w:ind w:firstLine="482"/>
              <w:rPr>
                <w:b/>
                <w:color w:val="auto"/>
                <w:szCs w:val="24"/>
                <w:highlight w:val="none"/>
              </w:rPr>
            </w:pPr>
            <w:r>
              <w:rPr>
                <w:b/>
                <w:color w:val="auto"/>
                <w:szCs w:val="24"/>
                <w:highlight w:val="none"/>
              </w:rPr>
              <w:t>（1）土地利用影响保护措施</w:t>
            </w:r>
          </w:p>
          <w:p w14:paraId="4CCD9F80">
            <w:pPr>
              <w:ind w:firstLine="480"/>
              <w:rPr>
                <w:color w:val="auto"/>
                <w:szCs w:val="24"/>
                <w:highlight w:val="none"/>
              </w:rPr>
            </w:pPr>
            <w:r>
              <w:rPr>
                <w:color w:val="auto"/>
                <w:szCs w:val="24"/>
                <w:highlight w:val="none"/>
              </w:rPr>
              <w:fldChar w:fldCharType="begin"/>
            </w:r>
            <w:r>
              <w:rPr>
                <w:color w:val="auto"/>
                <w:szCs w:val="24"/>
                <w:highlight w:val="none"/>
              </w:rPr>
              <w:instrText xml:space="preserve"> = 1 \* GB3 \* MERGEFORMAT </w:instrText>
            </w:r>
            <w:r>
              <w:rPr>
                <w:color w:val="auto"/>
                <w:szCs w:val="24"/>
                <w:highlight w:val="none"/>
              </w:rPr>
              <w:fldChar w:fldCharType="separate"/>
            </w:r>
            <w:r>
              <w:rPr>
                <w:rFonts w:hint="eastAsia" w:ascii="宋体" w:hAnsi="宋体" w:cs="宋体"/>
                <w:color w:val="auto"/>
                <w:szCs w:val="24"/>
                <w:highlight w:val="none"/>
              </w:rPr>
              <w:t>①</w:t>
            </w:r>
            <w:r>
              <w:rPr>
                <w:color w:val="auto"/>
                <w:szCs w:val="24"/>
                <w:highlight w:val="none"/>
              </w:rPr>
              <w:fldChar w:fldCharType="end"/>
            </w:r>
            <w:r>
              <w:rPr>
                <w:color w:val="auto"/>
                <w:szCs w:val="24"/>
                <w:highlight w:val="none"/>
              </w:rPr>
              <w:t>开采过程中禁止随意侵占用地红线范围以外的土地，并与土地使用权所有方做好协调工作，避免因工程占地引发纠纷。</w:t>
            </w:r>
          </w:p>
          <w:p w14:paraId="076CDAA1">
            <w:pPr>
              <w:ind w:firstLine="480"/>
              <w:rPr>
                <w:color w:val="auto"/>
                <w:szCs w:val="24"/>
                <w:highlight w:val="none"/>
              </w:rPr>
            </w:pPr>
            <w:r>
              <w:rPr>
                <w:color w:val="auto"/>
                <w:szCs w:val="24"/>
                <w:highlight w:val="none"/>
              </w:rPr>
              <w:fldChar w:fldCharType="begin"/>
            </w:r>
            <w:r>
              <w:rPr>
                <w:color w:val="auto"/>
                <w:szCs w:val="24"/>
                <w:highlight w:val="none"/>
              </w:rPr>
              <w:instrText xml:space="preserve"> = 2 \* GB3 \* MERGEFORMAT </w:instrText>
            </w:r>
            <w:r>
              <w:rPr>
                <w:color w:val="auto"/>
                <w:szCs w:val="24"/>
                <w:highlight w:val="none"/>
              </w:rPr>
              <w:fldChar w:fldCharType="separate"/>
            </w:r>
            <w:r>
              <w:rPr>
                <w:rFonts w:hint="eastAsia" w:ascii="宋体" w:hAnsi="宋体" w:cs="宋体"/>
                <w:color w:val="auto"/>
                <w:szCs w:val="24"/>
                <w:highlight w:val="none"/>
              </w:rPr>
              <w:t>②</w:t>
            </w:r>
            <w:r>
              <w:rPr>
                <w:color w:val="auto"/>
                <w:szCs w:val="24"/>
                <w:highlight w:val="none"/>
              </w:rPr>
              <w:fldChar w:fldCharType="end"/>
            </w:r>
            <w:r>
              <w:rPr>
                <w:color w:val="auto"/>
                <w:szCs w:val="24"/>
                <w:highlight w:val="none"/>
              </w:rPr>
              <w:t>矿山开采过程中，采用边开采边治理的方式对矿山进行绿化恢复。</w:t>
            </w:r>
          </w:p>
          <w:p w14:paraId="760BFFE4">
            <w:pPr>
              <w:ind w:firstLine="480"/>
              <w:rPr>
                <w:color w:val="auto"/>
                <w:szCs w:val="24"/>
                <w:highlight w:val="none"/>
              </w:rPr>
            </w:pPr>
            <w:r>
              <w:rPr>
                <w:color w:val="auto"/>
                <w:szCs w:val="24"/>
                <w:highlight w:val="none"/>
              </w:rPr>
              <w:fldChar w:fldCharType="begin"/>
            </w:r>
            <w:r>
              <w:rPr>
                <w:color w:val="auto"/>
                <w:szCs w:val="24"/>
                <w:highlight w:val="none"/>
              </w:rPr>
              <w:instrText xml:space="preserve"> = 3 \* GB3 \* MERGEFORMAT </w:instrText>
            </w:r>
            <w:r>
              <w:rPr>
                <w:color w:val="auto"/>
                <w:szCs w:val="24"/>
                <w:highlight w:val="none"/>
              </w:rPr>
              <w:fldChar w:fldCharType="separate"/>
            </w:r>
            <w:r>
              <w:rPr>
                <w:rFonts w:hint="eastAsia" w:ascii="宋体" w:hAnsi="宋体" w:cs="宋体"/>
                <w:color w:val="auto"/>
                <w:szCs w:val="24"/>
                <w:highlight w:val="none"/>
              </w:rPr>
              <w:t>③</w:t>
            </w:r>
            <w:r>
              <w:rPr>
                <w:color w:val="auto"/>
                <w:szCs w:val="24"/>
                <w:highlight w:val="none"/>
              </w:rPr>
              <w:fldChar w:fldCharType="end"/>
            </w:r>
            <w:r>
              <w:rPr>
                <w:color w:val="auto"/>
                <w:szCs w:val="24"/>
                <w:highlight w:val="none"/>
              </w:rPr>
              <w:t>加强矿山的绿化工作，矿山开采结束后做好矿山绿化恢复工作，尽可能恢复原有土地的使用功能。</w:t>
            </w:r>
          </w:p>
          <w:p w14:paraId="4564D0E1">
            <w:pPr>
              <w:adjustRightInd w:val="0"/>
              <w:ind w:firstLine="482"/>
              <w:rPr>
                <w:b/>
                <w:color w:val="auto"/>
                <w:szCs w:val="24"/>
                <w:highlight w:val="none"/>
              </w:rPr>
            </w:pPr>
            <w:r>
              <w:rPr>
                <w:b/>
                <w:color w:val="auto"/>
                <w:szCs w:val="24"/>
                <w:highlight w:val="none"/>
              </w:rPr>
              <w:t>（2）植被影响防护措施</w:t>
            </w:r>
          </w:p>
          <w:p w14:paraId="47AE15BD">
            <w:pPr>
              <w:pStyle w:val="13"/>
              <w:spacing w:line="360" w:lineRule="auto"/>
              <w:ind w:firstLine="480" w:firstLineChars="200"/>
              <w:rPr>
                <w:rFonts w:ascii="Times New Roman" w:hAnsi="Times New Roman"/>
                <w:bCs/>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 1 \* GB3 \* MERGEFORMAT </w:instrText>
            </w:r>
            <w:r>
              <w:rPr>
                <w:rFonts w:ascii="Times New Roman" w:hAnsi="Times New Roman"/>
                <w:color w:val="auto"/>
                <w:sz w:val="24"/>
                <w:szCs w:val="24"/>
                <w:highlight w:val="none"/>
              </w:rPr>
              <w:fldChar w:fldCharType="separate"/>
            </w:r>
            <w:r>
              <w:rPr>
                <w:rFonts w:ascii="Cambria Math" w:hAnsi="Cambria Math" w:cs="Cambria Math"/>
                <w:color w:val="auto"/>
                <w:sz w:val="24"/>
                <w:szCs w:val="24"/>
                <w:highlight w:val="none"/>
              </w:rPr>
              <w:t>①</w:t>
            </w:r>
            <w:r>
              <w:rPr>
                <w:rFonts w:ascii="Times New Roman" w:hAnsi="Times New Roman"/>
                <w:color w:val="auto"/>
                <w:sz w:val="24"/>
                <w:szCs w:val="24"/>
                <w:highlight w:val="none"/>
              </w:rPr>
              <w:fldChar w:fldCharType="end"/>
            </w:r>
            <w:r>
              <w:rPr>
                <w:rFonts w:ascii="Times New Roman" w:hAnsi="Times New Roman"/>
                <w:color w:val="auto"/>
                <w:sz w:val="24"/>
                <w:szCs w:val="24"/>
                <w:highlight w:val="none"/>
              </w:rPr>
              <w:t>报告要求建设单位在</w:t>
            </w:r>
            <w:r>
              <w:rPr>
                <w:rFonts w:ascii="Times New Roman" w:hAnsi="Times New Roman"/>
                <w:bCs/>
                <w:color w:val="auto"/>
                <w:sz w:val="24"/>
                <w:szCs w:val="24"/>
                <w:highlight w:val="none"/>
              </w:rPr>
              <w:t>矿山开采中严格控制占地红线，严禁工作人员砍伐、破坏工程区外的植被</w:t>
            </w:r>
            <w:r>
              <w:rPr>
                <w:rFonts w:ascii="Times New Roman" w:hAnsi="Times New Roman"/>
                <w:color w:val="auto"/>
                <w:sz w:val="24"/>
                <w:szCs w:val="24"/>
                <w:highlight w:val="none"/>
              </w:rPr>
              <w:t>，严禁在征地范围外堆渣、堆料等</w:t>
            </w:r>
            <w:r>
              <w:rPr>
                <w:rFonts w:ascii="Times New Roman" w:hAnsi="Times New Roman"/>
                <w:bCs/>
                <w:color w:val="auto"/>
                <w:sz w:val="24"/>
                <w:szCs w:val="24"/>
                <w:highlight w:val="none"/>
              </w:rPr>
              <w:t>；</w:t>
            </w:r>
          </w:p>
          <w:p w14:paraId="7C84D0DE">
            <w:pPr>
              <w:pStyle w:val="13"/>
              <w:spacing w:line="360" w:lineRule="auto"/>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fldChar w:fldCharType="begin"/>
            </w:r>
            <w:r>
              <w:rPr>
                <w:rFonts w:ascii="Times New Roman" w:hAnsi="Times New Roman"/>
                <w:bCs/>
                <w:color w:val="auto"/>
                <w:sz w:val="24"/>
                <w:szCs w:val="24"/>
                <w:highlight w:val="none"/>
              </w:rPr>
              <w:instrText xml:space="preserve"> = 2 \* GB3 \* MERGEFORMAT </w:instrText>
            </w:r>
            <w:r>
              <w:rPr>
                <w:rFonts w:ascii="Times New Roman" w:hAnsi="Times New Roman"/>
                <w:bCs/>
                <w:color w:val="auto"/>
                <w:sz w:val="24"/>
                <w:szCs w:val="24"/>
                <w:highlight w:val="none"/>
              </w:rPr>
              <w:fldChar w:fldCharType="separate"/>
            </w:r>
            <w:r>
              <w:rPr>
                <w:rFonts w:ascii="Cambria Math" w:hAnsi="Cambria Math" w:cs="Cambria Math"/>
                <w:color w:val="auto"/>
                <w:sz w:val="24"/>
                <w:szCs w:val="24"/>
                <w:highlight w:val="none"/>
              </w:rPr>
              <w:t>②</w:t>
            </w:r>
            <w:r>
              <w:rPr>
                <w:rFonts w:ascii="Times New Roman" w:hAnsi="Times New Roman"/>
                <w:bCs/>
                <w:color w:val="auto"/>
                <w:sz w:val="24"/>
                <w:szCs w:val="24"/>
                <w:highlight w:val="none"/>
              </w:rPr>
              <w:fldChar w:fldCharType="end"/>
            </w:r>
            <w:r>
              <w:rPr>
                <w:rFonts w:ascii="Times New Roman" w:hAnsi="Times New Roman"/>
                <w:bCs/>
                <w:color w:val="auto"/>
                <w:sz w:val="24"/>
                <w:szCs w:val="24"/>
                <w:highlight w:val="none"/>
              </w:rPr>
              <w:t>加强管理及对工作人员进行环保宣传教育；</w:t>
            </w:r>
          </w:p>
          <w:p w14:paraId="0E4DD35B">
            <w:pPr>
              <w:pStyle w:val="13"/>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 3 \* GB3 \* MERGEFORMAT </w:instrText>
            </w:r>
            <w:r>
              <w:rPr>
                <w:rFonts w:ascii="Times New Roman" w:hAnsi="Times New Roman"/>
                <w:color w:val="auto"/>
                <w:sz w:val="24"/>
                <w:szCs w:val="24"/>
                <w:highlight w:val="none"/>
              </w:rPr>
              <w:fldChar w:fldCharType="separate"/>
            </w:r>
            <w:r>
              <w:rPr>
                <w:rFonts w:ascii="Cambria Math" w:hAnsi="Cambria Math" w:cs="Cambria Math"/>
                <w:color w:val="auto"/>
                <w:sz w:val="24"/>
                <w:szCs w:val="24"/>
                <w:highlight w:val="none"/>
              </w:rPr>
              <w:t>③</w:t>
            </w:r>
            <w:r>
              <w:rPr>
                <w:rFonts w:ascii="Times New Roman" w:hAnsi="Times New Roman"/>
                <w:color w:val="auto"/>
                <w:sz w:val="24"/>
                <w:szCs w:val="24"/>
                <w:highlight w:val="none"/>
              </w:rPr>
              <w:fldChar w:fldCharType="end"/>
            </w:r>
            <w:r>
              <w:rPr>
                <w:rFonts w:ascii="Times New Roman" w:hAnsi="Times New Roman"/>
                <w:color w:val="auto"/>
                <w:sz w:val="24"/>
                <w:szCs w:val="24"/>
                <w:highlight w:val="none"/>
              </w:rPr>
              <w:t>加强占地区周边植物的保护，对剥离表土进行集中堆存后期用于生态恢复；</w:t>
            </w:r>
          </w:p>
          <w:p w14:paraId="5AB20387">
            <w:pPr>
              <w:pStyle w:val="13"/>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 4 \* GB3 \* MERGEFORMAT </w:instrText>
            </w:r>
            <w:r>
              <w:rPr>
                <w:rFonts w:ascii="Times New Roman" w:hAnsi="Times New Roman"/>
                <w:color w:val="auto"/>
                <w:sz w:val="24"/>
                <w:szCs w:val="24"/>
                <w:highlight w:val="none"/>
              </w:rPr>
              <w:fldChar w:fldCharType="separate"/>
            </w:r>
            <w:r>
              <w:rPr>
                <w:rFonts w:ascii="Cambria Math" w:hAnsi="Cambria Math" w:cs="Cambria Math"/>
                <w:color w:val="auto"/>
                <w:sz w:val="24"/>
                <w:szCs w:val="24"/>
                <w:highlight w:val="none"/>
              </w:rPr>
              <w:t>④</w:t>
            </w:r>
            <w:r>
              <w:rPr>
                <w:rFonts w:ascii="Times New Roman" w:hAnsi="Times New Roman"/>
                <w:color w:val="auto"/>
                <w:sz w:val="24"/>
                <w:szCs w:val="24"/>
                <w:highlight w:val="none"/>
              </w:rPr>
              <w:fldChar w:fldCharType="end"/>
            </w:r>
            <w:r>
              <w:rPr>
                <w:rFonts w:ascii="Times New Roman" w:hAnsi="Times New Roman"/>
                <w:color w:val="auto"/>
                <w:sz w:val="24"/>
                <w:szCs w:val="24"/>
                <w:highlight w:val="none"/>
              </w:rPr>
              <w:t>植被绿化宜就地采集当地植物的种子、幼苗进行种植，不能采用入境植物；</w:t>
            </w:r>
          </w:p>
          <w:p w14:paraId="7A3E3818">
            <w:pPr>
              <w:pStyle w:val="13"/>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 5 \* GB3 \* MERGEFORMAT </w:instrText>
            </w:r>
            <w:r>
              <w:rPr>
                <w:rFonts w:ascii="Times New Roman" w:hAnsi="Times New Roman"/>
                <w:color w:val="auto"/>
                <w:sz w:val="24"/>
                <w:szCs w:val="24"/>
                <w:highlight w:val="none"/>
              </w:rPr>
              <w:fldChar w:fldCharType="separate"/>
            </w:r>
            <w:r>
              <w:rPr>
                <w:rFonts w:ascii="Cambria Math" w:hAnsi="Cambria Math" w:cs="Cambria Math"/>
                <w:color w:val="auto"/>
                <w:sz w:val="24"/>
                <w:szCs w:val="24"/>
                <w:highlight w:val="none"/>
              </w:rPr>
              <w:t>⑤</w:t>
            </w:r>
            <w:r>
              <w:rPr>
                <w:rFonts w:ascii="Times New Roman" w:hAnsi="Times New Roman"/>
                <w:color w:val="auto"/>
                <w:sz w:val="24"/>
                <w:szCs w:val="24"/>
                <w:highlight w:val="none"/>
              </w:rPr>
              <w:fldChar w:fldCharType="end"/>
            </w:r>
            <w:r>
              <w:rPr>
                <w:rFonts w:ascii="Times New Roman" w:hAnsi="Times New Roman"/>
                <w:color w:val="auto"/>
                <w:sz w:val="24"/>
                <w:szCs w:val="24"/>
                <w:highlight w:val="none"/>
              </w:rPr>
              <w:t>植被恢复力求创造多样性的生态环境条件，避免过于单一化和人工化，注意乔、灌、草的结合，植被恢复尽可能利用自然条件；</w:t>
            </w:r>
          </w:p>
          <w:p w14:paraId="3FFAD9B2">
            <w:pPr>
              <w:pStyle w:val="13"/>
              <w:spacing w:line="360" w:lineRule="auto"/>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fldChar w:fldCharType="begin"/>
            </w:r>
            <w:r>
              <w:rPr>
                <w:rFonts w:ascii="Times New Roman" w:hAnsi="Times New Roman"/>
                <w:bCs/>
                <w:color w:val="auto"/>
                <w:sz w:val="24"/>
                <w:szCs w:val="24"/>
                <w:highlight w:val="none"/>
              </w:rPr>
              <w:instrText xml:space="preserve"> = 6 \* GB3 \* MERGEFORMAT </w:instrText>
            </w:r>
            <w:r>
              <w:rPr>
                <w:rFonts w:ascii="Times New Roman" w:hAnsi="Times New Roman"/>
                <w:bCs/>
                <w:color w:val="auto"/>
                <w:sz w:val="24"/>
                <w:szCs w:val="24"/>
                <w:highlight w:val="none"/>
              </w:rPr>
              <w:fldChar w:fldCharType="separate"/>
            </w:r>
            <w:r>
              <w:rPr>
                <w:rFonts w:ascii="Cambria Math" w:hAnsi="Cambria Math" w:cs="Cambria Math"/>
                <w:color w:val="auto"/>
                <w:sz w:val="24"/>
                <w:szCs w:val="24"/>
                <w:highlight w:val="none"/>
              </w:rPr>
              <w:t>⑥</w:t>
            </w:r>
            <w:r>
              <w:rPr>
                <w:rFonts w:ascii="Times New Roman" w:hAnsi="Times New Roman"/>
                <w:bCs/>
                <w:color w:val="auto"/>
                <w:sz w:val="24"/>
                <w:szCs w:val="24"/>
                <w:highlight w:val="none"/>
              </w:rPr>
              <w:fldChar w:fldCharType="end"/>
            </w:r>
            <w:r>
              <w:rPr>
                <w:rFonts w:ascii="Times New Roman" w:hAnsi="Times New Roman"/>
                <w:bCs/>
                <w:color w:val="auto"/>
                <w:sz w:val="24"/>
                <w:szCs w:val="24"/>
                <w:highlight w:val="none"/>
              </w:rPr>
              <w:t>建设单位应对项目占地中涉及的林地向相关林业部门办理相关手续，做好项目占用坡耕地的征占地补偿工作；</w:t>
            </w:r>
          </w:p>
          <w:p w14:paraId="157E4793">
            <w:pPr>
              <w:ind w:firstLine="480"/>
              <w:rPr>
                <w:bCs/>
                <w:color w:val="auto"/>
                <w:szCs w:val="24"/>
                <w:highlight w:val="none"/>
              </w:rPr>
            </w:pPr>
            <w:r>
              <w:rPr>
                <w:color w:val="auto"/>
                <w:szCs w:val="24"/>
                <w:highlight w:val="none"/>
              </w:rPr>
              <w:fldChar w:fldCharType="begin"/>
            </w:r>
            <w:r>
              <w:rPr>
                <w:color w:val="auto"/>
                <w:szCs w:val="24"/>
                <w:highlight w:val="none"/>
              </w:rPr>
              <w:instrText xml:space="preserve"> = 7 \* GB3 \* MERGEFORMAT </w:instrText>
            </w:r>
            <w:r>
              <w:rPr>
                <w:color w:val="auto"/>
                <w:szCs w:val="24"/>
                <w:highlight w:val="none"/>
              </w:rPr>
              <w:fldChar w:fldCharType="separate"/>
            </w:r>
            <w:r>
              <w:rPr>
                <w:rFonts w:ascii="Cambria Math" w:hAnsi="Cambria Math" w:cs="Cambria Math"/>
                <w:color w:val="auto"/>
                <w:szCs w:val="24"/>
                <w:highlight w:val="none"/>
              </w:rPr>
              <w:t>⑦</w:t>
            </w:r>
            <w:r>
              <w:rPr>
                <w:color w:val="auto"/>
                <w:szCs w:val="24"/>
                <w:highlight w:val="none"/>
              </w:rPr>
              <w:fldChar w:fldCharType="end"/>
            </w:r>
            <w:r>
              <w:rPr>
                <w:color w:val="auto"/>
                <w:szCs w:val="24"/>
                <w:highlight w:val="none"/>
              </w:rPr>
              <w:t>矿山开采中对采空区采取边开采边治理的措施，对停止使用的采矿区应尽快覆盖土层进行植被恢复，避免采空区长期裸露。</w:t>
            </w:r>
          </w:p>
          <w:p w14:paraId="288C97F0">
            <w:pPr>
              <w:adjustRightInd w:val="0"/>
              <w:ind w:firstLine="482"/>
              <w:rPr>
                <w:b/>
                <w:color w:val="auto"/>
                <w:szCs w:val="24"/>
                <w:highlight w:val="none"/>
              </w:rPr>
            </w:pPr>
            <w:r>
              <w:rPr>
                <w:b/>
                <w:color w:val="auto"/>
                <w:szCs w:val="24"/>
                <w:highlight w:val="none"/>
              </w:rPr>
              <w:t>（3）对野生动物影响防护措施</w:t>
            </w:r>
          </w:p>
          <w:p w14:paraId="34AD9B3E">
            <w:pPr>
              <w:pStyle w:val="13"/>
              <w:spacing w:line="360" w:lineRule="auto"/>
              <w:ind w:firstLine="480" w:firstLineChars="200"/>
              <w:rPr>
                <w:rFonts w:ascii="Times New Roman" w:hAnsi="Times New Roman"/>
                <w:color w:val="auto"/>
                <w:sz w:val="24"/>
                <w:szCs w:val="24"/>
                <w:highlight w:val="none"/>
              </w:rPr>
            </w:pPr>
            <w:r>
              <w:rPr>
                <w:rFonts w:ascii="Times New Roman" w:hAnsi="Times New Roman"/>
                <w:bCs/>
                <w:color w:val="auto"/>
                <w:sz w:val="24"/>
                <w:szCs w:val="24"/>
                <w:highlight w:val="none"/>
              </w:rPr>
              <w:fldChar w:fldCharType="begin"/>
            </w:r>
            <w:r>
              <w:rPr>
                <w:rFonts w:ascii="Times New Roman" w:hAnsi="Times New Roman"/>
                <w:bCs/>
                <w:color w:val="auto"/>
                <w:sz w:val="24"/>
                <w:szCs w:val="24"/>
                <w:highlight w:val="none"/>
              </w:rPr>
              <w:instrText xml:space="preserve"> = 1 \* GB3 \* MERGEFORMAT </w:instrText>
            </w:r>
            <w:r>
              <w:rPr>
                <w:rFonts w:ascii="Times New Roman" w:hAnsi="Times New Roman"/>
                <w:bCs/>
                <w:color w:val="auto"/>
                <w:sz w:val="24"/>
                <w:szCs w:val="24"/>
                <w:highlight w:val="none"/>
              </w:rPr>
              <w:fldChar w:fldCharType="separate"/>
            </w:r>
            <w:r>
              <w:rPr>
                <w:rFonts w:ascii="Cambria Math" w:hAnsi="Cambria Math" w:cs="Cambria Math"/>
                <w:color w:val="auto"/>
                <w:sz w:val="24"/>
                <w:szCs w:val="24"/>
                <w:highlight w:val="none"/>
              </w:rPr>
              <w:t>①</w:t>
            </w:r>
            <w:r>
              <w:rPr>
                <w:rFonts w:ascii="Times New Roman" w:hAnsi="Times New Roman"/>
                <w:bCs/>
                <w:color w:val="auto"/>
                <w:sz w:val="24"/>
                <w:szCs w:val="24"/>
                <w:highlight w:val="none"/>
              </w:rPr>
              <w:fldChar w:fldCharType="end"/>
            </w:r>
            <w:r>
              <w:rPr>
                <w:rFonts w:ascii="Times New Roman" w:hAnsi="Times New Roman"/>
                <w:bCs/>
                <w:color w:val="auto"/>
                <w:sz w:val="24"/>
                <w:szCs w:val="24"/>
                <w:highlight w:val="none"/>
              </w:rPr>
              <w:t>建设单位应在</w:t>
            </w:r>
            <w:r>
              <w:rPr>
                <w:rFonts w:ascii="Times New Roman" w:hAnsi="Times New Roman"/>
                <w:color w:val="auto"/>
                <w:sz w:val="24"/>
                <w:szCs w:val="24"/>
                <w:highlight w:val="none"/>
              </w:rPr>
              <w:t>采矿作业中尽可能降低噪声，以减少对动物的直接伤害；</w:t>
            </w:r>
          </w:p>
          <w:p w14:paraId="03297730">
            <w:pPr>
              <w:pStyle w:val="13"/>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 2 \* GB3 \* MERGEFORMAT </w:instrText>
            </w:r>
            <w:r>
              <w:rPr>
                <w:rFonts w:ascii="Times New Roman" w:hAnsi="Times New Roman"/>
                <w:color w:val="auto"/>
                <w:sz w:val="24"/>
                <w:szCs w:val="24"/>
                <w:highlight w:val="none"/>
              </w:rPr>
              <w:fldChar w:fldCharType="separate"/>
            </w:r>
            <w:r>
              <w:rPr>
                <w:rFonts w:ascii="Cambria Math" w:hAnsi="Cambria Math" w:cs="Cambria Math"/>
                <w:color w:val="auto"/>
                <w:sz w:val="24"/>
                <w:szCs w:val="24"/>
                <w:highlight w:val="none"/>
              </w:rPr>
              <w:t>②</w:t>
            </w:r>
            <w:r>
              <w:rPr>
                <w:rFonts w:ascii="Times New Roman" w:hAnsi="Times New Roman"/>
                <w:color w:val="auto"/>
                <w:sz w:val="24"/>
                <w:szCs w:val="24"/>
                <w:highlight w:val="none"/>
              </w:rPr>
              <w:fldChar w:fldCharType="end"/>
            </w:r>
            <w:r>
              <w:rPr>
                <w:rFonts w:ascii="Times New Roman" w:hAnsi="Times New Roman"/>
                <w:color w:val="auto"/>
                <w:sz w:val="24"/>
                <w:szCs w:val="24"/>
                <w:highlight w:val="none"/>
              </w:rPr>
              <w:t>运行期间要注意对占地区周边这些植被的保护，减少对动物栖息地生境的破坏；</w:t>
            </w:r>
          </w:p>
          <w:p w14:paraId="68CE21DC">
            <w:pPr>
              <w:pStyle w:val="13"/>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 = 3 \* GB3 \* MERGEFORMAT </w:instrText>
            </w:r>
            <w:r>
              <w:rPr>
                <w:rFonts w:ascii="Times New Roman" w:hAnsi="Times New Roman"/>
                <w:color w:val="auto"/>
                <w:sz w:val="24"/>
                <w:szCs w:val="24"/>
                <w:highlight w:val="none"/>
              </w:rPr>
              <w:fldChar w:fldCharType="separate"/>
            </w:r>
            <w:r>
              <w:rPr>
                <w:rFonts w:ascii="Cambria Math" w:hAnsi="Cambria Math" w:cs="Cambria Math"/>
                <w:color w:val="auto"/>
                <w:sz w:val="24"/>
                <w:szCs w:val="24"/>
                <w:highlight w:val="none"/>
              </w:rPr>
              <w:t>③</w:t>
            </w:r>
            <w:r>
              <w:rPr>
                <w:rFonts w:ascii="Times New Roman" w:hAnsi="Times New Roman"/>
                <w:color w:val="auto"/>
                <w:sz w:val="24"/>
                <w:szCs w:val="24"/>
                <w:highlight w:val="none"/>
              </w:rPr>
              <w:fldChar w:fldCharType="end"/>
            </w:r>
            <w:r>
              <w:rPr>
                <w:rFonts w:ascii="Times New Roman" w:hAnsi="Times New Roman"/>
                <w:color w:val="auto"/>
                <w:sz w:val="24"/>
                <w:szCs w:val="24"/>
                <w:highlight w:val="none"/>
              </w:rPr>
              <w:t>对工作人员明确规定严禁猎杀野生动物，建立与环境保护有关的奖励惩罚制度，对积极举报违法活动人员给以奖励和隐私保护，对于证据确凿的违法活动者给以严厉惩罚；</w:t>
            </w:r>
          </w:p>
          <w:p w14:paraId="46F5E252">
            <w:pPr>
              <w:ind w:firstLine="480"/>
              <w:rPr>
                <w:bCs/>
                <w:color w:val="auto"/>
                <w:szCs w:val="24"/>
                <w:highlight w:val="none"/>
              </w:rPr>
            </w:pPr>
            <w:r>
              <w:rPr>
                <w:color w:val="auto"/>
                <w:szCs w:val="24"/>
                <w:highlight w:val="none"/>
              </w:rPr>
              <w:fldChar w:fldCharType="begin"/>
            </w:r>
            <w:r>
              <w:rPr>
                <w:color w:val="auto"/>
                <w:szCs w:val="24"/>
                <w:highlight w:val="none"/>
              </w:rPr>
              <w:instrText xml:space="preserve"> = 4 \* GB3 \* MERGEFORMAT </w:instrText>
            </w:r>
            <w:r>
              <w:rPr>
                <w:color w:val="auto"/>
                <w:szCs w:val="24"/>
                <w:highlight w:val="none"/>
              </w:rPr>
              <w:fldChar w:fldCharType="separate"/>
            </w:r>
            <w:r>
              <w:rPr>
                <w:rFonts w:ascii="Cambria Math" w:hAnsi="Cambria Math" w:cs="Cambria Math"/>
                <w:color w:val="auto"/>
                <w:szCs w:val="24"/>
                <w:highlight w:val="none"/>
              </w:rPr>
              <w:t>④</w:t>
            </w:r>
            <w:r>
              <w:rPr>
                <w:color w:val="auto"/>
                <w:szCs w:val="24"/>
                <w:highlight w:val="none"/>
              </w:rPr>
              <w:fldChar w:fldCharType="end"/>
            </w:r>
            <w:r>
              <w:rPr>
                <w:color w:val="auto"/>
                <w:szCs w:val="24"/>
                <w:highlight w:val="none"/>
              </w:rPr>
              <w:t>矿山服务期满后对采矿区以及其他相关区域迹地进行及时绿化恢复，恢复动物生境，并在运输、施工中注意保护野生动物。</w:t>
            </w:r>
          </w:p>
          <w:p w14:paraId="61F835C2">
            <w:pPr>
              <w:adjustRightInd w:val="0"/>
              <w:ind w:firstLine="482"/>
              <w:rPr>
                <w:b/>
                <w:color w:val="auto"/>
                <w:szCs w:val="24"/>
                <w:highlight w:val="none"/>
              </w:rPr>
            </w:pPr>
            <w:r>
              <w:rPr>
                <w:b/>
                <w:color w:val="auto"/>
                <w:szCs w:val="24"/>
                <w:highlight w:val="none"/>
              </w:rPr>
              <w:t>（4）水土流失防治措施</w:t>
            </w:r>
          </w:p>
          <w:p w14:paraId="0A3348BE">
            <w:pPr>
              <w:adjustRightInd w:val="0"/>
              <w:ind w:firstLine="480"/>
              <w:rPr>
                <w:bCs/>
                <w:color w:val="auto"/>
                <w:szCs w:val="24"/>
                <w:highlight w:val="none"/>
              </w:rPr>
            </w:pPr>
            <w:r>
              <w:rPr>
                <w:color w:val="auto"/>
                <w:szCs w:val="24"/>
                <w:highlight w:val="none"/>
              </w:rPr>
              <w:t>项目在开采区周边设置截</w:t>
            </w:r>
            <w:r>
              <w:rPr>
                <w:rFonts w:hint="eastAsia"/>
                <w:color w:val="auto"/>
                <w:szCs w:val="24"/>
                <w:highlight w:val="none"/>
              </w:rPr>
              <w:t>（</w:t>
            </w:r>
            <w:r>
              <w:rPr>
                <w:color w:val="auto"/>
                <w:szCs w:val="24"/>
                <w:highlight w:val="none"/>
              </w:rPr>
              <w:t>排</w:t>
            </w:r>
            <w:r>
              <w:rPr>
                <w:rFonts w:hint="eastAsia"/>
                <w:color w:val="auto"/>
                <w:szCs w:val="24"/>
                <w:highlight w:val="none"/>
              </w:rPr>
              <w:t>）</w:t>
            </w:r>
            <w:r>
              <w:rPr>
                <w:color w:val="auto"/>
                <w:szCs w:val="24"/>
                <w:highlight w:val="none"/>
              </w:rPr>
              <w:t>排水沟、</w:t>
            </w:r>
            <w:r>
              <w:rPr>
                <w:rFonts w:hint="eastAsia"/>
                <w:color w:val="auto"/>
                <w:szCs w:val="24"/>
                <w:highlight w:val="none"/>
                <w:lang w:eastAsia="zh-CN"/>
              </w:rPr>
              <w:t>沉砂池</w:t>
            </w:r>
            <w:r>
              <w:rPr>
                <w:color w:val="auto"/>
                <w:szCs w:val="24"/>
                <w:highlight w:val="none"/>
              </w:rPr>
              <w:t>，有效的减少开采活动造成的新增水土流失。</w:t>
            </w:r>
          </w:p>
          <w:p w14:paraId="6C7A5EC3">
            <w:pPr>
              <w:adjustRightInd w:val="0"/>
              <w:ind w:firstLine="482"/>
              <w:rPr>
                <w:b/>
                <w:color w:val="auto"/>
                <w:szCs w:val="24"/>
                <w:highlight w:val="none"/>
              </w:rPr>
            </w:pPr>
            <w:r>
              <w:rPr>
                <w:b/>
                <w:color w:val="auto"/>
                <w:szCs w:val="24"/>
                <w:highlight w:val="none"/>
              </w:rPr>
              <w:t>（5）景观影响防护措施</w:t>
            </w:r>
          </w:p>
          <w:p w14:paraId="2D925275">
            <w:pPr>
              <w:adjustRightInd w:val="0"/>
              <w:ind w:firstLine="480"/>
              <w:rPr>
                <w:color w:val="auto"/>
                <w:szCs w:val="24"/>
                <w:highlight w:val="none"/>
              </w:rPr>
            </w:pPr>
            <w:r>
              <w:rPr>
                <w:color w:val="auto"/>
                <w:szCs w:val="24"/>
                <w:highlight w:val="none"/>
              </w:rPr>
              <w:t>建设单位应严格按照矿山地质环境保护与土地复垦方案进行复垦，通过采取边开采边复垦的方式减轻对景观的影响。</w:t>
            </w:r>
          </w:p>
          <w:p w14:paraId="61721078">
            <w:pPr>
              <w:adjustRightInd w:val="0"/>
              <w:ind w:firstLine="482"/>
              <w:rPr>
                <w:b/>
                <w:bCs/>
                <w:color w:val="auto"/>
                <w:szCs w:val="24"/>
                <w:highlight w:val="none"/>
              </w:rPr>
            </w:pPr>
            <w:r>
              <w:rPr>
                <w:b/>
                <w:bCs/>
                <w:color w:val="auto"/>
                <w:szCs w:val="24"/>
                <w:highlight w:val="none"/>
              </w:rPr>
              <w:t>（6）对生态系统影响防治措施</w:t>
            </w:r>
          </w:p>
          <w:p w14:paraId="6FEEADBF">
            <w:pPr>
              <w:adjustRightInd w:val="0"/>
              <w:ind w:firstLine="480"/>
              <w:rPr>
                <w:color w:val="auto"/>
                <w:szCs w:val="24"/>
                <w:highlight w:val="none"/>
              </w:rPr>
            </w:pPr>
            <w:r>
              <w:rPr>
                <w:color w:val="auto"/>
                <w:szCs w:val="24"/>
                <w:highlight w:val="none"/>
              </w:rPr>
              <w:fldChar w:fldCharType="begin"/>
            </w:r>
            <w:r>
              <w:rPr>
                <w:color w:val="auto"/>
                <w:szCs w:val="24"/>
                <w:highlight w:val="none"/>
              </w:rPr>
              <w:instrText xml:space="preserve"> = 1 \* GB3 \* MERGEFORMAT </w:instrText>
            </w:r>
            <w:r>
              <w:rPr>
                <w:color w:val="auto"/>
                <w:szCs w:val="24"/>
                <w:highlight w:val="none"/>
              </w:rPr>
              <w:fldChar w:fldCharType="separate"/>
            </w:r>
            <w:r>
              <w:rPr>
                <w:rFonts w:ascii="Cambria Math" w:hAnsi="Cambria Math" w:cs="Cambria Math"/>
                <w:color w:val="auto"/>
                <w:szCs w:val="24"/>
                <w:highlight w:val="none"/>
              </w:rPr>
              <w:t>①</w:t>
            </w:r>
            <w:r>
              <w:rPr>
                <w:color w:val="auto"/>
                <w:szCs w:val="24"/>
                <w:highlight w:val="none"/>
              </w:rPr>
              <w:fldChar w:fldCharType="end"/>
            </w:r>
            <w:r>
              <w:rPr>
                <w:color w:val="auto"/>
                <w:szCs w:val="24"/>
                <w:highlight w:val="none"/>
              </w:rPr>
              <w:t>闭矿后可对矿山进行植被恢复，加强绿化，尽可能最大绿化面积，减少不利影响。营运中、后期必须进行绿化复垦，恢复矿区生态植被，在此过程中生态系统将逐步恢复到开采前的水平；</w:t>
            </w:r>
          </w:p>
          <w:p w14:paraId="328C76A4">
            <w:pPr>
              <w:adjustRightInd w:val="0"/>
              <w:ind w:firstLine="480"/>
              <w:rPr>
                <w:color w:val="auto"/>
                <w:szCs w:val="24"/>
                <w:highlight w:val="none"/>
              </w:rPr>
            </w:pPr>
            <w:r>
              <w:rPr>
                <w:color w:val="auto"/>
                <w:szCs w:val="24"/>
                <w:highlight w:val="none"/>
              </w:rPr>
              <w:fldChar w:fldCharType="begin"/>
            </w:r>
            <w:r>
              <w:rPr>
                <w:color w:val="auto"/>
                <w:szCs w:val="24"/>
                <w:highlight w:val="none"/>
              </w:rPr>
              <w:instrText xml:space="preserve"> = 2 \* GB3 \* MERGEFORMAT </w:instrText>
            </w:r>
            <w:r>
              <w:rPr>
                <w:color w:val="auto"/>
                <w:szCs w:val="24"/>
                <w:highlight w:val="none"/>
              </w:rPr>
              <w:fldChar w:fldCharType="separate"/>
            </w:r>
            <w:r>
              <w:rPr>
                <w:rFonts w:ascii="Cambria Math" w:hAnsi="Cambria Math" w:cs="Cambria Math"/>
                <w:color w:val="auto"/>
                <w:szCs w:val="24"/>
                <w:highlight w:val="none"/>
              </w:rPr>
              <w:t>②</w:t>
            </w:r>
            <w:r>
              <w:rPr>
                <w:color w:val="auto"/>
                <w:szCs w:val="24"/>
                <w:highlight w:val="none"/>
              </w:rPr>
              <w:fldChar w:fldCharType="end"/>
            </w:r>
            <w:r>
              <w:rPr>
                <w:color w:val="auto"/>
                <w:szCs w:val="24"/>
                <w:highlight w:val="none"/>
              </w:rPr>
              <w:t>加强矿山人员管理及教育工作，禁止乱砍滥伐、禁止随意捕杀野生动物，严格控制开采活动破挖面积，尽量减少对项目区地表的破坏，维护生态系统的完整性。</w:t>
            </w:r>
          </w:p>
          <w:p w14:paraId="221CD32C">
            <w:pPr>
              <w:adjustRightInd w:val="0"/>
              <w:ind w:firstLine="482"/>
              <w:rPr>
                <w:b/>
                <w:bCs/>
                <w:color w:val="auto"/>
                <w:szCs w:val="24"/>
                <w:highlight w:val="none"/>
              </w:rPr>
            </w:pPr>
            <w:r>
              <w:rPr>
                <w:b/>
                <w:bCs/>
                <w:color w:val="auto"/>
                <w:szCs w:val="24"/>
                <w:highlight w:val="none"/>
              </w:rPr>
              <w:t>2、生态环境保护措施可行性分析</w:t>
            </w:r>
          </w:p>
          <w:p w14:paraId="46DDF3A9">
            <w:pPr>
              <w:pStyle w:val="13"/>
              <w:spacing w:line="360" w:lineRule="auto"/>
              <w:ind w:firstLine="452"/>
              <w:rPr>
                <w:rFonts w:ascii="Times New Roman" w:hAnsi="Times New Roman"/>
                <w:color w:val="auto"/>
                <w:sz w:val="24"/>
                <w:szCs w:val="24"/>
                <w:highlight w:val="none"/>
              </w:rPr>
            </w:pPr>
            <w:r>
              <w:rPr>
                <w:rFonts w:ascii="Times New Roman" w:hAnsi="Times New Roman"/>
                <w:color w:val="auto"/>
                <w:sz w:val="24"/>
                <w:szCs w:val="24"/>
                <w:highlight w:val="none"/>
              </w:rPr>
              <w:t>项目占地类型为</w:t>
            </w:r>
            <w:r>
              <w:rPr>
                <w:rFonts w:hint="eastAsia" w:ascii="Times New Roman" w:hAnsi="Times New Roman"/>
                <w:color w:val="auto"/>
                <w:sz w:val="24"/>
                <w:szCs w:val="24"/>
                <w:highlight w:val="none"/>
                <w:lang w:val="en-US" w:eastAsia="zh-CN"/>
              </w:rPr>
              <w:t>林地</w:t>
            </w:r>
            <w:r>
              <w:rPr>
                <w:rFonts w:hint="eastAsia" w:ascii="Times New Roman" w:hAnsi="Times New Roman"/>
                <w:color w:val="auto"/>
                <w:sz w:val="24"/>
                <w:szCs w:val="24"/>
                <w:highlight w:val="none"/>
              </w:rPr>
              <w:t>、草地</w:t>
            </w:r>
            <w:r>
              <w:rPr>
                <w:rFonts w:ascii="Times New Roman" w:hAnsi="Times New Roman"/>
                <w:color w:val="auto"/>
                <w:sz w:val="24"/>
                <w:szCs w:val="24"/>
                <w:highlight w:val="none"/>
              </w:rPr>
              <w:t>，未占用基本农田及公益林。项目占地会使原有土地利用性质变为采矿用地，使区域自然体系的生产能力受到一定影响，区域内的生物量也将随之减少，但不会导致项目区植被物种的消失，项目的建设对区域内小型野生动物会产生一定影响，对其形成驱赶。</w:t>
            </w:r>
          </w:p>
          <w:p w14:paraId="4BD96878">
            <w:pPr>
              <w:pStyle w:val="13"/>
              <w:spacing w:line="360" w:lineRule="auto"/>
              <w:ind w:firstLine="452"/>
              <w:rPr>
                <w:rFonts w:ascii="Times New Roman" w:hAnsi="Times New Roman"/>
                <w:color w:val="auto"/>
                <w:sz w:val="24"/>
                <w:szCs w:val="24"/>
                <w:highlight w:val="none"/>
              </w:rPr>
            </w:pPr>
            <w:r>
              <w:rPr>
                <w:rFonts w:ascii="Times New Roman" w:hAnsi="Times New Roman"/>
                <w:color w:val="auto"/>
                <w:sz w:val="24"/>
                <w:szCs w:val="24"/>
                <w:highlight w:val="none"/>
              </w:rPr>
              <w:t>项目通过采取植被恢复、土地复垦等措施减轻对土地利用、动植物资源影响。项目会在一定程度上改变矿区地貌，使原来的自然景观出现裸露边坡，通过采取边开采边复垦的方式减轻影响。项目在开采区、周边设置截</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排</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水沟，有效的减少开采活动造成的新增水土流失。</w:t>
            </w:r>
          </w:p>
          <w:p w14:paraId="6E89A7C5">
            <w:pPr>
              <w:pStyle w:val="13"/>
              <w:spacing w:line="360" w:lineRule="auto"/>
              <w:ind w:firstLine="452"/>
              <w:rPr>
                <w:rFonts w:ascii="Times New Roman" w:hAnsi="Times New Roman"/>
                <w:color w:val="auto"/>
                <w:sz w:val="24"/>
                <w:szCs w:val="24"/>
                <w:highlight w:val="none"/>
              </w:rPr>
            </w:pPr>
            <w:r>
              <w:rPr>
                <w:rFonts w:ascii="Times New Roman" w:hAnsi="Times New Roman"/>
                <w:color w:val="auto"/>
                <w:sz w:val="24"/>
                <w:szCs w:val="24"/>
                <w:highlight w:val="none"/>
              </w:rPr>
              <w:t>项目运行期生态措施因地制宜，有针对性，能够与当地的生态系统相协调，技术上可行，投资不大，经济可行，在做好项目生态环境保护措施后，项目对生态环境影响是可以接受的，且能够在闭矿复垦后得到恢复，因此项目生态环境保护措施是可行的。</w:t>
            </w:r>
          </w:p>
          <w:p w14:paraId="31F62B26">
            <w:pPr>
              <w:adjustRightInd w:val="0"/>
              <w:ind w:firstLine="482"/>
              <w:rPr>
                <w:b/>
                <w:bCs/>
                <w:color w:val="auto"/>
                <w:szCs w:val="21"/>
                <w:highlight w:val="none"/>
              </w:rPr>
            </w:pPr>
            <w:r>
              <w:rPr>
                <w:b/>
                <w:bCs/>
                <w:color w:val="auto"/>
                <w:szCs w:val="21"/>
                <w:highlight w:val="none"/>
              </w:rPr>
              <w:t>二、运营期废气防治措施及可行性分析</w:t>
            </w:r>
          </w:p>
          <w:p w14:paraId="4BE230F0">
            <w:pPr>
              <w:adjustRightInd w:val="0"/>
              <w:ind w:firstLine="482"/>
              <w:rPr>
                <w:b/>
                <w:bCs/>
                <w:color w:val="auto"/>
                <w:szCs w:val="21"/>
                <w:highlight w:val="none"/>
              </w:rPr>
            </w:pPr>
            <w:r>
              <w:rPr>
                <w:b/>
                <w:bCs/>
                <w:color w:val="auto"/>
                <w:szCs w:val="21"/>
                <w:highlight w:val="none"/>
              </w:rPr>
              <w:t>1、废气污染防治措施</w:t>
            </w:r>
          </w:p>
          <w:p w14:paraId="6B5BF635">
            <w:pPr>
              <w:adjustRightInd w:val="0"/>
              <w:ind w:firstLine="440"/>
              <w:rPr>
                <w:bCs/>
                <w:color w:val="auto"/>
                <w:spacing w:val="-10"/>
                <w:szCs w:val="24"/>
                <w:highlight w:val="none"/>
              </w:rPr>
            </w:pPr>
            <w:r>
              <w:rPr>
                <w:bCs/>
                <w:color w:val="auto"/>
                <w:spacing w:val="-10"/>
                <w:szCs w:val="24"/>
                <w:highlight w:val="none"/>
              </w:rPr>
              <w:t>（1）</w:t>
            </w:r>
            <w:r>
              <w:rPr>
                <w:bCs/>
                <w:color w:val="auto"/>
                <w:kern w:val="0"/>
                <w:szCs w:val="24"/>
                <w:highlight w:val="none"/>
              </w:rPr>
              <w:t>露天开采区设置雾泡机进行洒水降尘，洒水抑尘的效率达到7</w:t>
            </w:r>
            <w:r>
              <w:rPr>
                <w:rFonts w:hint="eastAsia"/>
                <w:bCs/>
                <w:color w:val="auto"/>
                <w:kern w:val="0"/>
                <w:szCs w:val="24"/>
                <w:highlight w:val="none"/>
                <w:lang w:val="en-US" w:eastAsia="zh-CN"/>
              </w:rPr>
              <w:t>4</w:t>
            </w:r>
            <w:r>
              <w:rPr>
                <w:bCs/>
                <w:color w:val="auto"/>
                <w:kern w:val="0"/>
                <w:szCs w:val="24"/>
                <w:highlight w:val="none"/>
              </w:rPr>
              <w:t>%左右。</w:t>
            </w:r>
          </w:p>
          <w:p w14:paraId="420134B5">
            <w:pPr>
              <w:adjustRightInd w:val="0"/>
              <w:ind w:firstLine="440"/>
              <w:rPr>
                <w:bCs/>
                <w:color w:val="auto"/>
                <w:spacing w:val="-10"/>
                <w:szCs w:val="24"/>
                <w:highlight w:val="none"/>
              </w:rPr>
            </w:pPr>
            <w:r>
              <w:rPr>
                <w:bCs/>
                <w:color w:val="auto"/>
                <w:spacing w:val="-10"/>
                <w:szCs w:val="24"/>
                <w:highlight w:val="none"/>
              </w:rPr>
              <w:t>（2）</w:t>
            </w:r>
            <w:r>
              <w:rPr>
                <w:color w:val="auto"/>
                <w:szCs w:val="24"/>
                <w:highlight w:val="none"/>
              </w:rPr>
              <w:t>采取一辆洒水车对项目区道路进行洒水降尘，洒水降尘对粉尘降尘效率约为7</w:t>
            </w:r>
            <w:r>
              <w:rPr>
                <w:rFonts w:hint="eastAsia"/>
                <w:color w:val="auto"/>
                <w:szCs w:val="24"/>
                <w:highlight w:val="none"/>
                <w:lang w:val="en-US" w:eastAsia="zh-CN"/>
              </w:rPr>
              <w:t>4</w:t>
            </w:r>
            <w:r>
              <w:rPr>
                <w:color w:val="auto"/>
                <w:szCs w:val="24"/>
                <w:highlight w:val="none"/>
              </w:rPr>
              <w:t>%</w:t>
            </w:r>
            <w:r>
              <w:rPr>
                <w:bCs/>
                <w:color w:val="auto"/>
                <w:spacing w:val="-10"/>
                <w:szCs w:val="24"/>
                <w:highlight w:val="none"/>
              </w:rPr>
              <w:t>；</w:t>
            </w:r>
          </w:p>
          <w:p w14:paraId="74D9FCFC">
            <w:pPr>
              <w:adjustRightInd w:val="0"/>
              <w:ind w:firstLine="480"/>
              <w:rPr>
                <w:rFonts w:hint="eastAsia"/>
                <w:color w:val="auto"/>
                <w:highlight w:val="none"/>
                <w:lang w:eastAsia="zh-CN"/>
              </w:rPr>
            </w:pPr>
            <w:r>
              <w:rPr>
                <w:rFonts w:hint="eastAsia"/>
                <w:color w:val="auto"/>
                <w:szCs w:val="24"/>
                <w:highlight w:val="none"/>
                <w:lang w:eastAsia="zh-CN"/>
              </w:rPr>
              <w:t>（</w:t>
            </w:r>
            <w:r>
              <w:rPr>
                <w:rFonts w:hint="eastAsia"/>
                <w:color w:val="auto"/>
                <w:szCs w:val="24"/>
                <w:highlight w:val="none"/>
                <w:lang w:val="en-US" w:eastAsia="zh-CN"/>
              </w:rPr>
              <w:t>3</w:t>
            </w:r>
            <w:r>
              <w:rPr>
                <w:rFonts w:hint="eastAsia"/>
                <w:color w:val="auto"/>
                <w:szCs w:val="24"/>
                <w:highlight w:val="none"/>
                <w:lang w:eastAsia="zh-CN"/>
              </w:rPr>
              <w:t>）</w:t>
            </w:r>
            <w:r>
              <w:rPr>
                <w:rFonts w:hint="eastAsia"/>
                <w:color w:val="auto"/>
                <w:szCs w:val="24"/>
                <w:highlight w:val="none"/>
                <w:lang w:val="en-US" w:eastAsia="zh-CN"/>
              </w:rPr>
              <w:t>破碎站全封闭（</w:t>
            </w:r>
            <w:r>
              <w:rPr>
                <w:rFonts w:hint="eastAsia"/>
                <w:color w:val="auto"/>
                <w:highlight w:val="none"/>
                <w:lang w:val="en-US" w:eastAsia="zh-CN"/>
              </w:rPr>
              <w:t>三面围挡+顶棚</w:t>
            </w:r>
            <w:r>
              <w:rPr>
                <w:rFonts w:hint="eastAsia"/>
                <w:color w:val="auto"/>
                <w:szCs w:val="24"/>
                <w:highlight w:val="none"/>
                <w:lang w:val="en-US" w:eastAsia="zh-CN"/>
              </w:rPr>
              <w:t>）</w:t>
            </w:r>
            <w:r>
              <w:rPr>
                <w:rFonts w:hint="eastAsia"/>
                <w:color w:val="auto"/>
                <w:highlight w:val="none"/>
                <w:lang w:val="en-US" w:eastAsia="zh-CN"/>
              </w:rPr>
              <w:t>，仅预留出入口</w:t>
            </w:r>
            <w:r>
              <w:rPr>
                <w:color w:val="auto"/>
                <w:highlight w:val="none"/>
              </w:rPr>
              <w:t>，破碎、制砂、筛分颗粒物经集气罩收集引入布袋除尘器处理</w:t>
            </w:r>
            <w:r>
              <w:rPr>
                <w:rFonts w:hint="eastAsia"/>
                <w:color w:val="auto"/>
                <w:highlight w:val="none"/>
              </w:rPr>
              <w:t>后通过15m高排气筒排放</w:t>
            </w:r>
            <w:r>
              <w:rPr>
                <w:rFonts w:hint="eastAsia"/>
                <w:color w:val="auto"/>
                <w:highlight w:val="none"/>
                <w:lang w:eastAsia="zh-CN"/>
              </w:rPr>
              <w:t>，</w:t>
            </w:r>
            <w:r>
              <w:rPr>
                <w:rFonts w:hint="eastAsia"/>
                <w:color w:val="auto"/>
                <w:highlight w:val="none"/>
                <w:lang w:val="en-US" w:eastAsia="zh-CN"/>
              </w:rPr>
              <w:t>生产设备分别各安装1套喷淋设备，共5套</w:t>
            </w:r>
            <w:r>
              <w:rPr>
                <w:rFonts w:hint="eastAsia"/>
                <w:color w:val="auto"/>
                <w:highlight w:val="none"/>
                <w:lang w:eastAsia="zh-CN"/>
              </w:rPr>
              <w:t>；</w:t>
            </w:r>
            <w:r>
              <w:rPr>
                <w:rFonts w:hint="eastAsia"/>
                <w:bCs/>
                <w:color w:val="auto"/>
                <w:kern w:val="0"/>
                <w:szCs w:val="21"/>
                <w:highlight w:val="none"/>
                <w:lang w:val="en-US" w:eastAsia="zh-CN"/>
              </w:rPr>
              <w:t>砂料堆场设置为</w:t>
            </w:r>
            <w:r>
              <w:rPr>
                <w:rFonts w:hint="eastAsia"/>
                <w:color w:val="auto"/>
                <w:highlight w:val="none"/>
                <w:lang w:val="en-US" w:eastAsia="zh-CN"/>
              </w:rPr>
              <w:t>彩钢瓦大棚内</w:t>
            </w:r>
            <w:r>
              <w:rPr>
                <w:rFonts w:hint="eastAsia"/>
                <w:color w:val="auto"/>
                <w:highlight w:val="none"/>
                <w:lang w:eastAsia="zh-CN"/>
              </w:rPr>
              <w:t>，</w:t>
            </w:r>
            <w:r>
              <w:rPr>
                <w:rFonts w:hint="eastAsia"/>
                <w:color w:val="auto"/>
                <w:highlight w:val="none"/>
                <w:lang w:val="en-US" w:eastAsia="zh-CN"/>
              </w:rPr>
              <w:t>三面围挡+顶棚，仅预留出入口，设2套自动喷淋洒水降尘；</w:t>
            </w:r>
          </w:p>
          <w:p w14:paraId="6199B361">
            <w:pPr>
              <w:adjustRightInd w:val="0"/>
              <w:ind w:firstLine="480"/>
              <w:rPr>
                <w:color w:val="auto"/>
                <w:szCs w:val="24"/>
                <w:highlight w:val="none"/>
              </w:rPr>
            </w:pPr>
            <w:r>
              <w:rPr>
                <w:color w:val="auto"/>
                <w:szCs w:val="24"/>
                <w:highlight w:val="none"/>
              </w:rPr>
              <w:t>（</w:t>
            </w:r>
            <w:r>
              <w:rPr>
                <w:rFonts w:hint="eastAsia"/>
                <w:color w:val="auto"/>
                <w:szCs w:val="24"/>
                <w:highlight w:val="none"/>
                <w:lang w:val="en-US" w:eastAsia="zh-CN"/>
              </w:rPr>
              <w:t>4</w:t>
            </w:r>
            <w:r>
              <w:rPr>
                <w:color w:val="auto"/>
                <w:szCs w:val="24"/>
                <w:highlight w:val="none"/>
              </w:rPr>
              <w:t>）若遇到强风天气，应视天气情况进行增加洒水降尘次数，或停止生产活动；</w:t>
            </w:r>
          </w:p>
          <w:p w14:paraId="4B67856A">
            <w:pPr>
              <w:adjustRightInd w:val="0"/>
              <w:ind w:firstLine="480"/>
              <w:rPr>
                <w:bCs/>
                <w:color w:val="auto"/>
                <w:kern w:val="0"/>
                <w:szCs w:val="21"/>
                <w:highlight w:val="none"/>
              </w:rPr>
            </w:pPr>
            <w:r>
              <w:rPr>
                <w:color w:val="auto"/>
                <w:szCs w:val="24"/>
                <w:highlight w:val="none"/>
              </w:rPr>
              <w:t>（</w:t>
            </w:r>
            <w:r>
              <w:rPr>
                <w:rFonts w:hint="eastAsia"/>
                <w:color w:val="auto"/>
                <w:szCs w:val="24"/>
                <w:highlight w:val="none"/>
                <w:lang w:val="en-US" w:eastAsia="zh-CN"/>
              </w:rPr>
              <w:t>5</w:t>
            </w:r>
            <w:r>
              <w:rPr>
                <w:color w:val="auto"/>
                <w:szCs w:val="24"/>
                <w:highlight w:val="none"/>
              </w:rPr>
              <w:t>）设置专人进行环保管理工作，加强喷雾降尘设备、洒水车的维护保养，确保洒水降尘措施落实</w:t>
            </w:r>
            <w:r>
              <w:rPr>
                <w:bCs/>
                <w:color w:val="auto"/>
                <w:kern w:val="0"/>
                <w:szCs w:val="21"/>
                <w:highlight w:val="none"/>
              </w:rPr>
              <w:t>。</w:t>
            </w:r>
          </w:p>
          <w:p w14:paraId="5D760E8B">
            <w:pPr>
              <w:adjustRightInd w:val="0"/>
              <w:ind w:firstLine="482"/>
              <w:rPr>
                <w:b/>
                <w:color w:val="auto"/>
                <w:kern w:val="0"/>
                <w:szCs w:val="21"/>
                <w:highlight w:val="none"/>
              </w:rPr>
            </w:pPr>
            <w:r>
              <w:rPr>
                <w:b/>
                <w:color w:val="auto"/>
                <w:kern w:val="0"/>
                <w:szCs w:val="21"/>
                <w:highlight w:val="none"/>
              </w:rPr>
              <w:t>2、废气污染防治措施可行性分析</w:t>
            </w:r>
          </w:p>
          <w:p w14:paraId="762D5B00">
            <w:pPr>
              <w:adjustRightInd w:val="0"/>
              <w:ind w:firstLine="480"/>
              <w:rPr>
                <w:bCs/>
                <w:color w:val="auto"/>
                <w:kern w:val="0"/>
                <w:szCs w:val="21"/>
                <w:highlight w:val="none"/>
              </w:rPr>
            </w:pPr>
            <w:r>
              <w:rPr>
                <w:rFonts w:hint="eastAsia"/>
                <w:color w:val="auto"/>
                <w:highlight w:val="none"/>
                <w:lang w:val="en-US" w:eastAsia="zh-CN"/>
              </w:rPr>
              <w:t>项目生产线建</w:t>
            </w:r>
            <w:r>
              <w:rPr>
                <w:color w:val="auto"/>
                <w:highlight w:val="none"/>
              </w:rPr>
              <w:t>于</w:t>
            </w:r>
            <w:r>
              <w:rPr>
                <w:rFonts w:hint="eastAsia"/>
                <w:color w:val="auto"/>
                <w:highlight w:val="none"/>
                <w:lang w:val="en-US" w:eastAsia="zh-CN"/>
              </w:rPr>
              <w:t>彩钢瓦大棚内</w:t>
            </w:r>
            <w:r>
              <w:rPr>
                <w:rFonts w:hint="eastAsia"/>
                <w:color w:val="auto"/>
                <w:highlight w:val="none"/>
                <w:lang w:eastAsia="zh-CN"/>
              </w:rPr>
              <w:t>，</w:t>
            </w:r>
            <w:r>
              <w:rPr>
                <w:rFonts w:hint="eastAsia"/>
                <w:color w:val="auto"/>
                <w:highlight w:val="none"/>
                <w:lang w:val="en-US" w:eastAsia="zh-CN"/>
              </w:rPr>
              <w:t>全封闭，仅预留出入口</w:t>
            </w:r>
            <w:r>
              <w:rPr>
                <w:color w:val="auto"/>
                <w:highlight w:val="none"/>
              </w:rPr>
              <w:t>，破碎、制砂、筛分颗粒物经集气罩收集引入布袋除尘器处理</w:t>
            </w:r>
            <w:r>
              <w:rPr>
                <w:rFonts w:hint="eastAsia"/>
                <w:color w:val="auto"/>
                <w:highlight w:val="none"/>
              </w:rPr>
              <w:t>后通过15m高排气筒排放</w:t>
            </w:r>
            <w:r>
              <w:rPr>
                <w:color w:val="auto"/>
                <w:highlight w:val="none"/>
              </w:rPr>
              <w:t>；</w:t>
            </w:r>
            <w:r>
              <w:rPr>
                <w:bCs/>
                <w:color w:val="auto"/>
                <w:kern w:val="0"/>
                <w:szCs w:val="24"/>
                <w:highlight w:val="none"/>
              </w:rPr>
              <w:t>项目无组织粉尘污染源</w:t>
            </w:r>
            <w:r>
              <w:rPr>
                <w:rFonts w:hint="eastAsia"/>
                <w:bCs/>
                <w:color w:val="auto"/>
                <w:kern w:val="0"/>
                <w:szCs w:val="24"/>
                <w:highlight w:val="none"/>
              </w:rPr>
              <w:t>主要为</w:t>
            </w:r>
            <w:r>
              <w:rPr>
                <w:bCs/>
                <w:color w:val="auto"/>
                <w:kern w:val="0"/>
                <w:szCs w:val="21"/>
                <w:highlight w:val="none"/>
              </w:rPr>
              <w:t>露天采区开采扬尘、矿石</w:t>
            </w:r>
            <w:r>
              <w:rPr>
                <w:rFonts w:hint="eastAsia"/>
                <w:bCs/>
                <w:color w:val="auto"/>
                <w:kern w:val="0"/>
                <w:szCs w:val="21"/>
                <w:highlight w:val="none"/>
              </w:rPr>
              <w:t>铲装及</w:t>
            </w:r>
            <w:r>
              <w:rPr>
                <w:bCs/>
                <w:color w:val="auto"/>
                <w:kern w:val="0"/>
                <w:szCs w:val="21"/>
                <w:highlight w:val="none"/>
              </w:rPr>
              <w:t>运输扬尘等</w:t>
            </w:r>
            <w:r>
              <w:rPr>
                <w:rFonts w:hint="eastAsia"/>
                <w:bCs/>
                <w:color w:val="auto"/>
                <w:kern w:val="0"/>
                <w:szCs w:val="24"/>
                <w:highlight w:val="none"/>
              </w:rPr>
              <w:t>，</w:t>
            </w:r>
            <w:r>
              <w:rPr>
                <w:color w:val="auto"/>
                <w:highlight w:val="none"/>
              </w:rPr>
              <w:t>道路运输无组织粉尘控制措施主要为移动式洒水车进行洒水降尘</w:t>
            </w:r>
            <w:r>
              <w:rPr>
                <w:rFonts w:hint="eastAsia"/>
                <w:color w:val="auto"/>
                <w:highlight w:val="none"/>
                <w:lang w:eastAsia="zh-CN"/>
              </w:rPr>
              <w:t>；</w:t>
            </w:r>
            <w:r>
              <w:rPr>
                <w:bCs/>
                <w:color w:val="auto"/>
                <w:kern w:val="0"/>
                <w:szCs w:val="21"/>
                <w:highlight w:val="none"/>
              </w:rPr>
              <w:t>露天采区开采扬尘、矿石</w:t>
            </w:r>
            <w:r>
              <w:rPr>
                <w:rFonts w:hint="eastAsia"/>
                <w:bCs/>
                <w:color w:val="auto"/>
                <w:kern w:val="0"/>
                <w:szCs w:val="21"/>
                <w:highlight w:val="none"/>
              </w:rPr>
              <w:t>铲装及</w:t>
            </w:r>
            <w:r>
              <w:rPr>
                <w:bCs/>
                <w:color w:val="auto"/>
                <w:kern w:val="0"/>
                <w:szCs w:val="21"/>
                <w:highlight w:val="none"/>
              </w:rPr>
              <w:t>运输扬尘等，主要采用洒水降尘的措施进行抑尘处理</w:t>
            </w:r>
            <w:r>
              <w:rPr>
                <w:rFonts w:hint="eastAsia"/>
                <w:bCs/>
                <w:color w:val="auto"/>
                <w:kern w:val="0"/>
                <w:szCs w:val="21"/>
                <w:highlight w:val="none"/>
                <w:lang w:eastAsia="zh-CN"/>
              </w:rPr>
              <w:t>；</w:t>
            </w:r>
            <w:r>
              <w:rPr>
                <w:rFonts w:hint="eastAsia"/>
                <w:bCs/>
                <w:color w:val="auto"/>
                <w:kern w:val="0"/>
                <w:szCs w:val="21"/>
                <w:highlight w:val="none"/>
                <w:lang w:val="en-US" w:eastAsia="zh-CN"/>
              </w:rPr>
              <w:t>砂料堆场设置为</w:t>
            </w:r>
            <w:r>
              <w:rPr>
                <w:rFonts w:hint="eastAsia"/>
                <w:color w:val="auto"/>
                <w:highlight w:val="none"/>
                <w:lang w:val="en-US" w:eastAsia="zh-CN"/>
              </w:rPr>
              <w:t>彩钢瓦大棚内</w:t>
            </w:r>
            <w:r>
              <w:rPr>
                <w:rFonts w:hint="eastAsia"/>
                <w:color w:val="auto"/>
                <w:highlight w:val="none"/>
                <w:lang w:eastAsia="zh-CN"/>
              </w:rPr>
              <w:t>，</w:t>
            </w:r>
            <w:r>
              <w:rPr>
                <w:rFonts w:hint="eastAsia"/>
                <w:color w:val="auto"/>
                <w:highlight w:val="none"/>
                <w:lang w:val="en-US" w:eastAsia="zh-CN"/>
              </w:rPr>
              <w:t>三面围挡+顶棚，仅预留出入口</w:t>
            </w:r>
            <w:r>
              <w:rPr>
                <w:color w:val="auto"/>
                <w:highlight w:val="none"/>
              </w:rPr>
              <w:t>，</w:t>
            </w:r>
            <w:r>
              <w:rPr>
                <w:rFonts w:hint="eastAsia"/>
                <w:color w:val="auto"/>
                <w:highlight w:val="none"/>
                <w:lang w:val="en-US" w:eastAsia="zh-CN"/>
              </w:rPr>
              <w:t>并进行洒水抑尘。</w:t>
            </w:r>
            <w:r>
              <w:rPr>
                <w:bCs/>
                <w:color w:val="auto"/>
                <w:kern w:val="0"/>
                <w:szCs w:val="21"/>
                <w:highlight w:val="none"/>
              </w:rPr>
              <w:t>项目在采取以上污染防治措施并做好措施落地及管理工作的前提下，项目废气排放可满足《大气污染物综合排放标准》（GB16297-1996）表2中排放</w:t>
            </w:r>
            <w:r>
              <w:rPr>
                <w:rFonts w:hint="eastAsia"/>
                <w:bCs/>
                <w:color w:val="auto"/>
                <w:kern w:val="0"/>
                <w:szCs w:val="21"/>
                <w:highlight w:val="none"/>
                <w:lang w:val="en-US" w:eastAsia="zh-CN"/>
              </w:rPr>
              <w:t>标准</w:t>
            </w:r>
            <w:r>
              <w:rPr>
                <w:bCs/>
                <w:color w:val="auto"/>
                <w:kern w:val="0"/>
                <w:szCs w:val="21"/>
                <w:highlight w:val="none"/>
              </w:rPr>
              <w:t>要求，</w:t>
            </w:r>
            <w:r>
              <w:rPr>
                <w:color w:val="auto"/>
                <w:highlight w:val="none"/>
              </w:rPr>
              <w:t>能实现达标排放</w:t>
            </w:r>
            <w:r>
              <w:rPr>
                <w:rFonts w:hint="eastAsia"/>
                <w:color w:val="auto"/>
                <w:highlight w:val="none"/>
                <w:lang w:eastAsia="zh-CN"/>
              </w:rPr>
              <w:t>，</w:t>
            </w:r>
            <w:r>
              <w:rPr>
                <w:bCs/>
                <w:color w:val="auto"/>
                <w:kern w:val="0"/>
                <w:szCs w:val="21"/>
                <w:highlight w:val="none"/>
              </w:rPr>
              <w:t>对周围环境影响不大。因此，项目采取的废气防治措施是可行的。</w:t>
            </w:r>
          </w:p>
          <w:p w14:paraId="45090995">
            <w:pPr>
              <w:adjustRightInd w:val="0"/>
              <w:ind w:firstLine="482"/>
              <w:rPr>
                <w:b/>
                <w:bCs/>
                <w:color w:val="auto"/>
                <w:szCs w:val="21"/>
                <w:highlight w:val="none"/>
              </w:rPr>
            </w:pPr>
            <w:r>
              <w:rPr>
                <w:rFonts w:hint="eastAsia"/>
                <w:b/>
                <w:bCs/>
                <w:color w:val="auto"/>
                <w:szCs w:val="21"/>
                <w:highlight w:val="none"/>
              </w:rPr>
              <w:t>三、</w:t>
            </w:r>
            <w:r>
              <w:rPr>
                <w:b/>
                <w:bCs/>
                <w:color w:val="auto"/>
                <w:szCs w:val="21"/>
                <w:highlight w:val="none"/>
              </w:rPr>
              <w:t>运营期废水污染防治措施与可行性分析</w:t>
            </w:r>
          </w:p>
          <w:p w14:paraId="06C17944">
            <w:pPr>
              <w:adjustRightInd w:val="0"/>
              <w:ind w:firstLine="482"/>
              <w:rPr>
                <w:b/>
                <w:bCs/>
                <w:color w:val="auto"/>
                <w:szCs w:val="21"/>
                <w:highlight w:val="none"/>
              </w:rPr>
            </w:pPr>
            <w:r>
              <w:rPr>
                <w:b/>
                <w:bCs/>
                <w:color w:val="auto"/>
                <w:szCs w:val="21"/>
                <w:highlight w:val="none"/>
              </w:rPr>
              <w:t>1、废水污染防治措施</w:t>
            </w:r>
          </w:p>
          <w:p w14:paraId="4755DAE7">
            <w:pPr>
              <w:adjustRightInd w:val="0"/>
              <w:ind w:firstLine="480"/>
              <w:rPr>
                <w:color w:val="auto"/>
                <w:kern w:val="0"/>
                <w:szCs w:val="21"/>
                <w:highlight w:val="none"/>
              </w:rPr>
            </w:pPr>
            <w:r>
              <w:rPr>
                <w:color w:val="auto"/>
                <w:kern w:val="0"/>
                <w:szCs w:val="21"/>
                <w:highlight w:val="none"/>
              </w:rPr>
              <w:t>（1）生活</w:t>
            </w:r>
            <w:r>
              <w:rPr>
                <w:rFonts w:hint="eastAsia"/>
                <w:color w:val="auto"/>
                <w:kern w:val="0"/>
                <w:szCs w:val="21"/>
                <w:highlight w:val="none"/>
              </w:rPr>
              <w:t>污水</w:t>
            </w:r>
            <w:r>
              <w:rPr>
                <w:rFonts w:hint="eastAsia"/>
                <w:color w:val="auto"/>
                <w:kern w:val="0"/>
                <w:szCs w:val="21"/>
                <w:highlight w:val="none"/>
                <w:lang w:val="en-US" w:eastAsia="zh-CN"/>
              </w:rPr>
              <w:t>经0.5m</w:t>
            </w:r>
            <w:r>
              <w:rPr>
                <w:rFonts w:hint="eastAsia"/>
                <w:color w:val="auto"/>
                <w:kern w:val="0"/>
                <w:szCs w:val="21"/>
                <w:highlight w:val="none"/>
                <w:vertAlign w:val="superscript"/>
                <w:lang w:val="en-US" w:eastAsia="zh-CN"/>
              </w:rPr>
              <w:t>3</w:t>
            </w:r>
            <w:r>
              <w:rPr>
                <w:rFonts w:hint="eastAsia"/>
                <w:color w:val="auto"/>
                <w:highlight w:val="none"/>
              </w:rPr>
              <w:t>隔油池、</w:t>
            </w:r>
            <w:r>
              <w:rPr>
                <w:rFonts w:hint="eastAsia"/>
                <w:color w:val="auto"/>
                <w:highlight w:val="none"/>
                <w:lang w:val="en-US" w:eastAsia="zh-CN"/>
              </w:rPr>
              <w:t>5</w:t>
            </w:r>
            <w:r>
              <w:rPr>
                <w:rFonts w:hint="eastAsia"/>
                <w:color w:val="auto"/>
                <w:kern w:val="0"/>
                <w:szCs w:val="21"/>
                <w:highlight w:val="none"/>
                <w:lang w:val="en-US" w:eastAsia="zh-CN"/>
              </w:rPr>
              <w:t>m</w:t>
            </w:r>
            <w:r>
              <w:rPr>
                <w:rFonts w:hint="eastAsia"/>
                <w:color w:val="auto"/>
                <w:kern w:val="0"/>
                <w:szCs w:val="21"/>
                <w:highlight w:val="none"/>
                <w:vertAlign w:val="superscript"/>
                <w:lang w:val="en-US" w:eastAsia="zh-CN"/>
              </w:rPr>
              <w:t>3</w:t>
            </w:r>
            <w:r>
              <w:rPr>
                <w:rFonts w:hint="eastAsia"/>
                <w:color w:val="auto"/>
                <w:highlight w:val="none"/>
                <w:lang w:eastAsia="zh-CN"/>
              </w:rPr>
              <w:t>三格化粪池</w:t>
            </w:r>
            <w:r>
              <w:rPr>
                <w:rFonts w:hint="eastAsia"/>
                <w:color w:val="auto"/>
                <w:highlight w:val="none"/>
              </w:rPr>
              <w:t>处理后，</w:t>
            </w:r>
            <w:r>
              <w:rPr>
                <w:rFonts w:hint="eastAsia"/>
                <w:color w:val="auto"/>
                <w:highlight w:val="none"/>
                <w:lang w:val="en-US" w:eastAsia="zh-CN"/>
              </w:rPr>
              <w:t>定期清掏用作农肥</w:t>
            </w:r>
            <w:r>
              <w:rPr>
                <w:color w:val="auto"/>
                <w:szCs w:val="21"/>
                <w:highlight w:val="none"/>
              </w:rPr>
              <w:t>；</w:t>
            </w:r>
          </w:p>
          <w:p w14:paraId="4815E9BB">
            <w:pPr>
              <w:adjustRightInd w:val="0"/>
              <w:ind w:firstLine="480"/>
              <w:rPr>
                <w:rFonts w:hint="eastAsia"/>
                <w:color w:val="auto"/>
                <w:kern w:val="0"/>
                <w:szCs w:val="21"/>
                <w:highlight w:val="none"/>
                <w:lang w:val="en-US" w:eastAsia="zh-CN"/>
              </w:rPr>
            </w:pPr>
            <w:r>
              <w:rPr>
                <w:rFonts w:hint="eastAsia"/>
                <w:color w:val="auto"/>
                <w:kern w:val="0"/>
                <w:szCs w:val="21"/>
                <w:highlight w:val="none"/>
                <w:lang w:eastAsia="zh-CN"/>
              </w:rPr>
              <w:t>（</w:t>
            </w:r>
            <w:r>
              <w:rPr>
                <w:rFonts w:hint="eastAsia"/>
                <w:color w:val="auto"/>
                <w:kern w:val="0"/>
                <w:szCs w:val="21"/>
                <w:highlight w:val="none"/>
                <w:lang w:val="en-US" w:eastAsia="zh-CN"/>
              </w:rPr>
              <w:t>2</w:t>
            </w:r>
            <w:r>
              <w:rPr>
                <w:rFonts w:hint="eastAsia"/>
                <w:color w:val="auto"/>
                <w:kern w:val="0"/>
                <w:szCs w:val="21"/>
                <w:highlight w:val="none"/>
                <w:lang w:eastAsia="zh-CN"/>
              </w:rPr>
              <w:t>）</w:t>
            </w:r>
            <w:r>
              <w:rPr>
                <w:rFonts w:hint="default"/>
                <w:color w:val="auto"/>
                <w:kern w:val="0"/>
                <w:szCs w:val="21"/>
                <w:highlight w:val="none"/>
                <w:lang w:eastAsia="zh-CN"/>
              </w:rPr>
              <w:t>项目运行期间在露天</w:t>
            </w:r>
            <w:r>
              <w:rPr>
                <w:rFonts w:hint="eastAsia"/>
                <w:color w:val="auto"/>
                <w:kern w:val="0"/>
                <w:szCs w:val="21"/>
                <w:highlight w:val="none"/>
                <w:lang w:val="en-US" w:eastAsia="zh-CN"/>
              </w:rPr>
              <w:t>开</w:t>
            </w:r>
            <w:r>
              <w:rPr>
                <w:rFonts w:hint="default"/>
                <w:color w:val="auto"/>
                <w:kern w:val="0"/>
                <w:szCs w:val="21"/>
                <w:highlight w:val="none"/>
                <w:lang w:eastAsia="zh-CN"/>
              </w:rPr>
              <w:t>采区低处设置1个</w:t>
            </w:r>
            <w:r>
              <w:rPr>
                <w:rFonts w:hint="eastAsia"/>
                <w:color w:val="auto"/>
                <w:kern w:val="0"/>
                <w:szCs w:val="21"/>
                <w:highlight w:val="none"/>
                <w:lang w:eastAsia="zh-CN"/>
              </w:rPr>
              <w:t>沉砂池</w:t>
            </w:r>
            <w:r>
              <w:rPr>
                <w:rFonts w:hint="default"/>
                <w:color w:val="auto"/>
                <w:kern w:val="0"/>
                <w:szCs w:val="21"/>
                <w:highlight w:val="none"/>
                <w:lang w:eastAsia="zh-CN"/>
              </w:rPr>
              <w:t>，容积为</w:t>
            </w:r>
            <w:r>
              <w:rPr>
                <w:rFonts w:hint="eastAsia"/>
                <w:color w:val="auto"/>
                <w:kern w:val="0"/>
                <w:szCs w:val="21"/>
                <w:highlight w:val="none"/>
                <w:lang w:val="en-US" w:eastAsia="zh-CN"/>
              </w:rPr>
              <w:t>205m</w:t>
            </w:r>
            <w:r>
              <w:rPr>
                <w:rFonts w:hint="eastAsia"/>
                <w:color w:val="auto"/>
                <w:kern w:val="0"/>
                <w:szCs w:val="21"/>
                <w:highlight w:val="none"/>
                <w:vertAlign w:val="superscript"/>
                <w:lang w:val="en-US" w:eastAsia="zh-CN"/>
              </w:rPr>
              <w:t>3</w:t>
            </w:r>
            <w:r>
              <w:rPr>
                <w:rFonts w:hint="default"/>
                <w:color w:val="auto"/>
                <w:kern w:val="0"/>
                <w:szCs w:val="21"/>
                <w:highlight w:val="none"/>
                <w:lang w:eastAsia="zh-CN"/>
              </w:rPr>
              <w:t xml:space="preserve"> ，处理露天</w:t>
            </w:r>
            <w:r>
              <w:rPr>
                <w:rFonts w:hint="eastAsia"/>
                <w:color w:val="auto"/>
                <w:kern w:val="0"/>
                <w:szCs w:val="21"/>
                <w:highlight w:val="none"/>
                <w:lang w:val="en-US" w:eastAsia="zh-CN"/>
              </w:rPr>
              <w:t>开采区淋滤</w:t>
            </w:r>
            <w:r>
              <w:rPr>
                <w:rFonts w:hint="default"/>
                <w:color w:val="auto"/>
                <w:kern w:val="0"/>
                <w:szCs w:val="21"/>
                <w:highlight w:val="none"/>
                <w:lang w:eastAsia="zh-CN"/>
              </w:rPr>
              <w:t>水；</w:t>
            </w:r>
            <w:r>
              <w:rPr>
                <w:rFonts w:hint="eastAsia"/>
                <w:color w:val="auto"/>
                <w:kern w:val="0"/>
                <w:szCs w:val="21"/>
                <w:highlight w:val="none"/>
                <w:lang w:val="en-US" w:eastAsia="zh-CN"/>
              </w:rPr>
              <w:t>临时表土堆场低处设置1个容积为6m</w:t>
            </w:r>
            <w:r>
              <w:rPr>
                <w:rFonts w:hint="eastAsia"/>
                <w:color w:val="auto"/>
                <w:kern w:val="0"/>
                <w:szCs w:val="21"/>
                <w:highlight w:val="none"/>
                <w:vertAlign w:val="superscript"/>
                <w:lang w:val="en-US" w:eastAsia="zh-CN"/>
              </w:rPr>
              <w:t>3</w:t>
            </w:r>
            <w:r>
              <w:rPr>
                <w:rFonts w:hint="eastAsia"/>
                <w:color w:val="auto"/>
                <w:kern w:val="0"/>
                <w:szCs w:val="21"/>
                <w:highlight w:val="none"/>
                <w:lang w:val="en-US" w:eastAsia="zh-CN"/>
              </w:rPr>
              <w:t>的沉砂池，处理雨天产生淋滤水；工业场地区南侧</w:t>
            </w:r>
            <w:r>
              <w:rPr>
                <w:rFonts w:hint="default"/>
                <w:color w:val="auto"/>
                <w:kern w:val="0"/>
                <w:szCs w:val="21"/>
                <w:highlight w:val="none"/>
                <w:lang w:val="en-US" w:eastAsia="zh-CN"/>
              </w:rPr>
              <w:t>设置</w:t>
            </w:r>
            <w:r>
              <w:rPr>
                <w:rFonts w:hint="eastAsia"/>
                <w:color w:val="auto"/>
                <w:kern w:val="0"/>
                <w:szCs w:val="21"/>
                <w:highlight w:val="none"/>
                <w:lang w:val="en-US" w:eastAsia="zh-CN"/>
              </w:rPr>
              <w:t>1</w:t>
            </w:r>
            <w:r>
              <w:rPr>
                <w:rFonts w:hint="default"/>
                <w:color w:val="auto"/>
                <w:kern w:val="0"/>
                <w:szCs w:val="21"/>
                <w:highlight w:val="none"/>
                <w:lang w:val="en-US" w:eastAsia="zh-CN"/>
              </w:rPr>
              <w:t>个</w:t>
            </w:r>
            <w:r>
              <w:rPr>
                <w:rFonts w:hint="eastAsia"/>
                <w:color w:val="auto"/>
                <w:kern w:val="0"/>
                <w:szCs w:val="21"/>
                <w:highlight w:val="none"/>
                <w:lang w:val="en-US" w:eastAsia="zh-CN"/>
              </w:rPr>
              <w:t>容积82</w:t>
            </w:r>
            <w:r>
              <w:rPr>
                <w:rFonts w:hint="default"/>
                <w:color w:val="auto"/>
                <w:kern w:val="0"/>
                <w:szCs w:val="21"/>
                <w:highlight w:val="none"/>
                <w:lang w:eastAsia="zh-CN"/>
              </w:rPr>
              <w:t>m</w:t>
            </w:r>
            <w:r>
              <w:rPr>
                <w:rFonts w:hint="default"/>
                <w:color w:val="auto"/>
                <w:kern w:val="0"/>
                <w:szCs w:val="21"/>
                <w:highlight w:val="none"/>
                <w:vertAlign w:val="superscript"/>
                <w:lang w:eastAsia="zh-CN"/>
              </w:rPr>
              <w:t>3</w:t>
            </w:r>
            <w:r>
              <w:rPr>
                <w:rFonts w:hint="eastAsia"/>
                <w:color w:val="auto"/>
                <w:kern w:val="0"/>
                <w:szCs w:val="21"/>
                <w:highlight w:val="none"/>
                <w:lang w:val="en-US" w:eastAsia="zh-CN"/>
              </w:rPr>
              <w:t>沉砂池</w:t>
            </w:r>
            <w:r>
              <w:rPr>
                <w:rFonts w:hint="default"/>
                <w:color w:val="auto"/>
                <w:kern w:val="0"/>
                <w:szCs w:val="21"/>
                <w:highlight w:val="none"/>
                <w:lang w:val="en-US" w:eastAsia="zh-CN"/>
              </w:rPr>
              <w:t>，</w:t>
            </w:r>
            <w:r>
              <w:rPr>
                <w:rFonts w:hint="eastAsia"/>
                <w:color w:val="auto"/>
                <w:kern w:val="0"/>
                <w:szCs w:val="21"/>
                <w:highlight w:val="none"/>
                <w:lang w:val="en-US" w:eastAsia="zh-CN"/>
              </w:rPr>
              <w:t>收集工业场地区</w:t>
            </w:r>
            <w:r>
              <w:rPr>
                <w:rFonts w:hint="default"/>
                <w:color w:val="auto"/>
                <w:kern w:val="0"/>
                <w:szCs w:val="21"/>
                <w:highlight w:val="none"/>
                <w:lang w:val="en-US" w:eastAsia="zh-CN"/>
              </w:rPr>
              <w:t>初期雨水</w:t>
            </w:r>
            <w:r>
              <w:rPr>
                <w:rFonts w:hint="eastAsia"/>
                <w:color w:val="auto"/>
                <w:kern w:val="0"/>
                <w:szCs w:val="21"/>
                <w:highlight w:val="none"/>
                <w:lang w:val="en-US" w:eastAsia="zh-CN"/>
              </w:rPr>
              <w:t>；办公生活区南侧设置1个容积为53</w:t>
            </w:r>
            <w:r>
              <w:rPr>
                <w:rFonts w:hint="default"/>
                <w:color w:val="auto"/>
                <w:kern w:val="0"/>
                <w:szCs w:val="21"/>
                <w:highlight w:val="none"/>
                <w:lang w:eastAsia="zh-CN"/>
              </w:rPr>
              <w:t>m</w:t>
            </w:r>
            <w:r>
              <w:rPr>
                <w:rFonts w:hint="default"/>
                <w:color w:val="auto"/>
                <w:kern w:val="0"/>
                <w:szCs w:val="21"/>
                <w:highlight w:val="none"/>
                <w:vertAlign w:val="superscript"/>
                <w:lang w:eastAsia="zh-CN"/>
              </w:rPr>
              <w:t>3</w:t>
            </w:r>
            <w:r>
              <w:rPr>
                <w:rFonts w:hint="eastAsia"/>
                <w:color w:val="auto"/>
                <w:kern w:val="0"/>
                <w:szCs w:val="21"/>
                <w:highlight w:val="none"/>
                <w:lang w:val="en-US" w:eastAsia="zh-CN"/>
              </w:rPr>
              <w:t>的沉砂池，收集雨天产生初期雨水，</w:t>
            </w:r>
            <w:r>
              <w:rPr>
                <w:rFonts w:hint="eastAsia"/>
                <w:color w:val="auto"/>
                <w:kern w:val="0"/>
                <w:szCs w:val="21"/>
                <w:highlight w:val="none"/>
              </w:rPr>
              <w:t>雨水</w:t>
            </w:r>
            <w:r>
              <w:rPr>
                <w:color w:val="auto"/>
                <w:kern w:val="0"/>
                <w:szCs w:val="21"/>
                <w:highlight w:val="none"/>
              </w:rPr>
              <w:t>进行沉淀后</w:t>
            </w:r>
            <w:r>
              <w:rPr>
                <w:rFonts w:hint="eastAsia"/>
                <w:color w:val="auto"/>
                <w:kern w:val="0"/>
                <w:szCs w:val="21"/>
                <w:highlight w:val="none"/>
              </w:rPr>
              <w:t>晴天</w:t>
            </w:r>
            <w:r>
              <w:rPr>
                <w:color w:val="auto"/>
                <w:kern w:val="0"/>
                <w:szCs w:val="21"/>
                <w:highlight w:val="none"/>
              </w:rPr>
              <w:t>回用于</w:t>
            </w:r>
            <w:r>
              <w:rPr>
                <w:rFonts w:hint="eastAsia"/>
                <w:color w:val="auto"/>
                <w:kern w:val="0"/>
                <w:szCs w:val="21"/>
                <w:highlight w:val="none"/>
                <w:lang w:val="en-US" w:eastAsia="zh-CN"/>
              </w:rPr>
              <w:t>矿区</w:t>
            </w:r>
            <w:r>
              <w:rPr>
                <w:color w:val="auto"/>
                <w:kern w:val="0"/>
                <w:szCs w:val="21"/>
                <w:highlight w:val="none"/>
              </w:rPr>
              <w:t>洒水降尘，</w:t>
            </w:r>
            <w:r>
              <w:rPr>
                <w:rFonts w:hint="eastAsia"/>
                <w:color w:val="auto"/>
                <w:kern w:val="0"/>
                <w:szCs w:val="21"/>
                <w:highlight w:val="none"/>
                <w:lang w:val="en-US" w:eastAsia="zh-CN"/>
              </w:rPr>
              <w:t>不外排；</w:t>
            </w:r>
          </w:p>
          <w:p w14:paraId="7B83B46D">
            <w:pPr>
              <w:adjustRightInd w:val="0"/>
              <w:ind w:firstLine="480"/>
              <w:rPr>
                <w:color w:val="auto"/>
                <w:kern w:val="0"/>
                <w:szCs w:val="21"/>
                <w:highlight w:val="none"/>
              </w:rPr>
            </w:pPr>
            <w:r>
              <w:rPr>
                <w:rFonts w:hint="eastAsia"/>
                <w:color w:val="auto"/>
                <w:kern w:val="0"/>
                <w:szCs w:val="21"/>
                <w:highlight w:val="none"/>
                <w:lang w:val="en-US" w:eastAsia="zh-CN"/>
              </w:rPr>
              <w:t>（3）车辆清洗废水经1个容积为5m</w:t>
            </w:r>
            <w:r>
              <w:rPr>
                <w:rFonts w:hint="eastAsia"/>
                <w:color w:val="auto"/>
                <w:kern w:val="0"/>
                <w:szCs w:val="21"/>
                <w:highlight w:val="none"/>
                <w:vertAlign w:val="superscript"/>
                <w:lang w:val="en-US" w:eastAsia="zh-CN"/>
              </w:rPr>
              <w:t>3</w:t>
            </w:r>
            <w:r>
              <w:rPr>
                <w:rFonts w:hint="eastAsia"/>
                <w:color w:val="auto"/>
                <w:kern w:val="0"/>
                <w:szCs w:val="21"/>
                <w:highlight w:val="none"/>
                <w:lang w:val="en-US" w:eastAsia="zh-CN"/>
              </w:rPr>
              <w:t>洗车池收集沉淀后循环使用，不外排。</w:t>
            </w:r>
          </w:p>
          <w:p w14:paraId="0CFF78BE">
            <w:pPr>
              <w:adjustRightInd w:val="0"/>
              <w:ind w:firstLine="482"/>
              <w:rPr>
                <w:b/>
                <w:bCs/>
                <w:color w:val="auto"/>
                <w:szCs w:val="21"/>
                <w:highlight w:val="none"/>
              </w:rPr>
            </w:pPr>
            <w:r>
              <w:rPr>
                <w:b/>
                <w:bCs/>
                <w:color w:val="auto"/>
                <w:szCs w:val="21"/>
                <w:highlight w:val="none"/>
              </w:rPr>
              <w:t>3、废水污染防治措施可行性分析</w:t>
            </w:r>
          </w:p>
          <w:p w14:paraId="3FC7CF70">
            <w:pPr>
              <w:adjustRightInd w:val="0"/>
              <w:ind w:firstLine="482"/>
              <w:rPr>
                <w:b/>
                <w:color w:val="auto"/>
                <w:kern w:val="0"/>
                <w:szCs w:val="21"/>
                <w:highlight w:val="none"/>
              </w:rPr>
            </w:pPr>
            <w:r>
              <w:rPr>
                <w:b/>
                <w:color w:val="auto"/>
                <w:kern w:val="0"/>
                <w:szCs w:val="21"/>
                <w:highlight w:val="none"/>
              </w:rPr>
              <w:t>（1）生活污水依托处理可行性分析</w:t>
            </w:r>
          </w:p>
          <w:p w14:paraId="6568B969">
            <w:pPr>
              <w:adjustRightInd w:val="0"/>
              <w:ind w:firstLine="480"/>
              <w:rPr>
                <w:bCs/>
                <w:color w:val="auto"/>
                <w:kern w:val="0"/>
                <w:szCs w:val="21"/>
                <w:highlight w:val="none"/>
              </w:rPr>
            </w:pPr>
            <w:r>
              <w:rPr>
                <w:color w:val="auto"/>
                <w:szCs w:val="21"/>
                <w:highlight w:val="none"/>
              </w:rPr>
              <w:t>项目生活污水中主要含有COD、BOD</w:t>
            </w:r>
            <w:r>
              <w:rPr>
                <w:color w:val="auto"/>
                <w:szCs w:val="21"/>
                <w:highlight w:val="none"/>
                <w:vertAlign w:val="subscript"/>
              </w:rPr>
              <w:t>5</w:t>
            </w:r>
            <w:r>
              <w:rPr>
                <w:color w:val="auto"/>
                <w:szCs w:val="21"/>
                <w:highlight w:val="none"/>
              </w:rPr>
              <w:t>、NH</w:t>
            </w:r>
            <w:r>
              <w:rPr>
                <w:color w:val="auto"/>
                <w:szCs w:val="21"/>
                <w:highlight w:val="none"/>
                <w:vertAlign w:val="subscript"/>
              </w:rPr>
              <w:t>3</w:t>
            </w:r>
            <w:r>
              <w:rPr>
                <w:color w:val="auto"/>
                <w:szCs w:val="21"/>
                <w:highlight w:val="none"/>
              </w:rPr>
              <w:t>-N、SS、动植物油等，相对简单，隔油池能去除大部分的食堂废水中的油污，生活</w:t>
            </w:r>
            <w:r>
              <w:rPr>
                <w:rFonts w:hint="eastAsia"/>
                <w:color w:val="auto"/>
                <w:szCs w:val="21"/>
                <w:highlight w:val="none"/>
              </w:rPr>
              <w:t>污水</w:t>
            </w:r>
            <w:r>
              <w:rPr>
                <w:color w:val="auto"/>
                <w:szCs w:val="21"/>
                <w:highlight w:val="none"/>
              </w:rPr>
              <w:t>中的各污染物</w:t>
            </w:r>
            <w:r>
              <w:rPr>
                <w:rFonts w:hint="eastAsia"/>
                <w:color w:val="auto"/>
                <w:szCs w:val="21"/>
                <w:highlight w:val="none"/>
              </w:rPr>
              <w:t>再</w:t>
            </w:r>
            <w:r>
              <w:rPr>
                <w:color w:val="auto"/>
                <w:szCs w:val="21"/>
                <w:highlight w:val="none"/>
              </w:rPr>
              <w:t>经</w:t>
            </w:r>
            <w:r>
              <w:rPr>
                <w:rFonts w:hint="eastAsia"/>
                <w:color w:val="auto"/>
                <w:szCs w:val="21"/>
                <w:highlight w:val="none"/>
                <w:lang w:eastAsia="zh-CN"/>
              </w:rPr>
              <w:t>三格化粪池</w:t>
            </w:r>
            <w:r>
              <w:rPr>
                <w:rFonts w:hint="eastAsia"/>
                <w:color w:val="auto"/>
                <w:szCs w:val="21"/>
                <w:highlight w:val="none"/>
              </w:rPr>
              <w:t>处理后</w:t>
            </w:r>
            <w:r>
              <w:rPr>
                <w:color w:val="auto"/>
                <w:szCs w:val="21"/>
                <w:highlight w:val="none"/>
              </w:rPr>
              <w:t>浓度将得到</w:t>
            </w:r>
            <w:r>
              <w:rPr>
                <w:rFonts w:hint="eastAsia"/>
                <w:color w:val="auto"/>
                <w:szCs w:val="21"/>
                <w:highlight w:val="none"/>
                <w:lang w:val="en-US" w:eastAsia="zh-CN"/>
              </w:rPr>
              <w:t>一定</w:t>
            </w:r>
            <w:r>
              <w:rPr>
                <w:color w:val="auto"/>
                <w:szCs w:val="21"/>
                <w:highlight w:val="none"/>
              </w:rPr>
              <w:t>程度的去除，</w:t>
            </w:r>
            <w:r>
              <w:rPr>
                <w:rFonts w:hint="eastAsia"/>
                <w:color w:val="auto"/>
                <w:szCs w:val="21"/>
                <w:highlight w:val="none"/>
                <w:lang w:val="en-US" w:eastAsia="zh-CN"/>
              </w:rPr>
              <w:t>项目周边有农田，定期清掏用作农肥是</w:t>
            </w:r>
            <w:r>
              <w:rPr>
                <w:color w:val="auto"/>
                <w:szCs w:val="21"/>
                <w:highlight w:val="none"/>
              </w:rPr>
              <w:t>可行的</w:t>
            </w:r>
            <w:r>
              <w:rPr>
                <w:rFonts w:hint="eastAsia"/>
                <w:color w:val="auto"/>
                <w:szCs w:val="21"/>
                <w:highlight w:val="none"/>
              </w:rPr>
              <w:t>。</w:t>
            </w:r>
          </w:p>
          <w:p w14:paraId="7D9DCFC7">
            <w:pPr>
              <w:adjustRightInd w:val="0"/>
              <w:ind w:firstLine="482"/>
              <w:rPr>
                <w:b/>
                <w:bCs/>
                <w:color w:val="auto"/>
                <w:kern w:val="0"/>
                <w:szCs w:val="21"/>
                <w:highlight w:val="none"/>
              </w:rPr>
            </w:pPr>
            <w:r>
              <w:rPr>
                <w:b/>
                <w:color w:val="auto"/>
                <w:kern w:val="0"/>
                <w:szCs w:val="21"/>
                <w:highlight w:val="none"/>
              </w:rPr>
              <w:t>（2）</w:t>
            </w:r>
            <w:r>
              <w:rPr>
                <w:b/>
                <w:bCs/>
                <w:color w:val="auto"/>
                <w:kern w:val="0"/>
                <w:szCs w:val="21"/>
                <w:highlight w:val="none"/>
              </w:rPr>
              <w:t>项目雨季初期</w:t>
            </w:r>
            <w:r>
              <w:rPr>
                <w:rFonts w:hint="eastAsia"/>
                <w:b/>
                <w:bCs/>
                <w:color w:val="auto"/>
                <w:kern w:val="0"/>
                <w:szCs w:val="21"/>
                <w:highlight w:val="none"/>
              </w:rPr>
              <w:t>雨水</w:t>
            </w:r>
            <w:r>
              <w:rPr>
                <w:rFonts w:hint="eastAsia"/>
                <w:b/>
                <w:bCs/>
                <w:color w:val="auto"/>
                <w:kern w:val="0"/>
                <w:szCs w:val="21"/>
                <w:highlight w:val="none"/>
                <w:lang w:eastAsia="zh-CN"/>
              </w:rPr>
              <w:t>、</w:t>
            </w:r>
            <w:r>
              <w:rPr>
                <w:rFonts w:hint="eastAsia"/>
                <w:b/>
                <w:bCs/>
                <w:color w:val="auto"/>
                <w:kern w:val="0"/>
                <w:szCs w:val="21"/>
                <w:highlight w:val="none"/>
                <w:lang w:val="en-US" w:eastAsia="zh-CN"/>
              </w:rPr>
              <w:t>淋滤水</w:t>
            </w:r>
            <w:r>
              <w:rPr>
                <w:b/>
                <w:bCs/>
                <w:color w:val="auto"/>
                <w:kern w:val="0"/>
                <w:szCs w:val="21"/>
                <w:highlight w:val="none"/>
              </w:rPr>
              <w:t>回用可行性分析</w:t>
            </w:r>
          </w:p>
          <w:p w14:paraId="2A38EEF2">
            <w:pPr>
              <w:adjustRightInd w:val="0"/>
              <w:ind w:firstLine="480"/>
              <w:rPr>
                <w:bCs/>
                <w:color w:val="auto"/>
                <w:kern w:val="0"/>
                <w:szCs w:val="21"/>
                <w:highlight w:val="none"/>
              </w:rPr>
            </w:pPr>
            <w:r>
              <w:rPr>
                <w:rFonts w:hint="eastAsia"/>
                <w:bCs/>
                <w:color w:val="auto"/>
                <w:kern w:val="0"/>
                <w:szCs w:val="21"/>
                <w:highlight w:val="none"/>
              </w:rPr>
              <w:t>本</w:t>
            </w:r>
            <w:r>
              <w:rPr>
                <w:bCs/>
                <w:color w:val="auto"/>
                <w:kern w:val="0"/>
                <w:szCs w:val="21"/>
                <w:highlight w:val="none"/>
              </w:rPr>
              <w:t>项目为</w:t>
            </w:r>
            <w:r>
              <w:rPr>
                <w:rFonts w:hint="eastAsia"/>
                <w:bCs/>
                <w:color w:val="auto"/>
                <w:kern w:val="0"/>
                <w:szCs w:val="21"/>
                <w:highlight w:val="none"/>
                <w:lang w:val="en-US" w:eastAsia="zh-CN"/>
              </w:rPr>
              <w:t>石英砂岩</w:t>
            </w:r>
            <w:r>
              <w:rPr>
                <w:bCs/>
                <w:color w:val="auto"/>
                <w:kern w:val="0"/>
                <w:szCs w:val="21"/>
                <w:highlight w:val="none"/>
              </w:rPr>
              <w:t>开采项目，矿石的主要成分为SiO</w:t>
            </w:r>
            <w:r>
              <w:rPr>
                <w:bCs/>
                <w:color w:val="auto"/>
                <w:kern w:val="0"/>
                <w:szCs w:val="21"/>
                <w:highlight w:val="none"/>
                <w:vertAlign w:val="subscript"/>
              </w:rPr>
              <w:t>2</w:t>
            </w:r>
            <w:r>
              <w:rPr>
                <w:rFonts w:hint="default" w:ascii="Times New Roman" w:hAnsi="Times New Roman" w:cs="Times New Roman"/>
                <w:bCs/>
                <w:color w:val="auto"/>
                <w:kern w:val="0"/>
                <w:sz w:val="24"/>
                <w:szCs w:val="24"/>
                <w:highlight w:val="none"/>
              </w:rPr>
              <w:t>、</w:t>
            </w:r>
            <w:r>
              <w:rPr>
                <w:rFonts w:hint="default" w:ascii="Times New Roman" w:hAnsi="Times New Roman" w:eastAsia="宋体" w:cs="Times New Roman"/>
                <w:color w:val="auto"/>
                <w:sz w:val="24"/>
                <w:szCs w:val="24"/>
                <w:highlight w:val="none"/>
              </w:rPr>
              <w:t>Al</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O</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Fe</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O</w:t>
            </w:r>
            <w:r>
              <w:rPr>
                <w:rFonts w:hint="default" w:ascii="Times New Roman" w:hAnsi="Times New Roman" w:eastAsia="宋体" w:cs="Times New Roman"/>
                <w:color w:val="auto"/>
                <w:sz w:val="24"/>
                <w:szCs w:val="24"/>
                <w:highlight w:val="none"/>
                <w:vertAlign w:val="subscript"/>
              </w:rPr>
              <w:t>3</w:t>
            </w:r>
            <w:r>
              <w:rPr>
                <w:bCs/>
                <w:color w:val="auto"/>
                <w:kern w:val="0"/>
                <w:szCs w:val="21"/>
                <w:highlight w:val="none"/>
              </w:rPr>
              <w:t>等，受雨水冲刷不会产生有害污染物，主要污染物为SS，通过</w:t>
            </w:r>
            <w:r>
              <w:rPr>
                <w:color w:val="auto"/>
                <w:szCs w:val="24"/>
                <w:highlight w:val="none"/>
              </w:rPr>
              <w:t>截</w:t>
            </w:r>
            <w:r>
              <w:rPr>
                <w:rFonts w:hint="eastAsia"/>
                <w:color w:val="auto"/>
                <w:szCs w:val="24"/>
                <w:highlight w:val="none"/>
              </w:rPr>
              <w:t>（</w:t>
            </w:r>
            <w:r>
              <w:rPr>
                <w:color w:val="auto"/>
                <w:szCs w:val="24"/>
                <w:highlight w:val="none"/>
              </w:rPr>
              <w:t>排</w:t>
            </w:r>
            <w:r>
              <w:rPr>
                <w:rFonts w:hint="eastAsia"/>
                <w:color w:val="auto"/>
                <w:szCs w:val="24"/>
                <w:highlight w:val="none"/>
              </w:rPr>
              <w:t>）</w:t>
            </w:r>
            <w:r>
              <w:rPr>
                <w:bCs/>
                <w:color w:val="auto"/>
                <w:kern w:val="0"/>
                <w:szCs w:val="21"/>
                <w:highlight w:val="none"/>
              </w:rPr>
              <w:t>水设施和沉</w:t>
            </w:r>
            <w:r>
              <w:rPr>
                <w:rFonts w:hint="eastAsia"/>
                <w:bCs/>
                <w:color w:val="auto"/>
                <w:kern w:val="0"/>
                <w:szCs w:val="21"/>
                <w:highlight w:val="none"/>
                <w:lang w:val="en-US" w:eastAsia="zh-CN"/>
              </w:rPr>
              <w:t>砂</w:t>
            </w:r>
            <w:r>
              <w:rPr>
                <w:bCs/>
                <w:color w:val="auto"/>
                <w:kern w:val="0"/>
                <w:szCs w:val="21"/>
                <w:highlight w:val="none"/>
              </w:rPr>
              <w:t>池收集处理淋滤水</w:t>
            </w:r>
            <w:r>
              <w:rPr>
                <w:rFonts w:hint="eastAsia"/>
                <w:bCs/>
                <w:color w:val="auto"/>
                <w:kern w:val="0"/>
                <w:szCs w:val="21"/>
                <w:highlight w:val="none"/>
                <w:lang w:val="en-US" w:eastAsia="zh-CN"/>
              </w:rPr>
              <w:t>和初期雨水</w:t>
            </w:r>
            <w:r>
              <w:rPr>
                <w:bCs/>
                <w:color w:val="auto"/>
                <w:kern w:val="0"/>
                <w:szCs w:val="21"/>
                <w:highlight w:val="none"/>
              </w:rPr>
              <w:t>，经过沉</w:t>
            </w:r>
            <w:r>
              <w:rPr>
                <w:rFonts w:hint="eastAsia"/>
                <w:bCs/>
                <w:color w:val="auto"/>
                <w:kern w:val="0"/>
                <w:szCs w:val="21"/>
                <w:highlight w:val="none"/>
                <w:lang w:val="en-US" w:eastAsia="zh-CN"/>
              </w:rPr>
              <w:t>砂</w:t>
            </w:r>
            <w:r>
              <w:rPr>
                <w:bCs/>
                <w:color w:val="auto"/>
                <w:kern w:val="0"/>
                <w:szCs w:val="21"/>
                <w:highlight w:val="none"/>
              </w:rPr>
              <w:t>池沉淀后可大大降低SS的浓度，</w:t>
            </w:r>
            <w:r>
              <w:rPr>
                <w:color w:val="auto"/>
                <w:szCs w:val="21"/>
                <w:highlight w:val="none"/>
              </w:rPr>
              <w:t>雨季淋滤水</w:t>
            </w:r>
            <w:r>
              <w:rPr>
                <w:rFonts w:hint="eastAsia"/>
                <w:color w:val="auto"/>
                <w:szCs w:val="21"/>
                <w:highlight w:val="none"/>
                <w:lang w:eastAsia="zh-CN"/>
              </w:rPr>
              <w:t>、</w:t>
            </w:r>
            <w:r>
              <w:rPr>
                <w:rFonts w:hint="eastAsia"/>
                <w:color w:val="auto"/>
                <w:szCs w:val="21"/>
                <w:highlight w:val="none"/>
                <w:lang w:val="en-US" w:eastAsia="zh-CN"/>
              </w:rPr>
              <w:t>初期雨水</w:t>
            </w:r>
            <w:r>
              <w:rPr>
                <w:color w:val="auto"/>
                <w:szCs w:val="21"/>
                <w:highlight w:val="none"/>
              </w:rPr>
              <w:t>经沉淀处理后的雨水满足《城市污水再生利用 城市杂用水水质》（GB/T18920-2020）道路清扫标准，回用于项目采区、道路等洒水降尘，不外排</w:t>
            </w:r>
            <w:r>
              <w:rPr>
                <w:bCs/>
                <w:color w:val="auto"/>
                <w:kern w:val="0"/>
                <w:szCs w:val="21"/>
                <w:highlight w:val="none"/>
              </w:rPr>
              <w:t>。</w:t>
            </w:r>
          </w:p>
          <w:p w14:paraId="653371E2">
            <w:pPr>
              <w:adjustRightInd w:val="0"/>
              <w:ind w:firstLine="480"/>
              <w:rPr>
                <w:color w:val="auto"/>
                <w:szCs w:val="21"/>
                <w:highlight w:val="none"/>
              </w:rPr>
            </w:pPr>
            <w:r>
              <w:rPr>
                <w:rFonts w:hint="default"/>
                <w:color w:val="auto"/>
                <w:kern w:val="0"/>
                <w:szCs w:val="21"/>
                <w:highlight w:val="none"/>
                <w:lang w:eastAsia="zh-CN"/>
              </w:rPr>
              <w:t>项目运行期间在露天</w:t>
            </w:r>
            <w:r>
              <w:rPr>
                <w:rFonts w:hint="eastAsia"/>
                <w:color w:val="auto"/>
                <w:kern w:val="0"/>
                <w:szCs w:val="21"/>
                <w:highlight w:val="none"/>
                <w:lang w:val="en-US" w:eastAsia="zh-CN"/>
              </w:rPr>
              <w:t>开</w:t>
            </w:r>
            <w:r>
              <w:rPr>
                <w:rFonts w:hint="default"/>
                <w:color w:val="auto"/>
                <w:kern w:val="0"/>
                <w:szCs w:val="21"/>
                <w:highlight w:val="none"/>
                <w:lang w:eastAsia="zh-CN"/>
              </w:rPr>
              <w:t>采区低处设置1个</w:t>
            </w:r>
            <w:r>
              <w:rPr>
                <w:rFonts w:hint="eastAsia"/>
                <w:color w:val="auto"/>
                <w:kern w:val="0"/>
                <w:szCs w:val="21"/>
                <w:highlight w:val="none"/>
                <w:lang w:eastAsia="zh-CN"/>
              </w:rPr>
              <w:t>沉砂池</w:t>
            </w:r>
            <w:r>
              <w:rPr>
                <w:rFonts w:hint="default"/>
                <w:color w:val="auto"/>
                <w:kern w:val="0"/>
                <w:szCs w:val="21"/>
                <w:highlight w:val="none"/>
                <w:lang w:eastAsia="zh-CN"/>
              </w:rPr>
              <w:t>，容积为</w:t>
            </w:r>
            <w:r>
              <w:rPr>
                <w:rFonts w:hint="eastAsia"/>
                <w:color w:val="auto"/>
                <w:kern w:val="0"/>
                <w:szCs w:val="21"/>
                <w:highlight w:val="none"/>
                <w:lang w:val="en-US" w:eastAsia="zh-CN"/>
              </w:rPr>
              <w:t>205m</w:t>
            </w:r>
            <w:r>
              <w:rPr>
                <w:rFonts w:hint="eastAsia"/>
                <w:color w:val="auto"/>
                <w:kern w:val="0"/>
                <w:szCs w:val="21"/>
                <w:highlight w:val="none"/>
                <w:vertAlign w:val="superscript"/>
                <w:lang w:val="en-US" w:eastAsia="zh-CN"/>
              </w:rPr>
              <w:t>3</w:t>
            </w:r>
            <w:r>
              <w:rPr>
                <w:rFonts w:hint="default"/>
                <w:color w:val="auto"/>
                <w:kern w:val="0"/>
                <w:szCs w:val="21"/>
                <w:highlight w:val="none"/>
                <w:lang w:eastAsia="zh-CN"/>
              </w:rPr>
              <w:t xml:space="preserve"> ，处理露天</w:t>
            </w:r>
            <w:r>
              <w:rPr>
                <w:rFonts w:hint="eastAsia"/>
                <w:color w:val="auto"/>
                <w:kern w:val="0"/>
                <w:szCs w:val="21"/>
                <w:highlight w:val="none"/>
                <w:lang w:val="en-US" w:eastAsia="zh-CN"/>
              </w:rPr>
              <w:t>开采区淋滤</w:t>
            </w:r>
            <w:r>
              <w:rPr>
                <w:rFonts w:hint="default"/>
                <w:color w:val="auto"/>
                <w:kern w:val="0"/>
                <w:szCs w:val="21"/>
                <w:highlight w:val="none"/>
                <w:lang w:eastAsia="zh-CN"/>
              </w:rPr>
              <w:t>水；</w:t>
            </w:r>
            <w:r>
              <w:rPr>
                <w:rFonts w:hint="eastAsia"/>
                <w:color w:val="auto"/>
                <w:kern w:val="0"/>
                <w:szCs w:val="21"/>
                <w:highlight w:val="none"/>
                <w:lang w:val="en-US" w:eastAsia="zh-CN"/>
              </w:rPr>
              <w:t>临时表土堆场低处设置1个容积为6m</w:t>
            </w:r>
            <w:r>
              <w:rPr>
                <w:rFonts w:hint="eastAsia"/>
                <w:color w:val="auto"/>
                <w:kern w:val="0"/>
                <w:szCs w:val="21"/>
                <w:highlight w:val="none"/>
                <w:vertAlign w:val="superscript"/>
                <w:lang w:val="en-US" w:eastAsia="zh-CN"/>
              </w:rPr>
              <w:t>3</w:t>
            </w:r>
            <w:r>
              <w:rPr>
                <w:rFonts w:hint="eastAsia"/>
                <w:color w:val="auto"/>
                <w:kern w:val="0"/>
                <w:szCs w:val="21"/>
                <w:highlight w:val="none"/>
                <w:lang w:val="en-US" w:eastAsia="zh-CN"/>
              </w:rPr>
              <w:t>的沉砂池，处理雨天产生淋滤水；工业场地区南侧</w:t>
            </w:r>
            <w:r>
              <w:rPr>
                <w:rFonts w:hint="default"/>
                <w:color w:val="auto"/>
                <w:kern w:val="0"/>
                <w:szCs w:val="21"/>
                <w:highlight w:val="none"/>
                <w:lang w:val="en-US" w:eastAsia="zh-CN"/>
              </w:rPr>
              <w:t>设置</w:t>
            </w:r>
            <w:r>
              <w:rPr>
                <w:rFonts w:hint="eastAsia"/>
                <w:color w:val="auto"/>
                <w:kern w:val="0"/>
                <w:szCs w:val="21"/>
                <w:highlight w:val="none"/>
                <w:lang w:val="en-US" w:eastAsia="zh-CN"/>
              </w:rPr>
              <w:t>1</w:t>
            </w:r>
            <w:r>
              <w:rPr>
                <w:rFonts w:hint="default"/>
                <w:color w:val="auto"/>
                <w:kern w:val="0"/>
                <w:szCs w:val="21"/>
                <w:highlight w:val="none"/>
                <w:lang w:val="en-US" w:eastAsia="zh-CN"/>
              </w:rPr>
              <w:t>个</w:t>
            </w:r>
            <w:r>
              <w:rPr>
                <w:rFonts w:hint="eastAsia"/>
                <w:color w:val="auto"/>
                <w:kern w:val="0"/>
                <w:szCs w:val="21"/>
                <w:highlight w:val="none"/>
                <w:lang w:val="en-US" w:eastAsia="zh-CN"/>
              </w:rPr>
              <w:t>容积82</w:t>
            </w:r>
            <w:r>
              <w:rPr>
                <w:rFonts w:hint="default"/>
                <w:color w:val="auto"/>
                <w:kern w:val="0"/>
                <w:szCs w:val="21"/>
                <w:highlight w:val="none"/>
                <w:lang w:eastAsia="zh-CN"/>
              </w:rPr>
              <w:t>m</w:t>
            </w:r>
            <w:r>
              <w:rPr>
                <w:rFonts w:hint="default"/>
                <w:color w:val="auto"/>
                <w:kern w:val="0"/>
                <w:szCs w:val="21"/>
                <w:highlight w:val="none"/>
                <w:vertAlign w:val="superscript"/>
                <w:lang w:eastAsia="zh-CN"/>
              </w:rPr>
              <w:t>3</w:t>
            </w:r>
            <w:r>
              <w:rPr>
                <w:rFonts w:hint="eastAsia"/>
                <w:color w:val="auto"/>
                <w:kern w:val="0"/>
                <w:szCs w:val="21"/>
                <w:highlight w:val="none"/>
                <w:lang w:val="en-US" w:eastAsia="zh-CN"/>
              </w:rPr>
              <w:t>沉砂池</w:t>
            </w:r>
            <w:r>
              <w:rPr>
                <w:rFonts w:hint="default"/>
                <w:color w:val="auto"/>
                <w:kern w:val="0"/>
                <w:szCs w:val="21"/>
                <w:highlight w:val="none"/>
                <w:lang w:val="en-US" w:eastAsia="zh-CN"/>
              </w:rPr>
              <w:t>，</w:t>
            </w:r>
            <w:r>
              <w:rPr>
                <w:rFonts w:hint="eastAsia"/>
                <w:color w:val="auto"/>
                <w:kern w:val="0"/>
                <w:szCs w:val="21"/>
                <w:highlight w:val="none"/>
                <w:lang w:val="en-US" w:eastAsia="zh-CN"/>
              </w:rPr>
              <w:t>收集工业场地区</w:t>
            </w:r>
            <w:r>
              <w:rPr>
                <w:rFonts w:hint="default"/>
                <w:color w:val="auto"/>
                <w:kern w:val="0"/>
                <w:szCs w:val="21"/>
                <w:highlight w:val="none"/>
                <w:lang w:val="en-US" w:eastAsia="zh-CN"/>
              </w:rPr>
              <w:t>初期雨水</w:t>
            </w:r>
            <w:r>
              <w:rPr>
                <w:rFonts w:hint="eastAsia"/>
                <w:color w:val="auto"/>
                <w:kern w:val="0"/>
                <w:szCs w:val="21"/>
                <w:highlight w:val="none"/>
                <w:lang w:val="en-US" w:eastAsia="zh-CN"/>
              </w:rPr>
              <w:t>；办公生活区南侧设置1个容积为53</w:t>
            </w:r>
            <w:r>
              <w:rPr>
                <w:rFonts w:hint="default"/>
                <w:color w:val="auto"/>
                <w:kern w:val="0"/>
                <w:szCs w:val="21"/>
                <w:highlight w:val="none"/>
                <w:lang w:eastAsia="zh-CN"/>
              </w:rPr>
              <w:t>m</w:t>
            </w:r>
            <w:r>
              <w:rPr>
                <w:rFonts w:hint="default"/>
                <w:color w:val="auto"/>
                <w:kern w:val="0"/>
                <w:szCs w:val="21"/>
                <w:highlight w:val="none"/>
                <w:vertAlign w:val="superscript"/>
                <w:lang w:eastAsia="zh-CN"/>
              </w:rPr>
              <w:t>3</w:t>
            </w:r>
            <w:r>
              <w:rPr>
                <w:rFonts w:hint="eastAsia"/>
                <w:color w:val="auto"/>
                <w:kern w:val="0"/>
                <w:szCs w:val="21"/>
                <w:highlight w:val="none"/>
                <w:lang w:val="en-US" w:eastAsia="zh-CN"/>
              </w:rPr>
              <w:t>的沉砂池，收集雨天产生初期雨水，</w:t>
            </w:r>
            <w:r>
              <w:rPr>
                <w:color w:val="auto"/>
                <w:szCs w:val="21"/>
                <w:highlight w:val="none"/>
              </w:rPr>
              <w:t>对</w:t>
            </w:r>
            <w:r>
              <w:rPr>
                <w:rFonts w:hint="eastAsia"/>
                <w:color w:val="auto"/>
                <w:szCs w:val="21"/>
                <w:highlight w:val="none"/>
              </w:rPr>
              <w:t>雨水</w:t>
            </w:r>
            <w:r>
              <w:rPr>
                <w:color w:val="auto"/>
                <w:szCs w:val="21"/>
                <w:highlight w:val="none"/>
              </w:rPr>
              <w:t>进行沉淀后</w:t>
            </w:r>
            <w:r>
              <w:rPr>
                <w:rFonts w:hint="eastAsia"/>
                <w:color w:val="auto"/>
                <w:szCs w:val="21"/>
                <w:highlight w:val="none"/>
              </w:rPr>
              <w:t>晴天</w:t>
            </w:r>
            <w:r>
              <w:rPr>
                <w:color w:val="auto"/>
                <w:szCs w:val="21"/>
                <w:highlight w:val="none"/>
              </w:rPr>
              <w:t>回用于洒水降尘，能够满足雨季</w:t>
            </w:r>
            <w:r>
              <w:rPr>
                <w:rFonts w:hint="eastAsia"/>
                <w:color w:val="auto"/>
                <w:szCs w:val="21"/>
                <w:highlight w:val="none"/>
              </w:rPr>
              <w:t>雨水</w:t>
            </w:r>
            <w:r>
              <w:rPr>
                <w:color w:val="auto"/>
                <w:szCs w:val="21"/>
                <w:highlight w:val="none"/>
              </w:rPr>
              <w:t>处理需求。</w:t>
            </w:r>
          </w:p>
          <w:p w14:paraId="7B8CE696">
            <w:pPr>
              <w:adjustRightInd w:val="0"/>
              <w:ind w:firstLine="482"/>
              <w:rPr>
                <w:rFonts w:hint="default"/>
                <w:b/>
                <w:bCs/>
                <w:color w:val="auto"/>
                <w:szCs w:val="21"/>
                <w:highlight w:val="none"/>
                <w:lang w:val="en-US" w:eastAsia="zh-CN"/>
              </w:rPr>
            </w:pPr>
            <w:r>
              <w:rPr>
                <w:rFonts w:hint="eastAsia"/>
                <w:b/>
                <w:bCs/>
                <w:color w:val="auto"/>
                <w:szCs w:val="21"/>
                <w:highlight w:val="none"/>
                <w:lang w:eastAsia="zh-CN"/>
              </w:rPr>
              <w:t>（</w:t>
            </w:r>
            <w:r>
              <w:rPr>
                <w:rFonts w:hint="eastAsia"/>
                <w:b/>
                <w:bCs/>
                <w:color w:val="auto"/>
                <w:szCs w:val="21"/>
                <w:highlight w:val="none"/>
                <w:lang w:val="en-US" w:eastAsia="zh-CN"/>
              </w:rPr>
              <w:t>3</w:t>
            </w:r>
            <w:r>
              <w:rPr>
                <w:rFonts w:hint="eastAsia"/>
                <w:b/>
                <w:bCs/>
                <w:color w:val="auto"/>
                <w:szCs w:val="21"/>
                <w:highlight w:val="none"/>
                <w:lang w:eastAsia="zh-CN"/>
              </w:rPr>
              <w:t>）</w:t>
            </w:r>
            <w:r>
              <w:rPr>
                <w:rFonts w:hint="eastAsia"/>
                <w:b/>
                <w:bCs/>
                <w:color w:val="auto"/>
                <w:szCs w:val="21"/>
                <w:highlight w:val="none"/>
                <w:lang w:val="en-US" w:eastAsia="zh-CN"/>
              </w:rPr>
              <w:t>车辆清洗废水循环使用可行性分析</w:t>
            </w:r>
          </w:p>
          <w:p w14:paraId="1ED8C6B1">
            <w:pPr>
              <w:adjustRightInd w:val="0"/>
              <w:ind w:firstLine="480"/>
              <w:rPr>
                <w:bCs/>
                <w:color w:val="auto"/>
                <w:kern w:val="0"/>
                <w:szCs w:val="21"/>
                <w:highlight w:val="none"/>
              </w:rPr>
            </w:pPr>
            <w:r>
              <w:rPr>
                <w:rFonts w:hint="eastAsia"/>
                <w:color w:val="auto"/>
              </w:rPr>
              <w:t>车辆清洗废水主要污染物以SS为主，经洗车池沉淀处理后循环用于运输车辆轮胎冲洗，不外排。</w:t>
            </w:r>
          </w:p>
          <w:p w14:paraId="01A4DF3F">
            <w:pPr>
              <w:adjustRightInd w:val="0"/>
              <w:ind w:firstLine="480"/>
              <w:rPr>
                <w:color w:val="auto"/>
                <w:szCs w:val="21"/>
                <w:highlight w:val="none"/>
              </w:rPr>
            </w:pPr>
            <w:r>
              <w:rPr>
                <w:bCs/>
                <w:color w:val="auto"/>
                <w:kern w:val="0"/>
                <w:szCs w:val="21"/>
                <w:highlight w:val="none"/>
              </w:rPr>
              <w:t>综上，项目废水防治措施合理可行。</w:t>
            </w:r>
          </w:p>
          <w:p w14:paraId="2D1515D5">
            <w:pPr>
              <w:adjustRightInd w:val="0"/>
              <w:ind w:firstLine="482"/>
              <w:rPr>
                <w:b/>
                <w:bCs/>
                <w:color w:val="auto"/>
                <w:szCs w:val="21"/>
                <w:highlight w:val="none"/>
              </w:rPr>
            </w:pPr>
            <w:r>
              <w:rPr>
                <w:b/>
                <w:bCs/>
                <w:color w:val="auto"/>
                <w:szCs w:val="21"/>
                <w:highlight w:val="none"/>
              </w:rPr>
              <w:t>四、运营期噪声污染防治措施及可行性分析</w:t>
            </w:r>
          </w:p>
          <w:p w14:paraId="1CF34AB9">
            <w:pPr>
              <w:adjustRightInd w:val="0"/>
              <w:ind w:firstLine="482"/>
              <w:rPr>
                <w:b/>
                <w:bCs/>
                <w:color w:val="auto"/>
                <w:szCs w:val="21"/>
                <w:highlight w:val="none"/>
              </w:rPr>
            </w:pPr>
            <w:r>
              <w:rPr>
                <w:b/>
                <w:bCs/>
                <w:color w:val="auto"/>
                <w:szCs w:val="21"/>
                <w:highlight w:val="none"/>
              </w:rPr>
              <w:t>1、噪声污染防治措施</w:t>
            </w:r>
          </w:p>
          <w:p w14:paraId="3C865EFB">
            <w:pPr>
              <w:adjustRightInd w:val="0"/>
              <w:ind w:firstLine="480"/>
              <w:rPr>
                <w:bCs/>
                <w:color w:val="auto"/>
                <w:kern w:val="0"/>
                <w:szCs w:val="21"/>
                <w:highlight w:val="none"/>
              </w:rPr>
            </w:pPr>
            <w:r>
              <w:rPr>
                <w:bCs/>
                <w:color w:val="auto"/>
                <w:kern w:val="0"/>
                <w:szCs w:val="21"/>
                <w:highlight w:val="none"/>
              </w:rPr>
              <w:t>（1）项目夜间禁止生产。</w:t>
            </w:r>
          </w:p>
          <w:p w14:paraId="09F6951F">
            <w:pPr>
              <w:adjustRightInd w:val="0"/>
              <w:ind w:firstLine="480"/>
              <w:rPr>
                <w:bCs/>
                <w:color w:val="auto"/>
                <w:kern w:val="0"/>
                <w:szCs w:val="21"/>
                <w:highlight w:val="none"/>
              </w:rPr>
            </w:pPr>
            <w:r>
              <w:rPr>
                <w:bCs/>
                <w:color w:val="auto"/>
                <w:kern w:val="0"/>
                <w:szCs w:val="21"/>
                <w:highlight w:val="none"/>
              </w:rPr>
              <w:t>（2）</w:t>
            </w:r>
            <w:r>
              <w:rPr>
                <w:rFonts w:hint="eastAsia"/>
                <w:bCs/>
                <w:color w:val="auto"/>
                <w:kern w:val="0"/>
                <w:szCs w:val="21"/>
                <w:highlight w:val="none"/>
                <w:lang w:val="en-US" w:eastAsia="zh-CN"/>
              </w:rPr>
              <w:t>尽可能选用低噪声设备</w:t>
            </w:r>
            <w:r>
              <w:rPr>
                <w:bCs/>
                <w:color w:val="auto"/>
                <w:kern w:val="0"/>
                <w:szCs w:val="21"/>
                <w:highlight w:val="none"/>
              </w:rPr>
              <w:t>；</w:t>
            </w:r>
          </w:p>
          <w:p w14:paraId="53C37E75">
            <w:pPr>
              <w:adjustRightInd w:val="0"/>
              <w:ind w:firstLine="480"/>
              <w:rPr>
                <w:bCs/>
                <w:color w:val="auto"/>
                <w:kern w:val="0"/>
                <w:szCs w:val="21"/>
                <w:highlight w:val="none"/>
              </w:rPr>
            </w:pPr>
            <w:r>
              <w:rPr>
                <w:bCs/>
                <w:color w:val="auto"/>
                <w:kern w:val="0"/>
                <w:szCs w:val="21"/>
                <w:highlight w:val="none"/>
              </w:rPr>
              <w:t>（3）做好设备日常维护和保养工作，防止因故障导致高噪声的产生；</w:t>
            </w:r>
          </w:p>
          <w:p w14:paraId="0DD73130">
            <w:pPr>
              <w:adjustRightInd w:val="0"/>
              <w:ind w:firstLine="480"/>
              <w:rPr>
                <w:bCs/>
                <w:color w:val="auto"/>
                <w:kern w:val="0"/>
                <w:szCs w:val="21"/>
                <w:highlight w:val="none"/>
              </w:rPr>
            </w:pPr>
            <w:r>
              <w:rPr>
                <w:bCs/>
                <w:color w:val="auto"/>
                <w:kern w:val="0"/>
                <w:szCs w:val="21"/>
                <w:highlight w:val="none"/>
              </w:rPr>
              <w:t>（4）合理安排各设备运行时间，合理布局，降低项目设备噪声对周围环境的影响。</w:t>
            </w:r>
          </w:p>
          <w:p w14:paraId="1386BA62">
            <w:pPr>
              <w:adjustRightInd w:val="0"/>
              <w:ind w:firstLine="482"/>
              <w:rPr>
                <w:b/>
                <w:color w:val="auto"/>
                <w:kern w:val="0"/>
                <w:szCs w:val="21"/>
                <w:highlight w:val="none"/>
              </w:rPr>
            </w:pPr>
            <w:r>
              <w:rPr>
                <w:b/>
                <w:color w:val="auto"/>
                <w:kern w:val="0"/>
                <w:szCs w:val="21"/>
                <w:highlight w:val="none"/>
              </w:rPr>
              <w:t>2、噪声污染防治措施可行性分析</w:t>
            </w:r>
          </w:p>
          <w:p w14:paraId="32A90111">
            <w:pPr>
              <w:adjustRightInd w:val="0"/>
              <w:ind w:firstLine="480"/>
              <w:rPr>
                <w:bCs/>
                <w:color w:val="auto"/>
                <w:kern w:val="0"/>
                <w:szCs w:val="21"/>
                <w:highlight w:val="none"/>
              </w:rPr>
            </w:pPr>
            <w:r>
              <w:rPr>
                <w:bCs/>
                <w:color w:val="auto"/>
                <w:kern w:val="0"/>
                <w:szCs w:val="21"/>
                <w:highlight w:val="none"/>
              </w:rPr>
              <w:t>噪声防治措施主要是声源控制以及后续传播中的降噪措施，项目</w:t>
            </w:r>
            <w:r>
              <w:rPr>
                <w:rFonts w:hint="eastAsia"/>
                <w:bCs/>
                <w:color w:val="auto"/>
                <w:kern w:val="0"/>
                <w:szCs w:val="21"/>
                <w:highlight w:val="none"/>
                <w:lang w:val="en-US" w:eastAsia="zh-CN"/>
              </w:rPr>
              <w:t>选用低噪声设备</w:t>
            </w:r>
            <w:r>
              <w:rPr>
                <w:bCs/>
                <w:color w:val="auto"/>
                <w:kern w:val="0"/>
                <w:szCs w:val="21"/>
                <w:highlight w:val="none"/>
              </w:rPr>
              <w:t>、做好设备维修及保养、合理安排设备工作时间等可从源头进行降噪，再经过距离衰减后，对周围声环境影响不大，项目夜间不生产</w:t>
            </w:r>
            <w:r>
              <w:rPr>
                <w:rFonts w:hint="eastAsia"/>
                <w:bCs/>
                <w:color w:val="auto"/>
                <w:kern w:val="0"/>
                <w:szCs w:val="21"/>
                <w:highlight w:val="none"/>
              </w:rPr>
              <w:t>，</w:t>
            </w:r>
            <w:r>
              <w:rPr>
                <w:bCs/>
                <w:color w:val="auto"/>
                <w:kern w:val="0"/>
                <w:szCs w:val="21"/>
                <w:highlight w:val="none"/>
              </w:rPr>
              <w:t>且项目区周边</w:t>
            </w:r>
            <w:r>
              <w:rPr>
                <w:rFonts w:hint="eastAsia"/>
                <w:bCs/>
                <w:color w:val="auto"/>
                <w:kern w:val="0"/>
                <w:szCs w:val="21"/>
                <w:highlight w:val="none"/>
              </w:rPr>
              <w:t>200</w:t>
            </w:r>
            <w:r>
              <w:rPr>
                <w:bCs/>
                <w:color w:val="auto"/>
                <w:kern w:val="0"/>
                <w:szCs w:val="21"/>
                <w:highlight w:val="none"/>
              </w:rPr>
              <w:t>m范围内无声环境敏感点。项目噪声在采取以上措施后，可满足《工业企业厂界环境噪声排放标准》（GB12348-2008）中2类标准要求，因此，项目噪声污染防治措施是可行的。</w:t>
            </w:r>
          </w:p>
          <w:p w14:paraId="189ABD40">
            <w:pPr>
              <w:adjustRightInd w:val="0"/>
              <w:ind w:firstLine="482"/>
              <w:rPr>
                <w:b/>
                <w:bCs/>
                <w:color w:val="auto"/>
                <w:szCs w:val="21"/>
                <w:highlight w:val="none"/>
              </w:rPr>
            </w:pPr>
            <w:r>
              <w:rPr>
                <w:b/>
                <w:bCs/>
                <w:color w:val="auto"/>
                <w:szCs w:val="21"/>
                <w:highlight w:val="none"/>
              </w:rPr>
              <w:t>五、运营期固体废物污染防治措施及可行性分析</w:t>
            </w:r>
          </w:p>
          <w:p w14:paraId="035AEC16">
            <w:pPr>
              <w:adjustRightInd w:val="0"/>
              <w:ind w:firstLine="482"/>
              <w:rPr>
                <w:b/>
                <w:bCs/>
                <w:color w:val="auto"/>
                <w:szCs w:val="21"/>
                <w:highlight w:val="none"/>
              </w:rPr>
            </w:pPr>
            <w:r>
              <w:rPr>
                <w:b/>
                <w:bCs/>
                <w:color w:val="auto"/>
                <w:szCs w:val="21"/>
                <w:highlight w:val="none"/>
              </w:rPr>
              <w:t>1、固体废物污染防治措施</w:t>
            </w:r>
          </w:p>
          <w:p w14:paraId="17D9D495">
            <w:pPr>
              <w:adjustRightInd w:val="0"/>
              <w:ind w:firstLine="480"/>
              <w:rPr>
                <w:bCs/>
                <w:color w:val="auto"/>
                <w:kern w:val="0"/>
                <w:szCs w:val="21"/>
                <w:highlight w:val="none"/>
              </w:rPr>
            </w:pPr>
            <w:r>
              <w:rPr>
                <w:bCs/>
                <w:color w:val="auto"/>
                <w:kern w:val="0"/>
                <w:szCs w:val="21"/>
                <w:highlight w:val="none"/>
              </w:rPr>
              <w:t>（1）项目生产过程中</w:t>
            </w:r>
            <w:r>
              <w:rPr>
                <w:rFonts w:hint="eastAsia"/>
                <w:bCs/>
                <w:color w:val="auto"/>
                <w:kern w:val="0"/>
                <w:szCs w:val="21"/>
                <w:highlight w:val="none"/>
                <w:lang w:val="en-US" w:eastAsia="zh-CN"/>
              </w:rPr>
              <w:t>产生的</w:t>
            </w:r>
            <w:r>
              <w:rPr>
                <w:rFonts w:hint="eastAsia"/>
                <w:bCs/>
                <w:color w:val="auto"/>
                <w:kern w:val="0"/>
                <w:szCs w:val="21"/>
                <w:highlight w:val="none"/>
              </w:rPr>
              <w:t>废</w:t>
            </w:r>
            <w:r>
              <w:rPr>
                <w:rFonts w:hint="eastAsia"/>
                <w:bCs/>
                <w:color w:val="auto"/>
                <w:kern w:val="0"/>
                <w:szCs w:val="21"/>
                <w:highlight w:val="none"/>
                <w:lang w:val="en-US" w:eastAsia="zh-CN"/>
              </w:rPr>
              <w:t>土</w:t>
            </w:r>
            <w:r>
              <w:rPr>
                <w:rFonts w:hint="eastAsia"/>
                <w:bCs/>
                <w:color w:val="auto"/>
                <w:kern w:val="0"/>
                <w:szCs w:val="21"/>
                <w:highlight w:val="none"/>
              </w:rPr>
              <w:t>石</w:t>
            </w:r>
            <w:r>
              <w:rPr>
                <w:rFonts w:hint="eastAsia"/>
                <w:bCs/>
                <w:color w:val="auto"/>
                <w:kern w:val="0"/>
                <w:szCs w:val="21"/>
                <w:highlight w:val="none"/>
                <w:lang w:val="en-US" w:eastAsia="zh-CN"/>
              </w:rPr>
              <w:t>和</w:t>
            </w:r>
            <w:r>
              <w:rPr>
                <w:rFonts w:hint="eastAsia"/>
                <w:bCs/>
                <w:color w:val="auto"/>
                <w:kern w:val="0"/>
                <w:szCs w:val="21"/>
                <w:highlight w:val="none"/>
              </w:rPr>
              <w:t>剥离废土</w:t>
            </w:r>
            <w:r>
              <w:rPr>
                <w:rFonts w:hint="eastAsia"/>
                <w:bCs/>
                <w:color w:val="auto"/>
                <w:kern w:val="0"/>
                <w:szCs w:val="21"/>
                <w:highlight w:val="none"/>
                <w:lang w:val="en-US" w:eastAsia="zh-CN"/>
              </w:rPr>
              <w:t>暂存于表土堆场用于</w:t>
            </w:r>
            <w:r>
              <w:rPr>
                <w:rFonts w:hint="eastAsia"/>
                <w:bCs/>
                <w:color w:val="auto"/>
                <w:kern w:val="0"/>
                <w:szCs w:val="21"/>
                <w:highlight w:val="none"/>
              </w:rPr>
              <w:t>矿</w:t>
            </w:r>
            <w:r>
              <w:rPr>
                <w:rFonts w:hint="eastAsia"/>
                <w:bCs/>
                <w:color w:val="auto"/>
                <w:kern w:val="0"/>
                <w:szCs w:val="21"/>
                <w:highlight w:val="none"/>
                <w:lang w:val="en-US" w:eastAsia="zh-CN"/>
              </w:rPr>
              <w:t>区采空</w:t>
            </w:r>
            <w:r>
              <w:rPr>
                <w:rFonts w:hint="eastAsia"/>
                <w:bCs/>
                <w:color w:val="auto"/>
                <w:kern w:val="0"/>
                <w:szCs w:val="21"/>
                <w:highlight w:val="none"/>
              </w:rPr>
              <w:t>平台</w:t>
            </w:r>
            <w:r>
              <w:rPr>
                <w:rFonts w:hint="eastAsia"/>
                <w:bCs/>
                <w:color w:val="auto"/>
                <w:kern w:val="0"/>
                <w:szCs w:val="21"/>
                <w:highlight w:val="none"/>
                <w:lang w:val="en-US" w:eastAsia="zh-CN"/>
              </w:rPr>
              <w:t>覆土复垦，进行植被恢复</w:t>
            </w:r>
            <w:r>
              <w:rPr>
                <w:bCs/>
                <w:color w:val="auto"/>
                <w:kern w:val="0"/>
                <w:szCs w:val="21"/>
                <w:highlight w:val="none"/>
              </w:rPr>
              <w:t>；</w:t>
            </w:r>
          </w:p>
          <w:p w14:paraId="7FF025B8">
            <w:pPr>
              <w:adjustRightInd w:val="0"/>
              <w:ind w:firstLine="480"/>
              <w:rPr>
                <w:bCs/>
                <w:color w:val="auto"/>
                <w:kern w:val="0"/>
                <w:szCs w:val="21"/>
                <w:highlight w:val="none"/>
              </w:rPr>
            </w:pPr>
            <w:r>
              <w:rPr>
                <w:bCs/>
                <w:color w:val="auto"/>
                <w:kern w:val="0"/>
                <w:szCs w:val="21"/>
                <w:highlight w:val="none"/>
              </w:rPr>
              <w:t>（2）</w:t>
            </w:r>
            <w:r>
              <w:rPr>
                <w:rFonts w:hint="eastAsia"/>
                <w:bCs/>
                <w:color w:val="auto"/>
                <w:kern w:val="0"/>
                <w:szCs w:val="21"/>
                <w:highlight w:val="none"/>
                <w:lang w:eastAsia="zh-CN"/>
              </w:rPr>
              <w:t>沉砂池</w:t>
            </w:r>
            <w:r>
              <w:rPr>
                <w:bCs/>
                <w:color w:val="auto"/>
                <w:kern w:val="0"/>
                <w:szCs w:val="21"/>
                <w:highlight w:val="none"/>
              </w:rPr>
              <w:t>泥沙定期清掏</w:t>
            </w:r>
            <w:r>
              <w:rPr>
                <w:rFonts w:hint="eastAsia"/>
                <w:bCs/>
                <w:color w:val="auto"/>
                <w:kern w:val="0"/>
                <w:szCs w:val="21"/>
                <w:highlight w:val="none"/>
                <w:lang w:val="en-US" w:eastAsia="zh-CN"/>
              </w:rPr>
              <w:t>暂存于临时表土堆场用于采空区平整及覆土复垦</w:t>
            </w:r>
            <w:r>
              <w:rPr>
                <w:bCs/>
                <w:color w:val="auto"/>
                <w:kern w:val="0"/>
                <w:szCs w:val="21"/>
                <w:highlight w:val="none"/>
              </w:rPr>
              <w:t>；</w:t>
            </w:r>
          </w:p>
          <w:p w14:paraId="221357B1">
            <w:pPr>
              <w:adjustRightInd w:val="0"/>
              <w:ind w:firstLine="480"/>
              <w:rPr>
                <w:bCs/>
                <w:color w:val="auto"/>
                <w:kern w:val="0"/>
                <w:szCs w:val="21"/>
                <w:highlight w:val="none"/>
                <w:lang w:eastAsia="zh-CN"/>
              </w:rPr>
            </w:pPr>
            <w:r>
              <w:rPr>
                <w:bCs/>
                <w:color w:val="auto"/>
                <w:kern w:val="0"/>
                <w:szCs w:val="21"/>
                <w:highlight w:val="none"/>
                <w:lang w:eastAsia="zh-CN"/>
              </w:rPr>
              <w:t>（3）除尘器收集粉尘进行外售；</w:t>
            </w:r>
          </w:p>
          <w:p w14:paraId="7E40EE2D">
            <w:pPr>
              <w:adjustRightInd w:val="0"/>
              <w:ind w:firstLine="480"/>
              <w:rPr>
                <w:bCs/>
                <w:color w:val="auto"/>
                <w:kern w:val="0"/>
                <w:szCs w:val="21"/>
                <w:highlight w:val="none"/>
                <w:lang w:eastAsia="zh-CN"/>
              </w:rPr>
            </w:pPr>
            <w:r>
              <w:rPr>
                <w:bCs/>
                <w:color w:val="auto"/>
                <w:kern w:val="0"/>
                <w:szCs w:val="21"/>
                <w:highlight w:val="none"/>
                <w:lang w:eastAsia="zh-CN"/>
              </w:rPr>
              <w:t>（4）化粪池粪污</w:t>
            </w:r>
            <w:r>
              <w:rPr>
                <w:rFonts w:hint="eastAsia"/>
                <w:bCs/>
                <w:color w:val="auto"/>
                <w:kern w:val="0"/>
                <w:szCs w:val="21"/>
                <w:highlight w:val="none"/>
                <w:lang w:val="en-US" w:eastAsia="zh-CN"/>
              </w:rPr>
              <w:t>定期清掏用作农肥</w:t>
            </w:r>
            <w:r>
              <w:rPr>
                <w:bCs/>
                <w:color w:val="auto"/>
                <w:kern w:val="0"/>
                <w:szCs w:val="21"/>
                <w:highlight w:val="none"/>
                <w:lang w:eastAsia="zh-CN"/>
              </w:rPr>
              <w:t>；</w:t>
            </w:r>
          </w:p>
          <w:p w14:paraId="1F0105D4">
            <w:pPr>
              <w:adjustRightInd w:val="0"/>
              <w:ind w:firstLine="480"/>
              <w:rPr>
                <w:bCs/>
                <w:color w:val="auto"/>
                <w:kern w:val="0"/>
                <w:szCs w:val="21"/>
                <w:highlight w:val="none"/>
                <w:lang w:eastAsia="zh-CN"/>
              </w:rPr>
            </w:pPr>
            <w:r>
              <w:rPr>
                <w:bCs/>
                <w:color w:val="auto"/>
                <w:kern w:val="0"/>
                <w:szCs w:val="21"/>
                <w:highlight w:val="none"/>
                <w:lang w:eastAsia="zh-CN"/>
              </w:rPr>
              <w:t>（5）生活垃圾集中收集后由管理人员定期清运至附近村镇垃圾收集点，由环卫部门清运处置；</w:t>
            </w:r>
          </w:p>
          <w:p w14:paraId="0636326E">
            <w:pPr>
              <w:adjustRightInd w:val="0"/>
              <w:ind w:firstLine="480"/>
              <w:rPr>
                <w:bCs/>
                <w:color w:val="auto"/>
                <w:kern w:val="0"/>
                <w:szCs w:val="21"/>
                <w:highlight w:val="none"/>
              </w:rPr>
            </w:pPr>
            <w:r>
              <w:rPr>
                <w:bCs/>
                <w:color w:val="auto"/>
                <w:kern w:val="0"/>
                <w:szCs w:val="21"/>
                <w:highlight w:val="none"/>
                <w:lang w:eastAsia="zh-CN"/>
              </w:rPr>
              <w:t>（6）项目机修产生的</w:t>
            </w:r>
            <w:r>
              <w:rPr>
                <w:rFonts w:hint="eastAsia"/>
                <w:bCs/>
                <w:color w:val="auto"/>
                <w:kern w:val="0"/>
                <w:szCs w:val="21"/>
                <w:highlight w:val="none"/>
                <w:lang w:val="en-US" w:eastAsia="zh-CN"/>
              </w:rPr>
              <w:t>废机油</w:t>
            </w:r>
            <w:r>
              <w:rPr>
                <w:rFonts w:hint="eastAsia"/>
                <w:bCs/>
                <w:color w:val="auto"/>
                <w:kern w:val="0"/>
                <w:szCs w:val="21"/>
                <w:highlight w:val="none"/>
                <w:lang w:eastAsia="zh-CN"/>
              </w:rPr>
              <w:t>、沾染矿物油的废弃包装物</w:t>
            </w:r>
            <w:r>
              <w:rPr>
                <w:bCs/>
                <w:color w:val="auto"/>
                <w:kern w:val="0"/>
                <w:szCs w:val="21"/>
                <w:highlight w:val="none"/>
                <w:lang w:eastAsia="zh-CN"/>
              </w:rPr>
              <w:t>暂存于</w:t>
            </w:r>
            <w:r>
              <w:rPr>
                <w:rFonts w:hint="eastAsia"/>
                <w:bCs/>
                <w:color w:val="auto"/>
                <w:kern w:val="0"/>
                <w:szCs w:val="21"/>
                <w:highlight w:val="none"/>
                <w:lang w:eastAsia="zh-CN"/>
              </w:rPr>
              <w:t>危险废物贮存间（</w:t>
            </w:r>
            <w:r>
              <w:rPr>
                <w:rFonts w:hint="eastAsia"/>
                <w:bCs/>
                <w:color w:val="auto"/>
                <w:kern w:val="0"/>
                <w:szCs w:val="21"/>
                <w:highlight w:val="none"/>
                <w:lang w:val="en-US" w:eastAsia="zh-CN"/>
              </w:rPr>
              <w:t>5m</w:t>
            </w:r>
            <w:r>
              <w:rPr>
                <w:rFonts w:hint="eastAsia"/>
                <w:bCs/>
                <w:color w:val="auto"/>
                <w:kern w:val="0"/>
                <w:szCs w:val="21"/>
                <w:highlight w:val="none"/>
                <w:vertAlign w:val="superscript"/>
                <w:lang w:val="en-US" w:eastAsia="zh-CN"/>
              </w:rPr>
              <w:t>2</w:t>
            </w:r>
            <w:r>
              <w:rPr>
                <w:rFonts w:hint="eastAsia"/>
                <w:bCs/>
                <w:color w:val="auto"/>
                <w:kern w:val="0"/>
                <w:szCs w:val="21"/>
                <w:highlight w:val="none"/>
                <w:lang w:eastAsia="zh-CN"/>
              </w:rPr>
              <w:t>），</w:t>
            </w:r>
            <w:r>
              <w:rPr>
                <w:bCs/>
                <w:color w:val="auto"/>
                <w:kern w:val="0"/>
                <w:szCs w:val="21"/>
                <w:highlight w:val="none"/>
                <w:lang w:eastAsia="zh-CN"/>
              </w:rPr>
              <w:t>委托有资质单位处理。</w:t>
            </w:r>
          </w:p>
          <w:p w14:paraId="4D3987BE">
            <w:pPr>
              <w:adjustRightInd w:val="0"/>
              <w:ind w:firstLine="482"/>
              <w:rPr>
                <w:b/>
                <w:color w:val="auto"/>
                <w:kern w:val="0"/>
                <w:szCs w:val="21"/>
                <w:highlight w:val="none"/>
              </w:rPr>
            </w:pPr>
            <w:r>
              <w:rPr>
                <w:b/>
                <w:color w:val="auto"/>
                <w:kern w:val="0"/>
                <w:szCs w:val="21"/>
                <w:highlight w:val="none"/>
              </w:rPr>
              <w:t>2、</w:t>
            </w:r>
            <w:r>
              <w:rPr>
                <w:rFonts w:hint="eastAsia"/>
                <w:b/>
                <w:color w:val="auto"/>
                <w:kern w:val="0"/>
                <w:szCs w:val="21"/>
                <w:highlight w:val="none"/>
              </w:rPr>
              <w:t>固体废物</w:t>
            </w:r>
            <w:r>
              <w:rPr>
                <w:b/>
                <w:color w:val="auto"/>
                <w:kern w:val="0"/>
                <w:szCs w:val="21"/>
                <w:highlight w:val="none"/>
              </w:rPr>
              <w:t>污染防治措施可行性分析</w:t>
            </w:r>
          </w:p>
          <w:p w14:paraId="705DAB81">
            <w:pPr>
              <w:ind w:firstLine="480"/>
              <w:rPr>
                <w:color w:val="auto"/>
                <w:szCs w:val="21"/>
                <w:highlight w:val="none"/>
              </w:rPr>
            </w:pPr>
            <w:r>
              <w:rPr>
                <w:color w:val="auto"/>
                <w:highlight w:val="none"/>
                <w:lang w:eastAsia="zh-CN"/>
              </w:rPr>
              <w:t>项目固废主要是废土石、</w:t>
            </w:r>
            <w:r>
              <w:rPr>
                <w:rFonts w:hint="eastAsia"/>
                <w:color w:val="auto"/>
                <w:highlight w:val="none"/>
                <w:lang w:eastAsia="zh-CN"/>
              </w:rPr>
              <w:t>沉砂池</w:t>
            </w:r>
            <w:r>
              <w:rPr>
                <w:color w:val="auto"/>
                <w:highlight w:val="none"/>
                <w:lang w:eastAsia="zh-CN"/>
              </w:rPr>
              <w:t>泥沙、生活垃圾、布袋除尘器收尘、</w:t>
            </w:r>
            <w:r>
              <w:rPr>
                <w:rFonts w:hint="eastAsia"/>
                <w:color w:val="auto"/>
                <w:highlight w:val="none"/>
                <w:lang w:val="en-US" w:eastAsia="zh-CN"/>
              </w:rPr>
              <w:t>化粪池污泥</w:t>
            </w:r>
            <w:r>
              <w:rPr>
                <w:color w:val="auto"/>
                <w:highlight w:val="none"/>
                <w:lang w:eastAsia="zh-CN"/>
              </w:rPr>
              <w:t>、</w:t>
            </w:r>
            <w:r>
              <w:rPr>
                <w:rFonts w:hint="eastAsia"/>
                <w:color w:val="auto"/>
                <w:highlight w:val="none"/>
                <w:lang w:eastAsia="zh-CN"/>
              </w:rPr>
              <w:t>废</w:t>
            </w:r>
            <w:r>
              <w:rPr>
                <w:rFonts w:hint="eastAsia"/>
                <w:color w:val="auto"/>
                <w:highlight w:val="none"/>
                <w:lang w:val="en-US" w:eastAsia="zh-CN"/>
              </w:rPr>
              <w:t>机油、</w:t>
            </w:r>
            <w:r>
              <w:rPr>
                <w:rFonts w:hint="eastAsia"/>
                <w:color w:val="auto"/>
                <w:highlight w:val="none"/>
                <w:lang w:eastAsia="zh-CN"/>
              </w:rPr>
              <w:t>沾染矿物油的废弃包装物</w:t>
            </w:r>
            <w:r>
              <w:rPr>
                <w:color w:val="auto"/>
                <w:highlight w:val="none"/>
                <w:lang w:eastAsia="zh-CN"/>
              </w:rPr>
              <w:t>，其中废土石和</w:t>
            </w:r>
            <w:r>
              <w:rPr>
                <w:rFonts w:hint="eastAsia"/>
                <w:color w:val="auto"/>
                <w:highlight w:val="none"/>
                <w:lang w:eastAsia="zh-CN"/>
              </w:rPr>
              <w:t>沉砂池</w:t>
            </w:r>
            <w:r>
              <w:rPr>
                <w:color w:val="auto"/>
                <w:highlight w:val="none"/>
                <w:lang w:eastAsia="zh-CN"/>
              </w:rPr>
              <w:t>泥沙属于I类固废，</w:t>
            </w:r>
            <w:r>
              <w:rPr>
                <w:rFonts w:hint="eastAsia"/>
                <w:color w:val="auto"/>
                <w:highlight w:val="none"/>
                <w:lang w:eastAsia="zh-CN"/>
              </w:rPr>
              <w:t>沉砂池</w:t>
            </w:r>
            <w:r>
              <w:rPr>
                <w:color w:val="auto"/>
                <w:highlight w:val="none"/>
                <w:lang w:eastAsia="zh-CN"/>
              </w:rPr>
              <w:t>泥沙主要</w:t>
            </w:r>
            <w:r>
              <w:rPr>
                <w:rFonts w:hint="eastAsia"/>
                <w:color w:val="auto"/>
                <w:highlight w:val="none"/>
                <w:lang w:eastAsia="zh-CN"/>
              </w:rPr>
              <w:t>来自</w:t>
            </w:r>
            <w:r>
              <w:rPr>
                <w:color w:val="auto"/>
                <w:highlight w:val="none"/>
                <w:lang w:eastAsia="zh-CN"/>
              </w:rPr>
              <w:t>雨水冲刷项目区裸露地表</w:t>
            </w:r>
            <w:r>
              <w:rPr>
                <w:rFonts w:hint="eastAsia"/>
                <w:color w:val="auto"/>
                <w:highlight w:val="none"/>
                <w:lang w:eastAsia="zh-CN"/>
              </w:rPr>
              <w:t>，</w:t>
            </w:r>
            <w:r>
              <w:rPr>
                <w:rFonts w:hint="eastAsia"/>
                <w:color w:val="auto"/>
                <w:highlight w:val="none"/>
                <w:lang w:val="en-US" w:eastAsia="zh-CN"/>
              </w:rPr>
              <w:t>暂存于</w:t>
            </w:r>
            <w:r>
              <w:rPr>
                <w:rFonts w:hint="eastAsia"/>
                <w:bCs/>
                <w:color w:val="auto"/>
                <w:kern w:val="0"/>
                <w:szCs w:val="21"/>
                <w:highlight w:val="none"/>
                <w:lang w:val="en-US" w:eastAsia="zh-CN"/>
              </w:rPr>
              <w:t>临时表土堆场用于采空区平整及覆土复垦</w:t>
            </w:r>
            <w:r>
              <w:rPr>
                <w:rFonts w:hint="eastAsia"/>
                <w:color w:val="auto"/>
                <w:highlight w:val="none"/>
                <w:lang w:eastAsia="zh-CN"/>
              </w:rPr>
              <w:t>；</w:t>
            </w:r>
            <w:r>
              <w:rPr>
                <w:color w:val="auto"/>
                <w:highlight w:val="none"/>
                <w:lang w:eastAsia="zh-CN"/>
              </w:rPr>
              <w:t>布袋除尘器收尘</w:t>
            </w:r>
            <w:r>
              <w:rPr>
                <w:rFonts w:hint="eastAsia"/>
                <w:color w:val="auto"/>
                <w:highlight w:val="none"/>
                <w:lang w:val="en-US" w:eastAsia="zh-CN"/>
              </w:rPr>
              <w:t>作为产品外售；化粪池污泥定期清掏用作农肥；</w:t>
            </w:r>
            <w:r>
              <w:rPr>
                <w:color w:val="auto"/>
                <w:highlight w:val="none"/>
                <w:lang w:eastAsia="zh-CN"/>
              </w:rPr>
              <w:t>施工人员产生的少量生活垃圾可清运至村庄生活垃圾集中处置点；矿山设计一间</w:t>
            </w:r>
            <w:r>
              <w:rPr>
                <w:rFonts w:hint="eastAsia"/>
                <w:color w:val="auto"/>
                <w:highlight w:val="none"/>
                <w:lang w:val="en-US" w:eastAsia="zh-CN"/>
              </w:rPr>
              <w:t>5</w:t>
            </w:r>
            <w:r>
              <w:rPr>
                <w:color w:val="auto"/>
                <w:highlight w:val="none"/>
                <w:lang w:eastAsia="zh-CN"/>
              </w:rPr>
              <w:t>m</w:t>
            </w:r>
            <w:r>
              <w:rPr>
                <w:color w:val="auto"/>
                <w:highlight w:val="none"/>
                <w:vertAlign w:val="superscript"/>
                <w:lang w:eastAsia="zh-CN"/>
              </w:rPr>
              <w:t>2</w:t>
            </w:r>
            <w:r>
              <w:rPr>
                <w:color w:val="auto"/>
                <w:highlight w:val="none"/>
                <w:lang w:eastAsia="zh-CN"/>
              </w:rPr>
              <w:t>的</w:t>
            </w:r>
            <w:r>
              <w:rPr>
                <w:rFonts w:hint="eastAsia"/>
                <w:color w:val="auto"/>
                <w:highlight w:val="none"/>
                <w:lang w:eastAsia="zh-CN"/>
              </w:rPr>
              <w:t>危险废物贮存间</w:t>
            </w:r>
            <w:r>
              <w:rPr>
                <w:color w:val="auto"/>
                <w:highlight w:val="none"/>
                <w:lang w:eastAsia="zh-CN"/>
              </w:rPr>
              <w:t>，主要暂存项目机械设备在厂内检修及保养过程中产生的</w:t>
            </w:r>
            <w:r>
              <w:rPr>
                <w:rFonts w:hint="eastAsia"/>
                <w:color w:val="auto"/>
                <w:highlight w:val="none"/>
                <w:lang w:eastAsia="zh-CN"/>
              </w:rPr>
              <w:t>废</w:t>
            </w:r>
            <w:r>
              <w:rPr>
                <w:rFonts w:hint="eastAsia"/>
                <w:color w:val="auto"/>
                <w:highlight w:val="none"/>
                <w:lang w:val="en-US" w:eastAsia="zh-CN"/>
              </w:rPr>
              <w:t>机油</w:t>
            </w:r>
            <w:r>
              <w:rPr>
                <w:rFonts w:hint="eastAsia"/>
                <w:color w:val="auto"/>
                <w:highlight w:val="none"/>
                <w:lang w:eastAsia="zh-CN"/>
              </w:rPr>
              <w:t>及沾染矿物油的废弃包装物</w:t>
            </w:r>
            <w:r>
              <w:rPr>
                <w:color w:val="auto"/>
                <w:highlight w:val="none"/>
                <w:lang w:eastAsia="zh-CN"/>
              </w:rPr>
              <w:t>，</w:t>
            </w:r>
            <w:r>
              <w:rPr>
                <w:rFonts w:hint="eastAsia"/>
                <w:color w:val="auto"/>
                <w:highlight w:val="none"/>
                <w:lang w:eastAsia="zh-CN"/>
              </w:rPr>
              <w:t>危险废物</w:t>
            </w:r>
            <w:r>
              <w:rPr>
                <w:rFonts w:hint="eastAsia"/>
                <w:color w:val="auto"/>
                <w:highlight w:val="none"/>
                <w:lang w:val="en-US" w:eastAsia="zh-CN"/>
              </w:rPr>
              <w:t>暂存</w:t>
            </w:r>
            <w:r>
              <w:rPr>
                <w:rFonts w:hint="eastAsia"/>
                <w:color w:val="auto"/>
                <w:highlight w:val="none"/>
                <w:lang w:eastAsia="zh-CN"/>
              </w:rPr>
              <w:t>间</w:t>
            </w:r>
            <w:r>
              <w:rPr>
                <w:color w:val="auto"/>
                <w:highlight w:val="none"/>
                <w:lang w:eastAsia="zh-CN"/>
              </w:rPr>
              <w:t>位于</w:t>
            </w:r>
            <w:r>
              <w:rPr>
                <w:rFonts w:hint="eastAsia"/>
                <w:color w:val="auto"/>
                <w:highlight w:val="none"/>
                <w:lang w:eastAsia="zh-CN"/>
              </w:rPr>
              <w:t>办公生活区</w:t>
            </w:r>
            <w:r>
              <w:rPr>
                <w:color w:val="auto"/>
                <w:highlight w:val="none"/>
                <w:lang w:eastAsia="zh-CN"/>
              </w:rPr>
              <w:t>， 便于项目</w:t>
            </w:r>
            <w:r>
              <w:rPr>
                <w:rFonts w:hint="eastAsia"/>
                <w:color w:val="auto"/>
                <w:highlight w:val="none"/>
                <w:lang w:eastAsia="zh-CN"/>
              </w:rPr>
              <w:t>废</w:t>
            </w:r>
            <w:r>
              <w:rPr>
                <w:rFonts w:hint="eastAsia"/>
                <w:color w:val="auto"/>
                <w:highlight w:val="none"/>
                <w:lang w:val="en-US" w:eastAsia="zh-CN"/>
              </w:rPr>
              <w:t>机油</w:t>
            </w:r>
            <w:r>
              <w:rPr>
                <w:rFonts w:hint="eastAsia"/>
                <w:color w:val="auto"/>
                <w:highlight w:val="none"/>
                <w:lang w:eastAsia="zh-CN"/>
              </w:rPr>
              <w:t>及沾染矿物油的废弃包装物</w:t>
            </w:r>
            <w:r>
              <w:rPr>
                <w:color w:val="auto"/>
                <w:highlight w:val="none"/>
                <w:lang w:eastAsia="zh-CN"/>
              </w:rPr>
              <w:t>收集暂存处理，因此，项目</w:t>
            </w:r>
            <w:r>
              <w:rPr>
                <w:rFonts w:hint="eastAsia"/>
                <w:color w:val="auto"/>
                <w:highlight w:val="none"/>
                <w:lang w:eastAsia="zh-CN"/>
              </w:rPr>
              <w:t>废</w:t>
            </w:r>
            <w:r>
              <w:rPr>
                <w:rFonts w:hint="eastAsia"/>
                <w:color w:val="auto"/>
                <w:highlight w:val="none"/>
                <w:lang w:val="en-US" w:eastAsia="zh-CN"/>
              </w:rPr>
              <w:t>机</w:t>
            </w:r>
            <w:r>
              <w:rPr>
                <w:rFonts w:hint="eastAsia"/>
                <w:color w:val="auto"/>
                <w:highlight w:val="none"/>
                <w:lang w:eastAsia="zh-CN"/>
              </w:rPr>
              <w:t>油及沾染矿物油的废弃包装物</w:t>
            </w:r>
            <w:r>
              <w:rPr>
                <w:color w:val="auto"/>
                <w:highlight w:val="none"/>
                <w:lang w:eastAsia="zh-CN"/>
              </w:rPr>
              <w:t>收集暂存处理是可行的。</w:t>
            </w:r>
          </w:p>
          <w:p w14:paraId="646DEAAF">
            <w:pPr>
              <w:adjustRightInd w:val="0"/>
              <w:ind w:firstLine="480"/>
              <w:rPr>
                <w:color w:val="auto"/>
                <w:highlight w:val="none"/>
              </w:rPr>
            </w:pPr>
            <w:r>
              <w:rPr>
                <w:rFonts w:hint="eastAsia" w:ascii="Times New Roman" w:hAnsi="Times New Roman" w:eastAsia="宋体" w:cs="Times New Roman"/>
                <w:bCs/>
                <w:color w:val="auto"/>
                <w:kern w:val="0"/>
                <w:szCs w:val="21"/>
                <w:highlight w:val="none"/>
                <w:lang w:val="en-US" w:eastAsia="zh-CN"/>
              </w:rPr>
              <w:t>综上，项目固废污染防治措施合理可行。</w:t>
            </w:r>
          </w:p>
          <w:p w14:paraId="37284E14">
            <w:pPr>
              <w:adjustRightInd w:val="0"/>
              <w:ind w:firstLine="482"/>
              <w:rPr>
                <w:b/>
                <w:color w:val="auto"/>
                <w:kern w:val="0"/>
                <w:szCs w:val="21"/>
                <w:highlight w:val="none"/>
              </w:rPr>
            </w:pPr>
            <w:r>
              <w:rPr>
                <w:b/>
                <w:color w:val="auto"/>
                <w:kern w:val="0"/>
                <w:szCs w:val="21"/>
                <w:highlight w:val="none"/>
              </w:rPr>
              <w:t>六、环境风险防范措施及应急要求</w:t>
            </w:r>
          </w:p>
          <w:p w14:paraId="2048395F">
            <w:pPr>
              <w:adjustRightInd w:val="0"/>
              <w:ind w:firstLine="482"/>
              <w:rPr>
                <w:b/>
                <w:color w:val="auto"/>
                <w:kern w:val="0"/>
                <w:szCs w:val="21"/>
                <w:highlight w:val="none"/>
              </w:rPr>
            </w:pPr>
            <w:r>
              <w:rPr>
                <w:b/>
                <w:color w:val="auto"/>
                <w:kern w:val="0"/>
                <w:szCs w:val="21"/>
                <w:highlight w:val="none"/>
              </w:rPr>
              <w:t>1、防范措施</w:t>
            </w:r>
          </w:p>
          <w:p w14:paraId="0DCDBEC4">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（1）定期检查使用柴油的机械设备及车辆油箱，谨防油箱漏油的情况发生；</w:t>
            </w:r>
          </w:p>
          <w:p w14:paraId="291C2318">
            <w:pPr>
              <w:keepNext w:val="0"/>
              <w:keepLines w:val="0"/>
              <w:pageBreakBefore w:val="0"/>
              <w:widowControl w:val="0"/>
              <w:kinsoku/>
              <w:wordWrap/>
              <w:overflowPunct/>
              <w:topLinePunct w:val="0"/>
              <w:autoSpaceDE/>
              <w:autoSpaceDN/>
              <w:bidi w:val="0"/>
              <w:adjustRightInd/>
              <w:snapToGrid/>
              <w:ind w:firstLine="48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（2）截（排）水系统时应提高防洪标准，避免暴雨条件下地质灾害发生；</w:t>
            </w:r>
          </w:p>
          <w:p w14:paraId="377B2AE8">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（3）久雨、暴雨季节加强巡查，发现问题及时处置；</w:t>
            </w:r>
          </w:p>
          <w:p w14:paraId="4B352ABF">
            <w:pPr>
              <w:ind w:firstLine="480"/>
              <w:rPr>
                <w:rFonts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lang w:eastAsia="zh-CN"/>
              </w:rPr>
              <w:t>项目区按照《建筑灭火器配置设计规范》（GB50140-2010）的要求设置消防设施及灭火器材，灭火器材应放在明显、易取的地方，应定期对消防设施及灭火器材进行检查、维护</w:t>
            </w:r>
            <w:r>
              <w:rPr>
                <w:rFonts w:hint="eastAsia" w:ascii="Times New Roman" w:hAnsi="Times New Roman" w:eastAsia="宋体" w:cs="Times New Roman"/>
                <w:color w:val="auto"/>
                <w:highlight w:val="none"/>
                <w:lang w:eastAsia="zh-CN"/>
              </w:rPr>
              <w:t>；</w:t>
            </w:r>
          </w:p>
          <w:p w14:paraId="1208F9D7">
            <w:pPr>
              <w:ind w:firstLine="480"/>
              <w:rPr>
                <w:rFonts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5</w:t>
            </w:r>
            <w:r>
              <w:rPr>
                <w:rFonts w:hint="eastAsia" w:ascii="Times New Roman" w:hAnsi="Times New Roman" w:eastAsia="宋体" w:cs="Times New Roman"/>
                <w:color w:val="auto"/>
                <w:highlight w:val="none"/>
                <w:lang w:eastAsia="zh-CN"/>
              </w:rPr>
              <w:t>）危险废物贮存间</w:t>
            </w:r>
            <w:r>
              <w:rPr>
                <w:rFonts w:ascii="Times New Roman" w:hAnsi="Times New Roman" w:eastAsia="宋体" w:cs="Times New Roman"/>
                <w:color w:val="auto"/>
                <w:highlight w:val="none"/>
                <w:lang w:eastAsia="zh-CN"/>
              </w:rPr>
              <w:t>设置禁止烟火等安全标识牌；</w:t>
            </w:r>
          </w:p>
          <w:p w14:paraId="71A20A6E">
            <w:pPr>
              <w:ind w:firstLine="480"/>
              <w:rPr>
                <w:rFonts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6</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lang w:eastAsia="zh-CN"/>
              </w:rPr>
              <w:t>对</w:t>
            </w:r>
            <w:r>
              <w:rPr>
                <w:rFonts w:hint="eastAsia" w:ascii="Times New Roman" w:hAnsi="Times New Roman" w:eastAsia="宋体" w:cs="Times New Roman"/>
                <w:color w:val="auto"/>
                <w:highlight w:val="none"/>
                <w:lang w:eastAsia="zh-CN"/>
              </w:rPr>
              <w:t>危险废物贮存间</w:t>
            </w:r>
            <w:r>
              <w:rPr>
                <w:rFonts w:ascii="Times New Roman" w:hAnsi="Times New Roman" w:eastAsia="宋体" w:cs="Times New Roman"/>
                <w:color w:val="auto"/>
                <w:highlight w:val="none"/>
                <w:lang w:eastAsia="zh-CN"/>
              </w:rPr>
              <w:t>进行地面防渗措施；</w:t>
            </w:r>
          </w:p>
          <w:p w14:paraId="70F08FC4">
            <w:pPr>
              <w:ind w:firstLine="480"/>
              <w:rPr>
                <w:rFonts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7</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lang w:eastAsia="zh-CN"/>
              </w:rPr>
              <w:t>定期检查</w:t>
            </w:r>
            <w:r>
              <w:rPr>
                <w:rFonts w:hint="eastAsia" w:ascii="Times New Roman" w:hAnsi="Times New Roman" w:eastAsia="宋体" w:cs="Times New Roman"/>
                <w:color w:val="auto"/>
                <w:highlight w:val="none"/>
                <w:lang w:eastAsia="zh-CN"/>
              </w:rPr>
              <w:t>危险废物贮存间</w:t>
            </w:r>
            <w:r>
              <w:rPr>
                <w:rFonts w:ascii="Times New Roman" w:hAnsi="Times New Roman" w:eastAsia="宋体" w:cs="Times New Roman"/>
                <w:color w:val="auto"/>
                <w:highlight w:val="none"/>
                <w:lang w:eastAsia="zh-CN"/>
              </w:rPr>
              <w:t>发现泄漏及时更换处理；</w:t>
            </w:r>
          </w:p>
          <w:p w14:paraId="4AEDCD09">
            <w:pPr>
              <w:ind w:firstLine="480"/>
              <w:rPr>
                <w:rFonts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8</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lang w:eastAsia="zh-CN"/>
              </w:rPr>
              <w:t>加强员工培训及安全管理，</w:t>
            </w:r>
            <w:r>
              <w:rPr>
                <w:rFonts w:hint="eastAsia" w:cs="Times New Roman"/>
                <w:color w:val="auto"/>
                <w:highlight w:val="none"/>
                <w:lang w:eastAsia="zh-CN"/>
              </w:rPr>
              <w:t>减少</w:t>
            </w:r>
            <w:r>
              <w:rPr>
                <w:rFonts w:ascii="Times New Roman" w:hAnsi="Times New Roman" w:eastAsia="宋体" w:cs="Times New Roman"/>
                <w:color w:val="auto"/>
                <w:highlight w:val="none"/>
                <w:lang w:eastAsia="zh-CN"/>
              </w:rPr>
              <w:t>事故隐患。</w:t>
            </w:r>
          </w:p>
          <w:p w14:paraId="390FD9F7">
            <w:pPr>
              <w:ind w:firstLine="480"/>
              <w:rPr>
                <w:rFonts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9</w:t>
            </w:r>
            <w:r>
              <w:rPr>
                <w:rFonts w:hint="eastAsia" w:ascii="Times New Roman" w:hAnsi="Times New Roman" w:eastAsia="宋体" w:cs="Times New Roman"/>
                <w:color w:val="auto"/>
                <w:highlight w:val="none"/>
                <w:lang w:eastAsia="zh-CN"/>
              </w:rPr>
              <w:t>）分区防渗：</w:t>
            </w:r>
            <w:r>
              <w:rPr>
                <w:rFonts w:hint="eastAsia" w:ascii="Times New Roman" w:hAnsi="Times New Roman" w:eastAsia="宋体" w:cs="Times New Roman"/>
                <w:color w:val="auto"/>
                <w:highlight w:val="none"/>
                <w:lang w:val="en-US" w:eastAsia="zh-CN"/>
              </w:rPr>
              <w:t>危废贮存间</w:t>
            </w:r>
            <w:r>
              <w:rPr>
                <w:rFonts w:ascii="Times New Roman" w:hAnsi="Times New Roman" w:eastAsia="宋体" w:cs="Times New Roman"/>
                <w:color w:val="auto"/>
                <w:highlight w:val="none"/>
                <w:lang w:eastAsia="zh-CN"/>
              </w:rPr>
              <w:t>按重点防渗区进行建设，防渗技术要求为：等效黏土防渗层Mb≥6m，K≤1×10</w:t>
            </w:r>
            <w:r>
              <w:rPr>
                <w:rFonts w:ascii="Times New Roman" w:hAnsi="Times New Roman" w:eastAsia="宋体" w:cs="Times New Roman"/>
                <w:color w:val="auto"/>
                <w:highlight w:val="none"/>
                <w:vertAlign w:val="superscript"/>
                <w:lang w:eastAsia="zh-CN"/>
              </w:rPr>
              <w:t>-7</w:t>
            </w:r>
            <w:r>
              <w:rPr>
                <w:rFonts w:ascii="Times New Roman" w:hAnsi="Times New Roman" w:eastAsia="宋体" w:cs="Times New Roman"/>
                <w:color w:val="auto"/>
                <w:highlight w:val="none"/>
                <w:lang w:eastAsia="zh-CN"/>
              </w:rPr>
              <w:t>cm/s</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lang w:eastAsia="zh-CN"/>
              </w:rPr>
              <w:t>或</w:t>
            </w:r>
            <w:r>
              <w:rPr>
                <w:rFonts w:hint="eastAsia" w:ascii="Times New Roman" w:hAnsi="Times New Roman" w:eastAsia="宋体" w:cs="Times New Roman"/>
                <w:color w:val="auto"/>
                <w:highlight w:val="none"/>
                <w:lang w:eastAsia="zh-CN"/>
              </w:rPr>
              <w:t>至少</w:t>
            </w:r>
            <w:r>
              <w:rPr>
                <w:rFonts w:ascii="Times New Roman" w:hAnsi="Times New Roman" w:eastAsia="宋体" w:cs="Times New Roman"/>
                <w:color w:val="auto"/>
                <w:highlight w:val="none"/>
                <w:lang w:eastAsia="zh-CN"/>
              </w:rPr>
              <w:t>2mm厚高密度聚乙烯</w:t>
            </w:r>
            <w:r>
              <w:rPr>
                <w:rFonts w:hint="eastAsia" w:ascii="Times New Roman" w:hAnsi="Times New Roman" w:eastAsia="宋体" w:cs="Times New Roman"/>
                <w:color w:val="auto"/>
                <w:highlight w:val="none"/>
                <w:lang w:eastAsia="zh-CN"/>
              </w:rPr>
              <w:t>膜等人工防渗材料（渗透系数</w:t>
            </w:r>
            <w:r>
              <w:rPr>
                <w:rFonts w:ascii="Times New Roman" w:hAnsi="Times New Roman" w:eastAsia="宋体" w:cs="Times New Roman"/>
                <w:color w:val="auto"/>
                <w:highlight w:val="none"/>
                <w:lang w:val="zh-CN" w:eastAsia="zh-CN"/>
              </w:rPr>
              <w:t>≤</w:t>
            </w:r>
            <w:r>
              <w:rPr>
                <w:rFonts w:ascii="Times New Roman" w:hAnsi="Times New Roman" w:eastAsia="宋体" w:cs="Times New Roman"/>
                <w:color w:val="auto"/>
                <w:highlight w:val="none"/>
                <w:lang w:eastAsia="zh-CN"/>
              </w:rPr>
              <w:t>1×</w:t>
            </w:r>
            <w:r>
              <w:rPr>
                <w:rFonts w:ascii="Times New Roman" w:hAnsi="Times New Roman" w:eastAsia="宋体" w:cs="Times New Roman"/>
                <w:color w:val="auto"/>
                <w:highlight w:val="none"/>
                <w:lang w:val="zh-CN" w:eastAsia="zh-CN"/>
              </w:rPr>
              <w:t>10-</w:t>
            </w:r>
            <w:r>
              <w:rPr>
                <w:rFonts w:hint="eastAsia" w:ascii="Times New Roman" w:hAnsi="Times New Roman" w:eastAsia="宋体" w:cs="Times New Roman"/>
                <w:color w:val="auto"/>
                <w:highlight w:val="none"/>
                <w:lang w:eastAsia="zh-CN"/>
              </w:rPr>
              <w:t>10</w:t>
            </w:r>
            <w:r>
              <w:rPr>
                <w:rFonts w:ascii="Times New Roman" w:hAnsi="Times New Roman" w:eastAsia="宋体" w:cs="Times New Roman"/>
                <w:color w:val="auto"/>
                <w:highlight w:val="none"/>
                <w:lang w:val="zh-CN" w:eastAsia="zh-CN"/>
              </w:rPr>
              <w:t>cm/s</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eastAsia="zh-CN"/>
              </w:rPr>
              <w:t>或其他防渗性能等效的材料</w:t>
            </w:r>
            <w:r>
              <w:rPr>
                <w:rFonts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隔油池、化粪池</w:t>
            </w:r>
            <w:r>
              <w:rPr>
                <w:rFonts w:hint="eastAsia" w:ascii="Times New Roman" w:hAnsi="Times New Roman" w:eastAsia="宋体" w:cs="Times New Roman"/>
                <w:color w:val="auto"/>
                <w:highlight w:val="none"/>
                <w:lang w:eastAsia="zh-CN"/>
              </w:rPr>
              <w:t>按一般防渗区进行建设，</w:t>
            </w:r>
            <w:r>
              <w:rPr>
                <w:rFonts w:ascii="Times New Roman" w:hAnsi="Times New Roman" w:eastAsia="宋体" w:cs="Times New Roman"/>
                <w:color w:val="auto"/>
                <w:highlight w:val="none"/>
                <w:lang w:eastAsia="zh-CN"/>
              </w:rPr>
              <w:t>防渗技术要求为：</w:t>
            </w:r>
            <w:r>
              <w:rPr>
                <w:rFonts w:hint="eastAsia" w:ascii="Times New Roman" w:hAnsi="Times New Roman" w:eastAsia="宋体" w:cs="Times New Roman"/>
                <w:color w:val="auto"/>
                <w:highlight w:val="none"/>
                <w:lang w:eastAsia="zh-CN"/>
              </w:rPr>
              <w:t>粘土衬层厚度应不小于0.75m</w:t>
            </w:r>
            <w:r>
              <w:rPr>
                <w:rFonts w:ascii="Times New Roman" w:hAnsi="Times New Roman" w:eastAsia="宋体" w:cs="Times New Roman"/>
                <w:color w:val="auto"/>
                <w:highlight w:val="none"/>
                <w:lang w:eastAsia="zh-CN"/>
              </w:rPr>
              <w:t>，K</w:t>
            </w:r>
            <w:r>
              <w:rPr>
                <w:rFonts w:ascii="Times New Roman" w:hAnsi="Times New Roman" w:eastAsia="宋体" w:cs="Times New Roman"/>
                <w:color w:val="auto"/>
                <w:highlight w:val="none"/>
                <w:lang w:val="zh-CN" w:eastAsia="zh-CN"/>
              </w:rPr>
              <w:t>≤</w:t>
            </w:r>
            <w:r>
              <w:rPr>
                <w:rFonts w:ascii="Times New Roman" w:hAnsi="Times New Roman" w:eastAsia="宋体" w:cs="Times New Roman"/>
                <w:color w:val="auto"/>
                <w:highlight w:val="none"/>
                <w:lang w:eastAsia="zh-CN"/>
              </w:rPr>
              <w:t>1×</w:t>
            </w:r>
            <w:r>
              <w:rPr>
                <w:rFonts w:ascii="Times New Roman" w:hAnsi="Times New Roman" w:eastAsia="宋体" w:cs="Times New Roman"/>
                <w:color w:val="auto"/>
                <w:highlight w:val="none"/>
                <w:lang w:val="zh-CN" w:eastAsia="zh-CN"/>
              </w:rPr>
              <w:t>10</w:t>
            </w:r>
            <w:r>
              <w:rPr>
                <w:rFonts w:ascii="Times New Roman" w:hAnsi="Times New Roman" w:eastAsia="宋体" w:cs="Times New Roman"/>
                <w:color w:val="auto"/>
                <w:highlight w:val="none"/>
                <w:vertAlign w:val="superscript"/>
                <w:lang w:val="zh-CN" w:eastAsia="zh-CN"/>
              </w:rPr>
              <w:t>-</w:t>
            </w:r>
            <w:r>
              <w:rPr>
                <w:rFonts w:hint="eastAsia" w:ascii="Times New Roman" w:hAnsi="Times New Roman" w:eastAsia="宋体" w:cs="Times New Roman"/>
                <w:color w:val="auto"/>
                <w:highlight w:val="none"/>
                <w:vertAlign w:val="superscript"/>
                <w:lang w:eastAsia="zh-CN"/>
              </w:rPr>
              <w:t>7</w:t>
            </w:r>
            <w:r>
              <w:rPr>
                <w:rFonts w:ascii="Times New Roman" w:hAnsi="Times New Roman" w:eastAsia="宋体" w:cs="Times New Roman"/>
                <w:color w:val="auto"/>
                <w:highlight w:val="none"/>
                <w:lang w:val="zh-CN" w:eastAsia="zh-CN"/>
              </w:rPr>
              <w:t>cm/s</w:t>
            </w:r>
            <w:r>
              <w:rPr>
                <w:rFonts w:hint="eastAsia" w:ascii="Times New Roman" w:hAnsi="Times New Roman" w:eastAsia="宋体" w:cs="Times New Roman"/>
                <w:color w:val="auto"/>
                <w:highlight w:val="none"/>
                <w:lang w:val="zh-CN" w:eastAsia="zh-CN"/>
              </w:rPr>
              <w:t>；</w:t>
            </w:r>
            <w:r>
              <w:rPr>
                <w:rFonts w:hint="eastAsia" w:ascii="Times New Roman" w:hAnsi="Times New Roman" w:eastAsia="宋体" w:cs="Times New Roman"/>
                <w:color w:val="auto"/>
                <w:highlight w:val="none"/>
                <w:lang w:val="en-US" w:eastAsia="zh-CN"/>
              </w:rPr>
              <w:t>工业场地区部分、</w:t>
            </w:r>
            <w:r>
              <w:rPr>
                <w:rFonts w:hint="eastAsia" w:cs="Times New Roman"/>
                <w:color w:val="auto"/>
                <w:highlight w:val="none"/>
                <w:lang w:val="zh-CN" w:eastAsia="zh-CN"/>
              </w:rPr>
              <w:t>沉砂池</w:t>
            </w:r>
            <w:r>
              <w:rPr>
                <w:rFonts w:hint="eastAsia" w:ascii="Times New Roman" w:hAnsi="Times New Roman" w:eastAsia="宋体" w:cs="Times New Roman"/>
                <w:color w:val="auto"/>
                <w:highlight w:val="none"/>
                <w:lang w:val="zh-CN" w:eastAsia="zh-CN"/>
              </w:rPr>
              <w:t>、</w:t>
            </w:r>
            <w:r>
              <w:rPr>
                <w:rFonts w:hint="eastAsia" w:cs="Times New Roman"/>
                <w:color w:val="auto"/>
                <w:highlight w:val="none"/>
                <w:lang w:val="zh-CN" w:eastAsia="zh-CN"/>
              </w:rPr>
              <w:t>办公生活区</w:t>
            </w:r>
            <w:r>
              <w:rPr>
                <w:rFonts w:hint="eastAsia" w:ascii="Times New Roman" w:hAnsi="Times New Roman" w:eastAsia="宋体" w:cs="Times New Roman"/>
                <w:color w:val="auto"/>
                <w:highlight w:val="none"/>
                <w:lang w:val="zh-CN" w:eastAsia="zh-CN"/>
              </w:rPr>
              <w:t>等区域</w:t>
            </w:r>
            <w:r>
              <w:rPr>
                <w:rFonts w:ascii="Times New Roman" w:hAnsi="Times New Roman" w:eastAsia="宋体" w:cs="Times New Roman"/>
                <w:color w:val="auto"/>
                <w:highlight w:val="none"/>
                <w:lang w:eastAsia="zh-CN"/>
              </w:rPr>
              <w:t>进行简单防渗，采取一般地面水泥硬化。</w:t>
            </w:r>
          </w:p>
          <w:p w14:paraId="5FAADCC4">
            <w:pPr>
              <w:ind w:firstLine="480"/>
              <w:rPr>
                <w:rFonts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10</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lang w:eastAsia="zh-CN"/>
              </w:rPr>
              <w:t>搬运</w:t>
            </w:r>
            <w:r>
              <w:rPr>
                <w:rFonts w:hint="eastAsia" w:ascii="Times New Roman" w:hAnsi="Times New Roman" w:eastAsia="宋体" w:cs="Times New Roman"/>
                <w:color w:val="auto"/>
                <w:highlight w:val="none"/>
                <w:lang w:eastAsia="zh-CN"/>
              </w:rPr>
              <w:t>废</w:t>
            </w:r>
            <w:r>
              <w:rPr>
                <w:rFonts w:hint="eastAsia" w:ascii="Times New Roman" w:hAnsi="Times New Roman" w:eastAsia="宋体" w:cs="Times New Roman"/>
                <w:color w:val="auto"/>
                <w:highlight w:val="none"/>
                <w:lang w:val="en-US" w:eastAsia="zh-CN"/>
              </w:rPr>
              <w:t>机</w:t>
            </w:r>
            <w:r>
              <w:rPr>
                <w:rFonts w:hint="eastAsia" w:ascii="Times New Roman" w:hAnsi="Times New Roman" w:eastAsia="宋体" w:cs="Times New Roman"/>
                <w:color w:val="auto"/>
                <w:highlight w:val="none"/>
                <w:lang w:eastAsia="zh-CN"/>
              </w:rPr>
              <w:t>油及沾染矿物油的废弃包装物</w:t>
            </w:r>
            <w:r>
              <w:rPr>
                <w:rFonts w:ascii="Times New Roman" w:hAnsi="Times New Roman" w:eastAsia="宋体" w:cs="Times New Roman"/>
                <w:color w:val="auto"/>
                <w:highlight w:val="none"/>
                <w:lang w:eastAsia="zh-CN"/>
              </w:rPr>
              <w:t>时要轻装轻卸，包装桶应确保无破损，若发现破损应立即更换，避免</w:t>
            </w:r>
            <w:r>
              <w:rPr>
                <w:rFonts w:hint="eastAsia" w:ascii="Times New Roman" w:hAnsi="Times New Roman" w:eastAsia="宋体" w:cs="Times New Roman"/>
                <w:color w:val="auto"/>
                <w:highlight w:val="none"/>
                <w:lang w:eastAsia="zh-CN"/>
              </w:rPr>
              <w:t>废</w:t>
            </w:r>
            <w:r>
              <w:rPr>
                <w:rFonts w:hint="eastAsia" w:ascii="Times New Roman" w:hAnsi="Times New Roman" w:eastAsia="宋体" w:cs="Times New Roman"/>
                <w:color w:val="auto"/>
                <w:highlight w:val="none"/>
                <w:lang w:val="en-US" w:eastAsia="zh-CN"/>
              </w:rPr>
              <w:t>机油</w:t>
            </w:r>
            <w:r>
              <w:rPr>
                <w:rFonts w:hint="eastAsia" w:ascii="Times New Roman" w:hAnsi="Times New Roman" w:eastAsia="宋体" w:cs="Times New Roman"/>
                <w:color w:val="auto"/>
                <w:highlight w:val="none"/>
                <w:lang w:eastAsia="zh-CN"/>
              </w:rPr>
              <w:t>及沾染矿物油的废弃包装物</w:t>
            </w:r>
            <w:r>
              <w:rPr>
                <w:rFonts w:ascii="Times New Roman" w:hAnsi="Times New Roman" w:eastAsia="宋体" w:cs="Times New Roman"/>
                <w:color w:val="auto"/>
                <w:highlight w:val="none"/>
                <w:lang w:eastAsia="zh-CN"/>
              </w:rPr>
              <w:t>泄漏，存放于阴凉通风的地方，远离火源。</w:t>
            </w:r>
          </w:p>
          <w:p w14:paraId="0B29E24C">
            <w:pPr>
              <w:ind w:firstLine="480"/>
              <w:rPr>
                <w:rFonts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11</w:t>
            </w:r>
            <w:r>
              <w:rPr>
                <w:rFonts w:hint="eastAsia" w:ascii="Times New Roman" w:hAnsi="Times New Roman" w:eastAsia="宋体" w:cs="Times New Roman"/>
                <w:color w:val="auto"/>
                <w:highlight w:val="none"/>
                <w:lang w:eastAsia="zh-CN"/>
              </w:rPr>
              <w:t>）编制突发环境事件应急预案，报送至昆明市生态环境局寻甸分局备案，并定期进行演练，提高建设单位应急能力</w:t>
            </w:r>
            <w:r>
              <w:rPr>
                <w:rFonts w:ascii="Times New Roman" w:hAnsi="Times New Roman" w:eastAsia="宋体" w:cs="Times New Roman"/>
                <w:color w:val="auto"/>
                <w:highlight w:val="none"/>
                <w:lang w:eastAsia="zh-CN"/>
              </w:rPr>
              <w:t>。</w:t>
            </w:r>
          </w:p>
          <w:p w14:paraId="60DB332E">
            <w:pPr>
              <w:adjustRightInd w:val="0"/>
              <w:ind w:firstLine="482"/>
              <w:rPr>
                <w:b/>
                <w:color w:val="auto"/>
                <w:kern w:val="0"/>
                <w:szCs w:val="21"/>
                <w:highlight w:val="none"/>
              </w:rPr>
            </w:pPr>
            <w:r>
              <w:rPr>
                <w:b/>
                <w:color w:val="auto"/>
                <w:kern w:val="0"/>
                <w:szCs w:val="21"/>
                <w:highlight w:val="none"/>
              </w:rPr>
              <w:t>2、应急措施</w:t>
            </w:r>
          </w:p>
          <w:p w14:paraId="5447670B">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（1）当设备油箱出现渗漏情况时，停止使用设备，并使用油桶等对油箱中柴油进行转移，对被柴油浸没的土壤进行替换处理；</w:t>
            </w:r>
          </w:p>
          <w:p w14:paraId="030C9598">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eastAsia="zh-CN"/>
              </w:rPr>
              <w:t>）本项目危险废物贮存间地面及裙脚进行重点防渗，渗透系数≤1×10</w:t>
            </w:r>
            <w:r>
              <w:rPr>
                <w:rFonts w:hint="eastAsia" w:ascii="Times New Roman" w:hAnsi="Times New Roman" w:eastAsia="宋体" w:cs="Times New Roman"/>
                <w:color w:val="auto"/>
                <w:highlight w:val="none"/>
                <w:vertAlign w:val="superscript"/>
                <w:lang w:eastAsia="zh-CN"/>
              </w:rPr>
              <w:t>-10</w:t>
            </w:r>
            <w:r>
              <w:rPr>
                <w:rFonts w:hint="eastAsia" w:ascii="Times New Roman" w:hAnsi="Times New Roman" w:eastAsia="宋体" w:cs="Times New Roman"/>
                <w:color w:val="auto"/>
                <w:highlight w:val="none"/>
                <w:lang w:eastAsia="zh-CN"/>
              </w:rPr>
              <w:t>cm/s。当废矿物油及沾染矿物油的废弃包装物、废润滑油发生泄露时，应该及时收集处理。</w:t>
            </w:r>
          </w:p>
          <w:p w14:paraId="5248EA16">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3</w:t>
            </w:r>
            <w:r>
              <w:rPr>
                <w:rFonts w:hint="eastAsia" w:ascii="Times New Roman" w:hAnsi="Times New Roman" w:eastAsia="宋体" w:cs="Times New Roman"/>
                <w:color w:val="auto"/>
                <w:highlight w:val="none"/>
                <w:lang w:eastAsia="zh-CN"/>
              </w:rPr>
              <w:t>）若是洪峰超过防洪标准可能引发弃渣场滑坡、泥石流时，应立即向当地主管部门报告，及时采取有效措施疏散撤离下游可能受灾人员；</w:t>
            </w:r>
          </w:p>
          <w:p w14:paraId="30DD0667">
            <w:pPr>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lang w:eastAsia="zh-CN"/>
              </w:rPr>
              <w:t>）当截（排）水系统出现故障时，应及时找出故障原因，若截（排）水系统毁坏或堵塞，应及时疏通修复。</w:t>
            </w:r>
          </w:p>
          <w:p w14:paraId="118C80B2">
            <w:pPr>
              <w:ind w:firstLine="482"/>
              <w:rPr>
                <w:rFonts w:hint="eastAsia" w:ascii="Times New Roman" w:hAnsi="Times New Roman" w:eastAsia="宋体"/>
                <w:b/>
                <w:bCs/>
                <w:color w:val="auto"/>
                <w:highlight w:val="none"/>
                <w:lang w:eastAsia="zh-CN"/>
              </w:rPr>
            </w:pPr>
            <w:bookmarkStart w:id="31" w:name="_Toc30591"/>
            <w:bookmarkStart w:id="32" w:name="_Toc17259"/>
            <w:bookmarkStart w:id="33" w:name="_Toc27152"/>
            <w:bookmarkStart w:id="34" w:name="_Toc75973087"/>
            <w:bookmarkStart w:id="35" w:name="_Toc6135"/>
            <w:bookmarkStart w:id="36" w:name="_Toc20721"/>
            <w:bookmarkStart w:id="37" w:name="_Toc6811"/>
            <w:bookmarkStart w:id="38" w:name="_Toc3985"/>
            <w:bookmarkStart w:id="39" w:name="_Toc32303"/>
            <w:bookmarkStart w:id="40" w:name="_Toc29463"/>
            <w:bookmarkStart w:id="41" w:name="_Toc9431"/>
            <w:r>
              <w:rPr>
                <w:rFonts w:hint="eastAsia" w:ascii="Times New Roman" w:hAnsi="Times New Roman" w:eastAsia="宋体"/>
                <w:b/>
                <w:bCs/>
                <w:color w:val="auto"/>
                <w:highlight w:val="none"/>
                <w:lang w:val="en-US" w:eastAsia="zh-CN"/>
              </w:rPr>
              <w:t>3、</w:t>
            </w:r>
            <w:r>
              <w:rPr>
                <w:rFonts w:hint="eastAsia" w:ascii="Times New Roman" w:hAnsi="Times New Roman" w:eastAsia="宋体"/>
                <w:b/>
                <w:bCs/>
                <w:color w:val="auto"/>
                <w:highlight w:val="none"/>
                <w:lang w:eastAsia="zh-CN"/>
              </w:rPr>
              <w:t>突发环境风险事件应急预案</w:t>
            </w:r>
            <w:bookmarkEnd w:id="31"/>
            <w:bookmarkEnd w:id="32"/>
            <w:bookmarkEnd w:id="33"/>
            <w:bookmarkEnd w:id="34"/>
            <w:bookmarkEnd w:id="35"/>
            <w:bookmarkEnd w:id="36"/>
            <w:bookmarkEnd w:id="37"/>
            <w:bookmarkEnd w:id="38"/>
            <w:bookmarkEnd w:id="39"/>
            <w:bookmarkEnd w:id="40"/>
            <w:bookmarkEnd w:id="41"/>
          </w:p>
          <w:p w14:paraId="2496C4F1">
            <w:pPr>
              <w:ind w:firstLine="480"/>
              <w:rPr>
                <w:rFonts w:hint="eastAsia"/>
                <w:color w:val="auto"/>
                <w:highlight w:val="none"/>
                <w:lang w:eastAsia="zh-CN"/>
              </w:rPr>
            </w:pPr>
            <w:r>
              <w:rPr>
                <w:rFonts w:hint="eastAsia" w:ascii="Times New Roman" w:hAnsi="Times New Roman" w:eastAsia="宋体" w:cs="Times New Roman"/>
                <w:color w:val="auto"/>
                <w:highlight w:val="none"/>
                <w:lang w:eastAsia="zh-CN"/>
              </w:rPr>
              <w:t>针对本项目可能发生的突发事故，为了将风险事故率降低到最低，建设单位应编制突发环境事件应急预案并报</w:t>
            </w:r>
            <w:r>
              <w:rPr>
                <w:rFonts w:hint="eastAsia" w:cs="Times New Roman"/>
                <w:color w:val="auto"/>
                <w:highlight w:val="none"/>
                <w:lang w:val="en-US" w:eastAsia="zh-CN"/>
              </w:rPr>
              <w:t>昆明</w:t>
            </w:r>
            <w:r>
              <w:rPr>
                <w:rFonts w:hint="eastAsia" w:ascii="Times New Roman" w:hAnsi="Times New Roman" w:eastAsia="宋体" w:cs="Times New Roman"/>
                <w:color w:val="auto"/>
                <w:highlight w:val="none"/>
                <w:lang w:eastAsia="zh-CN"/>
              </w:rPr>
              <w:t>市生态环境局</w:t>
            </w:r>
            <w:r>
              <w:rPr>
                <w:rFonts w:hint="eastAsia" w:cs="Times New Roman"/>
                <w:color w:val="auto"/>
                <w:highlight w:val="none"/>
                <w:lang w:val="en-US" w:eastAsia="zh-CN"/>
              </w:rPr>
              <w:t>寻甸</w:t>
            </w:r>
            <w:r>
              <w:rPr>
                <w:rFonts w:hint="eastAsia" w:ascii="Times New Roman" w:hAnsi="Times New Roman" w:eastAsia="宋体" w:cs="Times New Roman"/>
                <w:color w:val="auto"/>
                <w:highlight w:val="none"/>
                <w:lang w:eastAsia="zh-CN"/>
              </w:rPr>
              <w:t>分局备案。建设单位应严格按照《企业突发环境事件风险分级方法》（HJ941-2018）、《企业突发环境事件应急预案编制指南》和《企业突发环境事件风险评估指南（试行）》开展应急预案的编制工作，包括环境风险评估报告、环境应急资源调查报告和突发环境事件应急预案三个报告。</w:t>
            </w:r>
          </w:p>
          <w:p w14:paraId="19A59E8B">
            <w:pPr>
              <w:adjustRightInd w:val="0"/>
              <w:ind w:firstLine="482"/>
              <w:rPr>
                <w:b/>
                <w:bCs/>
                <w:color w:val="auto"/>
                <w:kern w:val="0"/>
                <w:szCs w:val="21"/>
                <w:highlight w:val="none"/>
              </w:rPr>
            </w:pPr>
            <w:r>
              <w:rPr>
                <w:rFonts w:hint="eastAsia"/>
                <w:b/>
                <w:bCs/>
                <w:color w:val="auto"/>
                <w:kern w:val="0"/>
                <w:szCs w:val="21"/>
                <w:highlight w:val="none"/>
              </w:rPr>
              <w:t>七、服务期满后</w:t>
            </w:r>
            <w:r>
              <w:rPr>
                <w:b/>
                <w:bCs/>
                <w:color w:val="auto"/>
                <w:kern w:val="0"/>
                <w:szCs w:val="21"/>
                <w:highlight w:val="none"/>
              </w:rPr>
              <w:t>生态环境保护措施</w:t>
            </w:r>
          </w:p>
          <w:p w14:paraId="01C00428">
            <w:pPr>
              <w:adjustRightInd w:val="0"/>
              <w:ind w:firstLine="480"/>
              <w:rPr>
                <w:bCs/>
                <w:color w:val="auto"/>
                <w:kern w:val="0"/>
                <w:szCs w:val="21"/>
                <w:highlight w:val="none"/>
              </w:rPr>
            </w:pPr>
            <w:r>
              <w:rPr>
                <w:bCs/>
                <w:color w:val="auto"/>
                <w:kern w:val="0"/>
                <w:szCs w:val="21"/>
                <w:highlight w:val="none"/>
              </w:rPr>
              <w:t>矿山服务期满后，环境空气、水体、噪声、固体废物等污染源停止排污，对环境不再产生影响；由于采掘引起的地表凹陷、采空区的形成都将对环境有一定的影响，并且延续的时间较长，因此，开采结束后，地表形态变化对地形、地貌和生态环境的影响将会持续一段时间。</w:t>
            </w:r>
          </w:p>
          <w:p w14:paraId="3E6C14D9">
            <w:pPr>
              <w:adjustRightInd w:val="0"/>
              <w:ind w:firstLine="480"/>
              <w:rPr>
                <w:bCs/>
                <w:color w:val="auto"/>
                <w:kern w:val="0"/>
                <w:szCs w:val="21"/>
                <w:highlight w:val="none"/>
              </w:rPr>
            </w:pPr>
            <w:r>
              <w:rPr>
                <w:bCs/>
                <w:color w:val="auto"/>
                <w:kern w:val="0"/>
                <w:szCs w:val="21"/>
                <w:highlight w:val="none"/>
              </w:rPr>
              <w:t>项目服务期满后，存在的环境问题主要表现在生态环境的恢复问题，主要是进行植被恢复，本矿开采时间约有</w:t>
            </w:r>
            <w:r>
              <w:rPr>
                <w:rFonts w:hint="eastAsia"/>
                <w:bCs/>
                <w:color w:val="auto"/>
                <w:kern w:val="0"/>
                <w:szCs w:val="21"/>
                <w:highlight w:val="none"/>
                <w:lang w:val="en-US" w:eastAsia="zh-CN"/>
              </w:rPr>
              <w:t>3.91</w:t>
            </w:r>
            <w:r>
              <w:rPr>
                <w:bCs/>
                <w:color w:val="auto"/>
                <w:kern w:val="0"/>
                <w:szCs w:val="21"/>
                <w:highlight w:val="none"/>
              </w:rPr>
              <w:t>年，针对本项目对生态环境的影响，对于闭矿期生态恢复，现拟定以下几点：</w:t>
            </w:r>
          </w:p>
          <w:p w14:paraId="5368AA04">
            <w:pPr>
              <w:adjustRightInd w:val="0"/>
              <w:ind w:firstLine="480"/>
              <w:rPr>
                <w:bCs/>
                <w:color w:val="auto"/>
                <w:kern w:val="0"/>
                <w:szCs w:val="21"/>
                <w:highlight w:val="none"/>
              </w:rPr>
            </w:pPr>
            <w:r>
              <w:rPr>
                <w:bCs/>
                <w:color w:val="auto"/>
                <w:kern w:val="0"/>
                <w:szCs w:val="21"/>
                <w:highlight w:val="none"/>
              </w:rPr>
              <w:t>1、矿区范围内所有临时建筑物全部拆除，并对场地进行平整，然后覆土植树；</w:t>
            </w:r>
          </w:p>
          <w:p w14:paraId="714F3C7C">
            <w:pPr>
              <w:adjustRightInd w:val="0"/>
              <w:ind w:firstLine="480"/>
              <w:rPr>
                <w:bCs/>
                <w:color w:val="auto"/>
                <w:kern w:val="0"/>
                <w:szCs w:val="21"/>
                <w:highlight w:val="none"/>
              </w:rPr>
            </w:pPr>
            <w:r>
              <w:rPr>
                <w:bCs/>
                <w:color w:val="auto"/>
                <w:kern w:val="0"/>
                <w:szCs w:val="21"/>
                <w:highlight w:val="none"/>
              </w:rPr>
              <w:t>2、采空区回填后要进行边坡处理，消除安全隐患，并进行复垦；</w:t>
            </w:r>
          </w:p>
          <w:p w14:paraId="07D04382">
            <w:pPr>
              <w:adjustRightInd w:val="0"/>
              <w:ind w:firstLine="480"/>
              <w:rPr>
                <w:bCs/>
                <w:color w:val="auto"/>
                <w:kern w:val="0"/>
                <w:szCs w:val="21"/>
                <w:highlight w:val="none"/>
              </w:rPr>
            </w:pPr>
            <w:r>
              <w:rPr>
                <w:bCs/>
                <w:color w:val="auto"/>
                <w:kern w:val="0"/>
                <w:szCs w:val="21"/>
                <w:highlight w:val="none"/>
              </w:rPr>
              <w:t>3、严格按照水土保持方案和矿山环境恢复治理及土地复垦方案进行项目复垦计划；</w:t>
            </w:r>
          </w:p>
          <w:p w14:paraId="5BBA796A">
            <w:pPr>
              <w:adjustRightInd w:val="0"/>
              <w:ind w:firstLine="480"/>
              <w:rPr>
                <w:bCs/>
                <w:color w:val="auto"/>
                <w:kern w:val="0"/>
                <w:szCs w:val="21"/>
                <w:highlight w:val="none"/>
              </w:rPr>
            </w:pPr>
            <w:r>
              <w:rPr>
                <w:bCs/>
                <w:color w:val="auto"/>
                <w:kern w:val="0"/>
                <w:szCs w:val="21"/>
                <w:highlight w:val="none"/>
              </w:rPr>
              <w:t>4、做好复垦后初期管理工作，确保复垦植被能够在自然条件下生长。</w:t>
            </w:r>
          </w:p>
          <w:p w14:paraId="524926B5">
            <w:pPr>
              <w:adjustRightInd w:val="0"/>
              <w:ind w:firstLine="480"/>
              <w:rPr>
                <w:rFonts w:ascii="Times New Roman" w:hAnsi="Times New Roman" w:cs="Times New Roman"/>
                <w:color w:val="auto"/>
                <w:highlight w:val="none"/>
              </w:rPr>
            </w:pPr>
            <w:r>
              <w:rPr>
                <w:rFonts w:ascii="Times New Roman" w:hAnsi="Times New Roman" w:eastAsia="宋体" w:cs="Times New Roman"/>
                <w:bCs/>
                <w:color w:val="auto"/>
                <w:kern w:val="0"/>
                <w:szCs w:val="21"/>
                <w:highlight w:val="none"/>
              </w:rPr>
              <w:t>只要项目建设方严格按照以上措施进行矿山服务期满后的生态恢复，生态治理率达99%，对矿区控制水土流失起到了一定的作用，可使水土流失量降到最低，项目区的植被和生态环境也将得到恢复。</w:t>
            </w:r>
          </w:p>
        </w:tc>
      </w:tr>
      <w:tr w14:paraId="32608A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531" w:type="dxa"/>
            <w:vAlign w:val="center"/>
          </w:tcPr>
          <w:p w14:paraId="5E77DFC0">
            <w:pPr>
              <w:spacing w:line="240" w:lineRule="auto"/>
              <w:ind w:firstLine="0" w:firstLineChars="0"/>
              <w:jc w:val="center"/>
              <w:rPr>
                <w:b/>
                <w:bCs/>
                <w:color w:val="auto"/>
                <w:szCs w:val="24"/>
                <w:highlight w:val="none"/>
              </w:rPr>
            </w:pPr>
            <w:r>
              <w:rPr>
                <w:b/>
                <w:bCs/>
                <w:color w:val="auto"/>
                <w:szCs w:val="24"/>
                <w:highlight w:val="none"/>
              </w:rPr>
              <w:t>其他</w:t>
            </w:r>
          </w:p>
        </w:tc>
        <w:tc>
          <w:tcPr>
            <w:tcW w:w="7991" w:type="dxa"/>
            <w:vAlign w:val="center"/>
          </w:tcPr>
          <w:p w14:paraId="37CFB7B8">
            <w:pPr>
              <w:keepNext w:val="0"/>
              <w:keepLines w:val="0"/>
              <w:pageBreakBefore w:val="0"/>
              <w:widowControl w:val="0"/>
              <w:kinsoku/>
              <w:wordWrap/>
              <w:overflowPunct/>
              <w:topLinePunct w:val="0"/>
              <w:autoSpaceDE/>
              <w:autoSpaceDN/>
              <w:bidi w:val="0"/>
              <w:adjustRightInd w:val="0"/>
              <w:snapToGrid/>
              <w:ind w:firstLine="482"/>
              <w:textAlignment w:val="auto"/>
              <w:rPr>
                <w:b/>
                <w:bCs/>
                <w:color w:val="auto"/>
                <w:kern w:val="0"/>
                <w:szCs w:val="21"/>
                <w:highlight w:val="none"/>
              </w:rPr>
            </w:pPr>
            <w:r>
              <w:rPr>
                <w:b/>
                <w:bCs/>
                <w:color w:val="auto"/>
                <w:kern w:val="0"/>
                <w:szCs w:val="21"/>
                <w:highlight w:val="none"/>
              </w:rPr>
              <w:t>1、运营期监测计划</w:t>
            </w:r>
          </w:p>
          <w:p w14:paraId="36C7E80F">
            <w:pPr>
              <w:adjustRightInd w:val="0"/>
              <w:ind w:firstLine="480"/>
              <w:rPr>
                <w:bCs/>
                <w:color w:val="auto"/>
                <w:kern w:val="0"/>
                <w:szCs w:val="21"/>
                <w:highlight w:val="none"/>
              </w:rPr>
            </w:pPr>
            <w:r>
              <w:rPr>
                <w:bCs/>
                <w:color w:val="auto"/>
                <w:kern w:val="0"/>
                <w:szCs w:val="21"/>
                <w:highlight w:val="none"/>
              </w:rPr>
              <w:t>环境监测计划只针对运营期提出如下监测计划，运营期的环境监测内容如</w:t>
            </w:r>
            <w:r>
              <w:rPr>
                <w:rFonts w:hint="eastAsia"/>
                <w:bCs/>
                <w:color w:val="auto"/>
                <w:kern w:val="0"/>
                <w:szCs w:val="21"/>
                <w:highlight w:val="none"/>
              </w:rPr>
              <w:t>下表：</w:t>
            </w:r>
          </w:p>
          <w:p w14:paraId="1E44126B">
            <w:pPr>
              <w:adjustRightInd w:val="0"/>
              <w:spacing w:line="240" w:lineRule="auto"/>
              <w:ind w:firstLine="0" w:firstLineChars="0"/>
              <w:jc w:val="center"/>
              <w:rPr>
                <w:rFonts w:hint="eastAsia" w:ascii="Times New Roman" w:hAnsi="Times New Roman" w:eastAsia="宋体" w:cs="Times New Roman"/>
                <w:b/>
                <w:bCs/>
                <w:color w:val="auto"/>
                <w:kern w:val="0"/>
                <w:sz w:val="21"/>
                <w:szCs w:val="21"/>
                <w:highlight w:val="none"/>
              </w:rPr>
            </w:pPr>
            <w:r>
              <w:rPr>
                <w:rFonts w:hint="eastAsia" w:ascii="Times New Roman" w:hAnsi="Times New Roman" w:eastAsia="宋体" w:cs="Times New Roman"/>
                <w:b/>
                <w:bCs/>
                <w:color w:val="auto"/>
                <w:kern w:val="0"/>
                <w:sz w:val="21"/>
                <w:szCs w:val="21"/>
                <w:highlight w:val="none"/>
              </w:rPr>
              <w:t>表5-1  项目运营期环境监测计划表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
              <w:gridCol w:w="346"/>
              <w:gridCol w:w="1432"/>
              <w:gridCol w:w="992"/>
              <w:gridCol w:w="851"/>
              <w:gridCol w:w="992"/>
              <w:gridCol w:w="850"/>
              <w:gridCol w:w="758"/>
              <w:gridCol w:w="1275"/>
            </w:tblGrid>
            <w:tr w14:paraId="2CE9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gridSpan w:val="2"/>
                  <w:tcMar>
                    <w:left w:w="57" w:type="dxa"/>
                    <w:right w:w="57" w:type="dxa"/>
                  </w:tcMar>
                  <w:vAlign w:val="center"/>
                </w:tcPr>
                <w:p w14:paraId="3483448D">
                  <w:pPr>
                    <w:adjustRightInd w:val="0"/>
                    <w:spacing w:line="240" w:lineRule="auto"/>
                    <w:ind w:firstLine="0" w:firstLineChars="0"/>
                    <w:jc w:val="center"/>
                    <w:rPr>
                      <w:b/>
                      <w:bCs/>
                      <w:color w:val="auto"/>
                      <w:sz w:val="21"/>
                      <w:szCs w:val="20"/>
                      <w:highlight w:val="none"/>
                    </w:rPr>
                  </w:pPr>
                  <w:r>
                    <w:rPr>
                      <w:b/>
                      <w:bCs/>
                      <w:color w:val="auto"/>
                      <w:sz w:val="21"/>
                      <w:szCs w:val="20"/>
                      <w:highlight w:val="none"/>
                    </w:rPr>
                    <w:t>内容</w:t>
                  </w:r>
                </w:p>
              </w:tc>
              <w:tc>
                <w:tcPr>
                  <w:tcW w:w="1432" w:type="dxa"/>
                  <w:tcMar>
                    <w:left w:w="57" w:type="dxa"/>
                    <w:right w:w="57" w:type="dxa"/>
                  </w:tcMar>
                  <w:vAlign w:val="center"/>
                </w:tcPr>
                <w:p w14:paraId="2AE9991C">
                  <w:pPr>
                    <w:adjustRightInd w:val="0"/>
                    <w:spacing w:line="240" w:lineRule="auto"/>
                    <w:ind w:firstLine="0" w:firstLineChars="0"/>
                    <w:jc w:val="center"/>
                    <w:rPr>
                      <w:b/>
                      <w:bCs/>
                      <w:color w:val="auto"/>
                      <w:sz w:val="21"/>
                      <w:szCs w:val="20"/>
                      <w:highlight w:val="none"/>
                    </w:rPr>
                  </w:pPr>
                  <w:r>
                    <w:rPr>
                      <w:b/>
                      <w:bCs/>
                      <w:color w:val="auto"/>
                      <w:sz w:val="21"/>
                      <w:szCs w:val="20"/>
                      <w:highlight w:val="none"/>
                    </w:rPr>
                    <w:t>监测地点</w:t>
                  </w:r>
                </w:p>
              </w:tc>
              <w:tc>
                <w:tcPr>
                  <w:tcW w:w="992" w:type="dxa"/>
                  <w:tcMar>
                    <w:left w:w="57" w:type="dxa"/>
                    <w:right w:w="57" w:type="dxa"/>
                  </w:tcMar>
                  <w:vAlign w:val="center"/>
                </w:tcPr>
                <w:p w14:paraId="5EA39060">
                  <w:pPr>
                    <w:adjustRightInd w:val="0"/>
                    <w:spacing w:line="240" w:lineRule="auto"/>
                    <w:ind w:firstLine="0" w:firstLineChars="0"/>
                    <w:jc w:val="center"/>
                    <w:rPr>
                      <w:b/>
                      <w:bCs/>
                      <w:color w:val="auto"/>
                      <w:sz w:val="21"/>
                      <w:szCs w:val="20"/>
                      <w:highlight w:val="none"/>
                    </w:rPr>
                  </w:pPr>
                  <w:r>
                    <w:rPr>
                      <w:b/>
                      <w:bCs/>
                      <w:color w:val="auto"/>
                      <w:sz w:val="21"/>
                      <w:szCs w:val="20"/>
                      <w:highlight w:val="none"/>
                    </w:rPr>
                    <w:t>监测项目</w:t>
                  </w:r>
                </w:p>
              </w:tc>
              <w:tc>
                <w:tcPr>
                  <w:tcW w:w="851" w:type="dxa"/>
                  <w:tcMar>
                    <w:left w:w="57" w:type="dxa"/>
                    <w:right w:w="57" w:type="dxa"/>
                  </w:tcMar>
                  <w:vAlign w:val="center"/>
                </w:tcPr>
                <w:p w14:paraId="43E69E79">
                  <w:pPr>
                    <w:adjustRightInd w:val="0"/>
                    <w:spacing w:line="240" w:lineRule="auto"/>
                    <w:ind w:firstLine="0" w:firstLineChars="0"/>
                    <w:jc w:val="center"/>
                    <w:rPr>
                      <w:b/>
                      <w:bCs/>
                      <w:color w:val="auto"/>
                      <w:sz w:val="21"/>
                      <w:szCs w:val="20"/>
                      <w:highlight w:val="none"/>
                    </w:rPr>
                  </w:pPr>
                  <w:r>
                    <w:rPr>
                      <w:b/>
                      <w:bCs/>
                      <w:color w:val="auto"/>
                      <w:sz w:val="21"/>
                      <w:szCs w:val="20"/>
                      <w:highlight w:val="none"/>
                    </w:rPr>
                    <w:t>监测频次</w:t>
                  </w:r>
                </w:p>
              </w:tc>
              <w:tc>
                <w:tcPr>
                  <w:tcW w:w="992" w:type="dxa"/>
                  <w:tcMar>
                    <w:left w:w="57" w:type="dxa"/>
                    <w:right w:w="57" w:type="dxa"/>
                  </w:tcMar>
                  <w:vAlign w:val="center"/>
                </w:tcPr>
                <w:p w14:paraId="015A5B82">
                  <w:pPr>
                    <w:adjustRightInd w:val="0"/>
                    <w:spacing w:line="240" w:lineRule="auto"/>
                    <w:ind w:firstLine="0" w:firstLineChars="0"/>
                    <w:jc w:val="center"/>
                    <w:rPr>
                      <w:b/>
                      <w:bCs/>
                      <w:color w:val="auto"/>
                      <w:sz w:val="21"/>
                      <w:szCs w:val="20"/>
                      <w:highlight w:val="none"/>
                    </w:rPr>
                  </w:pPr>
                  <w:r>
                    <w:rPr>
                      <w:b/>
                      <w:bCs/>
                      <w:color w:val="auto"/>
                      <w:sz w:val="21"/>
                      <w:szCs w:val="20"/>
                      <w:highlight w:val="none"/>
                    </w:rPr>
                    <w:t>监测时间</w:t>
                  </w:r>
                </w:p>
              </w:tc>
              <w:tc>
                <w:tcPr>
                  <w:tcW w:w="850" w:type="dxa"/>
                  <w:tcMar>
                    <w:left w:w="57" w:type="dxa"/>
                    <w:right w:w="57" w:type="dxa"/>
                  </w:tcMar>
                  <w:vAlign w:val="center"/>
                </w:tcPr>
                <w:p w14:paraId="02752BA6">
                  <w:pPr>
                    <w:adjustRightInd w:val="0"/>
                    <w:spacing w:line="240" w:lineRule="auto"/>
                    <w:ind w:firstLine="0" w:firstLineChars="0"/>
                    <w:jc w:val="center"/>
                    <w:rPr>
                      <w:b/>
                      <w:bCs/>
                      <w:color w:val="auto"/>
                      <w:sz w:val="21"/>
                      <w:szCs w:val="20"/>
                      <w:highlight w:val="none"/>
                    </w:rPr>
                  </w:pPr>
                  <w:r>
                    <w:rPr>
                      <w:b/>
                      <w:bCs/>
                      <w:color w:val="auto"/>
                      <w:sz w:val="21"/>
                      <w:szCs w:val="20"/>
                      <w:highlight w:val="none"/>
                    </w:rPr>
                    <w:t>实施机构</w:t>
                  </w:r>
                </w:p>
              </w:tc>
              <w:tc>
                <w:tcPr>
                  <w:tcW w:w="758" w:type="dxa"/>
                  <w:tcMar>
                    <w:left w:w="57" w:type="dxa"/>
                    <w:right w:w="57" w:type="dxa"/>
                  </w:tcMar>
                  <w:vAlign w:val="center"/>
                </w:tcPr>
                <w:p w14:paraId="6418333B">
                  <w:pPr>
                    <w:adjustRightInd w:val="0"/>
                    <w:spacing w:line="240" w:lineRule="auto"/>
                    <w:ind w:firstLine="0" w:firstLineChars="0"/>
                    <w:jc w:val="center"/>
                    <w:rPr>
                      <w:b/>
                      <w:bCs/>
                      <w:color w:val="auto"/>
                      <w:sz w:val="21"/>
                      <w:szCs w:val="20"/>
                      <w:highlight w:val="none"/>
                    </w:rPr>
                  </w:pPr>
                  <w:r>
                    <w:rPr>
                      <w:b/>
                      <w:bCs/>
                      <w:color w:val="auto"/>
                      <w:sz w:val="21"/>
                      <w:szCs w:val="20"/>
                      <w:highlight w:val="none"/>
                    </w:rPr>
                    <w:t>负责机构</w:t>
                  </w:r>
                </w:p>
              </w:tc>
              <w:tc>
                <w:tcPr>
                  <w:tcW w:w="0" w:type="auto"/>
                  <w:tcMar>
                    <w:left w:w="57" w:type="dxa"/>
                    <w:right w:w="57" w:type="dxa"/>
                  </w:tcMar>
                  <w:vAlign w:val="center"/>
                </w:tcPr>
                <w:p w14:paraId="0F723F0E">
                  <w:pPr>
                    <w:adjustRightInd w:val="0"/>
                    <w:spacing w:line="240" w:lineRule="auto"/>
                    <w:ind w:firstLine="0" w:firstLineChars="0"/>
                    <w:jc w:val="center"/>
                    <w:rPr>
                      <w:b/>
                      <w:bCs/>
                      <w:color w:val="auto"/>
                      <w:sz w:val="21"/>
                      <w:szCs w:val="20"/>
                      <w:highlight w:val="none"/>
                    </w:rPr>
                  </w:pPr>
                  <w:r>
                    <w:rPr>
                      <w:b/>
                      <w:bCs/>
                      <w:color w:val="auto"/>
                      <w:sz w:val="21"/>
                      <w:szCs w:val="20"/>
                      <w:highlight w:val="none"/>
                    </w:rPr>
                    <w:t>监督机构</w:t>
                  </w:r>
                </w:p>
              </w:tc>
            </w:tr>
            <w:tr w14:paraId="06DB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gridSpan w:val="2"/>
                  <w:tcMar>
                    <w:left w:w="57" w:type="dxa"/>
                    <w:right w:w="57" w:type="dxa"/>
                  </w:tcMar>
                  <w:vAlign w:val="center"/>
                </w:tcPr>
                <w:p w14:paraId="1CBBD095">
                  <w:pPr>
                    <w:adjustRightInd w:val="0"/>
                    <w:spacing w:line="240" w:lineRule="auto"/>
                    <w:ind w:firstLine="0" w:firstLineChars="0"/>
                    <w:jc w:val="center"/>
                    <w:rPr>
                      <w:color w:val="auto"/>
                      <w:sz w:val="21"/>
                      <w:szCs w:val="20"/>
                      <w:highlight w:val="none"/>
                    </w:rPr>
                  </w:pPr>
                  <w:r>
                    <w:rPr>
                      <w:color w:val="auto"/>
                      <w:sz w:val="21"/>
                      <w:szCs w:val="20"/>
                      <w:highlight w:val="none"/>
                    </w:rPr>
                    <w:t>声环境</w:t>
                  </w:r>
                </w:p>
              </w:tc>
              <w:tc>
                <w:tcPr>
                  <w:tcW w:w="1432" w:type="dxa"/>
                  <w:tcMar>
                    <w:left w:w="57" w:type="dxa"/>
                    <w:right w:w="57" w:type="dxa"/>
                  </w:tcMar>
                  <w:vAlign w:val="center"/>
                </w:tcPr>
                <w:p w14:paraId="6C3D97D4">
                  <w:pPr>
                    <w:adjustRightInd w:val="0"/>
                    <w:spacing w:line="240" w:lineRule="auto"/>
                    <w:ind w:firstLine="0" w:firstLineChars="0"/>
                    <w:jc w:val="center"/>
                    <w:rPr>
                      <w:color w:val="auto"/>
                      <w:sz w:val="21"/>
                      <w:szCs w:val="20"/>
                      <w:highlight w:val="none"/>
                    </w:rPr>
                  </w:pPr>
                  <w:r>
                    <w:rPr>
                      <w:color w:val="auto"/>
                      <w:sz w:val="21"/>
                      <w:szCs w:val="20"/>
                      <w:highlight w:val="none"/>
                    </w:rPr>
                    <w:t>在项目矿界东南西北厂界各设置一个监测点</w:t>
                  </w:r>
                </w:p>
              </w:tc>
              <w:tc>
                <w:tcPr>
                  <w:tcW w:w="992" w:type="dxa"/>
                  <w:tcMar>
                    <w:left w:w="57" w:type="dxa"/>
                    <w:right w:w="57" w:type="dxa"/>
                  </w:tcMar>
                  <w:vAlign w:val="center"/>
                </w:tcPr>
                <w:p w14:paraId="11F68698">
                  <w:pPr>
                    <w:adjustRightInd w:val="0"/>
                    <w:spacing w:line="240" w:lineRule="auto"/>
                    <w:ind w:firstLine="0" w:firstLineChars="0"/>
                    <w:jc w:val="center"/>
                    <w:rPr>
                      <w:color w:val="auto"/>
                      <w:sz w:val="21"/>
                      <w:szCs w:val="20"/>
                      <w:highlight w:val="none"/>
                    </w:rPr>
                  </w:pPr>
                  <w:r>
                    <w:rPr>
                      <w:color w:val="auto"/>
                      <w:sz w:val="21"/>
                      <w:szCs w:val="20"/>
                      <w:highlight w:val="none"/>
                    </w:rPr>
                    <w:t>LeqA（dB）</w:t>
                  </w:r>
                </w:p>
              </w:tc>
              <w:tc>
                <w:tcPr>
                  <w:tcW w:w="851" w:type="dxa"/>
                  <w:tcMar>
                    <w:left w:w="57" w:type="dxa"/>
                    <w:right w:w="57" w:type="dxa"/>
                  </w:tcMar>
                  <w:vAlign w:val="center"/>
                </w:tcPr>
                <w:p w14:paraId="39964252">
                  <w:pPr>
                    <w:adjustRightInd w:val="0"/>
                    <w:spacing w:line="240" w:lineRule="auto"/>
                    <w:ind w:firstLine="0" w:firstLineChars="0"/>
                    <w:jc w:val="center"/>
                    <w:rPr>
                      <w:color w:val="auto"/>
                      <w:sz w:val="21"/>
                      <w:szCs w:val="20"/>
                      <w:highlight w:val="none"/>
                    </w:rPr>
                  </w:pPr>
                  <w:r>
                    <w:rPr>
                      <w:color w:val="auto"/>
                      <w:sz w:val="21"/>
                      <w:szCs w:val="20"/>
                      <w:highlight w:val="none"/>
                    </w:rPr>
                    <w:t>1次/季</w:t>
                  </w:r>
                </w:p>
              </w:tc>
              <w:tc>
                <w:tcPr>
                  <w:tcW w:w="992" w:type="dxa"/>
                  <w:tcMar>
                    <w:left w:w="57" w:type="dxa"/>
                    <w:right w:w="57" w:type="dxa"/>
                  </w:tcMar>
                  <w:vAlign w:val="center"/>
                </w:tcPr>
                <w:p w14:paraId="547B1A1B">
                  <w:pPr>
                    <w:adjustRightInd w:val="0"/>
                    <w:spacing w:line="240" w:lineRule="auto"/>
                    <w:ind w:firstLine="0" w:firstLineChars="0"/>
                    <w:jc w:val="center"/>
                    <w:rPr>
                      <w:color w:val="auto"/>
                      <w:sz w:val="21"/>
                      <w:szCs w:val="20"/>
                      <w:highlight w:val="none"/>
                    </w:rPr>
                  </w:pPr>
                  <w:r>
                    <w:rPr>
                      <w:color w:val="auto"/>
                      <w:sz w:val="21"/>
                      <w:szCs w:val="20"/>
                      <w:highlight w:val="none"/>
                    </w:rPr>
                    <w:t>连续两天，昼夜各一次</w:t>
                  </w:r>
                </w:p>
              </w:tc>
              <w:tc>
                <w:tcPr>
                  <w:tcW w:w="850" w:type="dxa"/>
                  <w:vMerge w:val="restart"/>
                  <w:tcMar>
                    <w:left w:w="57" w:type="dxa"/>
                    <w:right w:w="57" w:type="dxa"/>
                  </w:tcMar>
                  <w:vAlign w:val="center"/>
                </w:tcPr>
                <w:p w14:paraId="11A5613E">
                  <w:pPr>
                    <w:adjustRightInd w:val="0"/>
                    <w:spacing w:line="240" w:lineRule="auto"/>
                    <w:ind w:firstLine="0" w:firstLineChars="0"/>
                    <w:jc w:val="center"/>
                    <w:rPr>
                      <w:color w:val="auto"/>
                      <w:sz w:val="21"/>
                      <w:szCs w:val="20"/>
                      <w:highlight w:val="none"/>
                    </w:rPr>
                  </w:pPr>
                  <w:r>
                    <w:rPr>
                      <w:color w:val="auto"/>
                      <w:sz w:val="21"/>
                      <w:szCs w:val="20"/>
                      <w:highlight w:val="none"/>
                    </w:rPr>
                    <w:t>自行监测或委托有资质的环境监测单位</w:t>
                  </w:r>
                </w:p>
              </w:tc>
              <w:tc>
                <w:tcPr>
                  <w:tcW w:w="758" w:type="dxa"/>
                  <w:vMerge w:val="restart"/>
                  <w:tcMar>
                    <w:left w:w="57" w:type="dxa"/>
                    <w:right w:w="57" w:type="dxa"/>
                  </w:tcMar>
                  <w:vAlign w:val="center"/>
                </w:tcPr>
                <w:p w14:paraId="10903C6D">
                  <w:pPr>
                    <w:adjustRightInd w:val="0"/>
                    <w:spacing w:line="240" w:lineRule="auto"/>
                    <w:ind w:firstLine="0" w:firstLineChars="0"/>
                    <w:jc w:val="center"/>
                    <w:rPr>
                      <w:color w:val="auto"/>
                      <w:sz w:val="21"/>
                      <w:szCs w:val="20"/>
                      <w:highlight w:val="none"/>
                    </w:rPr>
                  </w:pPr>
                  <w:r>
                    <w:rPr>
                      <w:color w:val="auto"/>
                      <w:sz w:val="21"/>
                      <w:szCs w:val="20"/>
                      <w:highlight w:val="none"/>
                    </w:rPr>
                    <w:t>建设单位</w:t>
                  </w:r>
                </w:p>
              </w:tc>
              <w:tc>
                <w:tcPr>
                  <w:tcW w:w="1275" w:type="dxa"/>
                  <w:vMerge w:val="restart"/>
                  <w:tcMar>
                    <w:left w:w="57" w:type="dxa"/>
                    <w:right w:w="57" w:type="dxa"/>
                  </w:tcMar>
                  <w:vAlign w:val="center"/>
                </w:tcPr>
                <w:p w14:paraId="086ADE38">
                  <w:pPr>
                    <w:adjustRightInd w:val="0"/>
                    <w:spacing w:line="240" w:lineRule="auto"/>
                    <w:ind w:firstLine="0" w:firstLineChars="0"/>
                    <w:jc w:val="center"/>
                    <w:rPr>
                      <w:color w:val="auto"/>
                      <w:sz w:val="21"/>
                      <w:szCs w:val="20"/>
                      <w:highlight w:val="none"/>
                    </w:rPr>
                  </w:pPr>
                  <w:r>
                    <w:rPr>
                      <w:color w:val="auto"/>
                      <w:sz w:val="21"/>
                      <w:szCs w:val="20"/>
                      <w:highlight w:val="none"/>
                    </w:rPr>
                    <w:t>昆明市生态环境局寻甸分局</w:t>
                  </w:r>
                </w:p>
              </w:tc>
            </w:tr>
            <w:tr w14:paraId="7F76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345" w:type="dxa"/>
                  <w:vMerge w:val="restart"/>
                  <w:tcMar>
                    <w:left w:w="57" w:type="dxa"/>
                    <w:right w:w="57" w:type="dxa"/>
                  </w:tcMar>
                  <w:vAlign w:val="center"/>
                </w:tcPr>
                <w:p w14:paraId="36C05674">
                  <w:pPr>
                    <w:adjustRightInd w:val="0"/>
                    <w:spacing w:line="240" w:lineRule="auto"/>
                    <w:ind w:firstLine="0" w:firstLineChars="0"/>
                    <w:jc w:val="center"/>
                    <w:rPr>
                      <w:color w:val="auto"/>
                      <w:sz w:val="21"/>
                      <w:szCs w:val="20"/>
                      <w:highlight w:val="none"/>
                    </w:rPr>
                  </w:pPr>
                  <w:r>
                    <w:rPr>
                      <w:color w:val="auto"/>
                      <w:sz w:val="21"/>
                      <w:szCs w:val="20"/>
                      <w:highlight w:val="none"/>
                    </w:rPr>
                    <w:t>大气环境</w:t>
                  </w:r>
                </w:p>
              </w:tc>
              <w:tc>
                <w:tcPr>
                  <w:tcW w:w="346" w:type="dxa"/>
                  <w:tcMar>
                    <w:left w:w="57" w:type="dxa"/>
                    <w:right w:w="57" w:type="dxa"/>
                  </w:tcMar>
                  <w:vAlign w:val="center"/>
                </w:tcPr>
                <w:p w14:paraId="4EA9CACC">
                  <w:pPr>
                    <w:adjustRightInd w:val="0"/>
                    <w:spacing w:line="240" w:lineRule="auto"/>
                    <w:ind w:firstLine="0" w:firstLineChars="0"/>
                    <w:jc w:val="center"/>
                    <w:rPr>
                      <w:rFonts w:hint="eastAsia" w:eastAsia="宋体"/>
                      <w:color w:val="auto"/>
                      <w:sz w:val="21"/>
                      <w:szCs w:val="20"/>
                      <w:highlight w:val="none"/>
                      <w:lang w:val="en-US" w:eastAsia="zh-CN"/>
                    </w:rPr>
                  </w:pPr>
                  <w:r>
                    <w:rPr>
                      <w:rFonts w:hint="eastAsia"/>
                      <w:color w:val="auto"/>
                      <w:sz w:val="21"/>
                      <w:szCs w:val="20"/>
                      <w:highlight w:val="none"/>
                      <w:lang w:val="en-US" w:eastAsia="zh-CN"/>
                    </w:rPr>
                    <w:t>有组织</w:t>
                  </w:r>
                </w:p>
              </w:tc>
              <w:tc>
                <w:tcPr>
                  <w:tcW w:w="1432" w:type="dxa"/>
                  <w:tcMar>
                    <w:left w:w="57" w:type="dxa"/>
                    <w:right w:w="57" w:type="dxa"/>
                  </w:tcMar>
                  <w:vAlign w:val="center"/>
                </w:tcPr>
                <w:p w14:paraId="0BC175B6">
                  <w:pPr>
                    <w:adjustRightInd w:val="0"/>
                    <w:spacing w:line="240" w:lineRule="auto"/>
                    <w:ind w:firstLine="0" w:firstLineChars="0"/>
                    <w:jc w:val="center"/>
                    <w:rPr>
                      <w:color w:val="auto"/>
                      <w:sz w:val="21"/>
                      <w:szCs w:val="20"/>
                      <w:highlight w:val="none"/>
                    </w:rPr>
                  </w:pPr>
                  <w:r>
                    <w:rPr>
                      <w:rFonts w:hint="eastAsia"/>
                      <w:color w:val="auto"/>
                      <w:sz w:val="21"/>
                      <w:szCs w:val="20"/>
                      <w:highlight w:val="none"/>
                    </w:rPr>
                    <w:t>DA001排气筒</w:t>
                  </w:r>
                </w:p>
              </w:tc>
              <w:tc>
                <w:tcPr>
                  <w:tcW w:w="992" w:type="dxa"/>
                  <w:tcMar>
                    <w:left w:w="57" w:type="dxa"/>
                    <w:right w:w="57" w:type="dxa"/>
                  </w:tcMar>
                  <w:vAlign w:val="center"/>
                </w:tcPr>
                <w:p w14:paraId="17CD8B3B">
                  <w:pPr>
                    <w:adjustRightInd w:val="0"/>
                    <w:spacing w:line="240" w:lineRule="auto"/>
                    <w:ind w:firstLine="0" w:firstLineChars="0"/>
                    <w:jc w:val="center"/>
                    <w:rPr>
                      <w:color w:val="auto"/>
                      <w:sz w:val="21"/>
                      <w:szCs w:val="20"/>
                      <w:highlight w:val="none"/>
                    </w:rPr>
                  </w:pPr>
                  <w:r>
                    <w:rPr>
                      <w:color w:val="auto"/>
                      <w:sz w:val="21"/>
                      <w:szCs w:val="20"/>
                      <w:highlight w:val="none"/>
                    </w:rPr>
                    <w:t>TSP</w:t>
                  </w:r>
                </w:p>
              </w:tc>
              <w:tc>
                <w:tcPr>
                  <w:tcW w:w="851" w:type="dxa"/>
                  <w:tcMar>
                    <w:left w:w="57" w:type="dxa"/>
                    <w:right w:w="57" w:type="dxa"/>
                  </w:tcMar>
                  <w:vAlign w:val="center"/>
                </w:tcPr>
                <w:p w14:paraId="43630E2E">
                  <w:pPr>
                    <w:adjustRightInd w:val="0"/>
                    <w:spacing w:line="240" w:lineRule="auto"/>
                    <w:ind w:firstLine="0" w:firstLineChars="0"/>
                    <w:jc w:val="center"/>
                    <w:rPr>
                      <w:color w:val="auto"/>
                      <w:sz w:val="21"/>
                      <w:szCs w:val="20"/>
                      <w:highlight w:val="none"/>
                    </w:rPr>
                  </w:pPr>
                  <w:r>
                    <w:rPr>
                      <w:rFonts w:hint="eastAsia"/>
                      <w:color w:val="auto"/>
                      <w:sz w:val="21"/>
                      <w:szCs w:val="20"/>
                      <w:highlight w:val="none"/>
                    </w:rPr>
                    <w:t>1次/年</w:t>
                  </w:r>
                </w:p>
              </w:tc>
              <w:tc>
                <w:tcPr>
                  <w:tcW w:w="992" w:type="dxa"/>
                  <w:tcMar>
                    <w:left w:w="57" w:type="dxa"/>
                    <w:right w:w="57" w:type="dxa"/>
                  </w:tcMar>
                  <w:vAlign w:val="center"/>
                </w:tcPr>
                <w:p w14:paraId="4A23D9F2">
                  <w:pPr>
                    <w:adjustRightInd w:val="0"/>
                    <w:spacing w:line="240" w:lineRule="auto"/>
                    <w:ind w:firstLine="0" w:firstLineChars="0"/>
                    <w:jc w:val="center"/>
                    <w:rPr>
                      <w:color w:val="auto"/>
                      <w:sz w:val="21"/>
                      <w:szCs w:val="20"/>
                      <w:highlight w:val="none"/>
                    </w:rPr>
                  </w:pPr>
                  <w:r>
                    <w:rPr>
                      <w:color w:val="auto"/>
                      <w:sz w:val="21"/>
                      <w:szCs w:val="20"/>
                      <w:highlight w:val="none"/>
                    </w:rPr>
                    <w:t>连续监测3天</w:t>
                  </w:r>
                </w:p>
              </w:tc>
              <w:tc>
                <w:tcPr>
                  <w:tcW w:w="850" w:type="dxa"/>
                  <w:vMerge w:val="continue"/>
                  <w:tcMar>
                    <w:left w:w="57" w:type="dxa"/>
                    <w:right w:w="57" w:type="dxa"/>
                  </w:tcMar>
                  <w:vAlign w:val="center"/>
                </w:tcPr>
                <w:p w14:paraId="5C6CED95">
                  <w:pPr>
                    <w:widowControl/>
                    <w:spacing w:line="240" w:lineRule="auto"/>
                    <w:ind w:firstLine="0" w:firstLineChars="0"/>
                    <w:jc w:val="left"/>
                    <w:rPr>
                      <w:color w:val="auto"/>
                      <w:sz w:val="21"/>
                      <w:szCs w:val="20"/>
                      <w:highlight w:val="none"/>
                    </w:rPr>
                  </w:pPr>
                </w:p>
              </w:tc>
              <w:tc>
                <w:tcPr>
                  <w:tcW w:w="758" w:type="dxa"/>
                  <w:vMerge w:val="continue"/>
                  <w:tcMar>
                    <w:left w:w="57" w:type="dxa"/>
                    <w:right w:w="57" w:type="dxa"/>
                  </w:tcMar>
                  <w:vAlign w:val="center"/>
                </w:tcPr>
                <w:p w14:paraId="59E350B5">
                  <w:pPr>
                    <w:widowControl/>
                    <w:spacing w:line="240" w:lineRule="auto"/>
                    <w:ind w:firstLine="0" w:firstLineChars="0"/>
                    <w:jc w:val="left"/>
                    <w:rPr>
                      <w:color w:val="auto"/>
                      <w:sz w:val="21"/>
                      <w:szCs w:val="20"/>
                      <w:highlight w:val="none"/>
                    </w:rPr>
                  </w:pPr>
                </w:p>
              </w:tc>
              <w:tc>
                <w:tcPr>
                  <w:tcW w:w="1275" w:type="dxa"/>
                  <w:vMerge w:val="continue"/>
                  <w:tcMar>
                    <w:left w:w="57" w:type="dxa"/>
                    <w:right w:w="57" w:type="dxa"/>
                  </w:tcMar>
                  <w:vAlign w:val="center"/>
                </w:tcPr>
                <w:p w14:paraId="009C18F5">
                  <w:pPr>
                    <w:widowControl/>
                    <w:spacing w:line="240" w:lineRule="auto"/>
                    <w:ind w:firstLine="0" w:firstLineChars="0"/>
                    <w:jc w:val="left"/>
                    <w:rPr>
                      <w:color w:val="auto"/>
                      <w:sz w:val="21"/>
                      <w:szCs w:val="20"/>
                      <w:highlight w:val="none"/>
                    </w:rPr>
                  </w:pPr>
                </w:p>
              </w:tc>
            </w:tr>
            <w:tr w14:paraId="4B1C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345" w:type="dxa"/>
                  <w:vMerge w:val="continue"/>
                  <w:tcMar>
                    <w:left w:w="57" w:type="dxa"/>
                    <w:right w:w="57" w:type="dxa"/>
                  </w:tcMar>
                  <w:vAlign w:val="center"/>
                </w:tcPr>
                <w:p w14:paraId="6D55D827">
                  <w:pPr>
                    <w:adjustRightInd w:val="0"/>
                    <w:spacing w:line="240" w:lineRule="auto"/>
                    <w:ind w:firstLine="0" w:firstLineChars="0"/>
                    <w:jc w:val="center"/>
                    <w:rPr>
                      <w:color w:val="auto"/>
                      <w:sz w:val="21"/>
                      <w:szCs w:val="20"/>
                      <w:highlight w:val="none"/>
                    </w:rPr>
                  </w:pPr>
                </w:p>
              </w:tc>
              <w:tc>
                <w:tcPr>
                  <w:tcW w:w="346" w:type="dxa"/>
                  <w:tcMar>
                    <w:left w:w="57" w:type="dxa"/>
                    <w:right w:w="57" w:type="dxa"/>
                  </w:tcMar>
                  <w:vAlign w:val="center"/>
                </w:tcPr>
                <w:p w14:paraId="20A57E03">
                  <w:pPr>
                    <w:adjustRightInd w:val="0"/>
                    <w:spacing w:line="240" w:lineRule="auto"/>
                    <w:ind w:firstLine="0" w:firstLineChars="0"/>
                    <w:jc w:val="center"/>
                    <w:rPr>
                      <w:rFonts w:hint="eastAsia" w:eastAsia="宋体"/>
                      <w:color w:val="auto"/>
                      <w:sz w:val="21"/>
                      <w:szCs w:val="20"/>
                      <w:highlight w:val="none"/>
                      <w:lang w:val="en-US" w:eastAsia="zh-CN"/>
                    </w:rPr>
                  </w:pPr>
                  <w:r>
                    <w:rPr>
                      <w:rFonts w:hint="eastAsia"/>
                      <w:color w:val="auto"/>
                      <w:sz w:val="21"/>
                      <w:szCs w:val="20"/>
                      <w:highlight w:val="none"/>
                      <w:lang w:val="en-US" w:eastAsia="zh-CN"/>
                    </w:rPr>
                    <w:t>厂界</w:t>
                  </w:r>
                </w:p>
              </w:tc>
              <w:tc>
                <w:tcPr>
                  <w:tcW w:w="1432" w:type="dxa"/>
                  <w:tcMar>
                    <w:left w:w="57" w:type="dxa"/>
                    <w:right w:w="57" w:type="dxa"/>
                  </w:tcMar>
                  <w:vAlign w:val="center"/>
                </w:tcPr>
                <w:p w14:paraId="37D80814">
                  <w:pPr>
                    <w:adjustRightInd w:val="0"/>
                    <w:spacing w:line="240" w:lineRule="auto"/>
                    <w:ind w:firstLine="0" w:firstLineChars="0"/>
                    <w:jc w:val="center"/>
                    <w:rPr>
                      <w:color w:val="auto"/>
                      <w:sz w:val="21"/>
                      <w:szCs w:val="20"/>
                      <w:highlight w:val="none"/>
                    </w:rPr>
                  </w:pPr>
                  <w:r>
                    <w:rPr>
                      <w:rFonts w:hint="eastAsia"/>
                      <w:color w:val="auto"/>
                      <w:sz w:val="21"/>
                      <w:szCs w:val="20"/>
                      <w:highlight w:val="none"/>
                      <w:lang w:val="en-US" w:eastAsia="zh-CN"/>
                    </w:rPr>
                    <w:t>项目区</w:t>
                  </w:r>
                  <w:r>
                    <w:rPr>
                      <w:color w:val="auto"/>
                      <w:sz w:val="21"/>
                      <w:szCs w:val="20"/>
                      <w:highlight w:val="none"/>
                    </w:rPr>
                    <w:t>上风向1个点，下风向3个点</w:t>
                  </w:r>
                </w:p>
              </w:tc>
              <w:tc>
                <w:tcPr>
                  <w:tcW w:w="992" w:type="dxa"/>
                  <w:tcMar>
                    <w:left w:w="57" w:type="dxa"/>
                    <w:right w:w="57" w:type="dxa"/>
                  </w:tcMar>
                  <w:vAlign w:val="center"/>
                </w:tcPr>
                <w:p w14:paraId="0E1C76E2">
                  <w:pPr>
                    <w:adjustRightInd w:val="0"/>
                    <w:spacing w:line="240" w:lineRule="auto"/>
                    <w:ind w:firstLine="0" w:firstLineChars="0"/>
                    <w:jc w:val="center"/>
                    <w:rPr>
                      <w:color w:val="auto"/>
                      <w:sz w:val="21"/>
                      <w:szCs w:val="20"/>
                      <w:highlight w:val="none"/>
                    </w:rPr>
                  </w:pPr>
                  <w:r>
                    <w:rPr>
                      <w:color w:val="auto"/>
                      <w:sz w:val="21"/>
                      <w:szCs w:val="20"/>
                      <w:highlight w:val="none"/>
                    </w:rPr>
                    <w:t>TSP</w:t>
                  </w:r>
                </w:p>
              </w:tc>
              <w:tc>
                <w:tcPr>
                  <w:tcW w:w="851" w:type="dxa"/>
                  <w:tcMar>
                    <w:left w:w="57" w:type="dxa"/>
                    <w:right w:w="57" w:type="dxa"/>
                  </w:tcMar>
                  <w:vAlign w:val="center"/>
                </w:tcPr>
                <w:p w14:paraId="4EDFE246">
                  <w:pPr>
                    <w:adjustRightInd w:val="0"/>
                    <w:spacing w:line="240" w:lineRule="auto"/>
                    <w:ind w:firstLine="0" w:firstLineChars="0"/>
                    <w:jc w:val="center"/>
                    <w:rPr>
                      <w:color w:val="auto"/>
                      <w:sz w:val="21"/>
                      <w:szCs w:val="20"/>
                      <w:highlight w:val="none"/>
                    </w:rPr>
                  </w:pPr>
                  <w:r>
                    <w:rPr>
                      <w:rFonts w:hint="eastAsia"/>
                      <w:color w:val="auto"/>
                      <w:sz w:val="21"/>
                      <w:szCs w:val="20"/>
                      <w:highlight w:val="none"/>
                    </w:rPr>
                    <w:t>1次/年</w:t>
                  </w:r>
                </w:p>
              </w:tc>
              <w:tc>
                <w:tcPr>
                  <w:tcW w:w="992" w:type="dxa"/>
                  <w:tcMar>
                    <w:left w:w="57" w:type="dxa"/>
                    <w:right w:w="57" w:type="dxa"/>
                  </w:tcMar>
                  <w:vAlign w:val="center"/>
                </w:tcPr>
                <w:p w14:paraId="6BB8FF1A">
                  <w:pPr>
                    <w:adjustRightInd w:val="0"/>
                    <w:spacing w:line="240" w:lineRule="auto"/>
                    <w:ind w:firstLine="0" w:firstLineChars="0"/>
                    <w:jc w:val="center"/>
                    <w:rPr>
                      <w:color w:val="auto"/>
                      <w:sz w:val="21"/>
                      <w:szCs w:val="20"/>
                      <w:highlight w:val="none"/>
                    </w:rPr>
                  </w:pPr>
                  <w:r>
                    <w:rPr>
                      <w:color w:val="auto"/>
                      <w:sz w:val="21"/>
                      <w:szCs w:val="20"/>
                      <w:highlight w:val="none"/>
                    </w:rPr>
                    <w:t>连续监测3天</w:t>
                  </w:r>
                </w:p>
              </w:tc>
              <w:tc>
                <w:tcPr>
                  <w:tcW w:w="850" w:type="dxa"/>
                  <w:vMerge w:val="continue"/>
                  <w:tcMar>
                    <w:left w:w="57" w:type="dxa"/>
                    <w:right w:w="57" w:type="dxa"/>
                  </w:tcMar>
                  <w:vAlign w:val="center"/>
                </w:tcPr>
                <w:p w14:paraId="0115B7DD">
                  <w:pPr>
                    <w:widowControl/>
                    <w:spacing w:line="240" w:lineRule="auto"/>
                    <w:ind w:firstLine="0" w:firstLineChars="0"/>
                    <w:jc w:val="left"/>
                    <w:rPr>
                      <w:color w:val="auto"/>
                      <w:sz w:val="21"/>
                      <w:szCs w:val="20"/>
                      <w:highlight w:val="none"/>
                    </w:rPr>
                  </w:pPr>
                </w:p>
              </w:tc>
              <w:tc>
                <w:tcPr>
                  <w:tcW w:w="758" w:type="dxa"/>
                  <w:vMerge w:val="continue"/>
                  <w:tcMar>
                    <w:left w:w="57" w:type="dxa"/>
                    <w:right w:w="57" w:type="dxa"/>
                  </w:tcMar>
                  <w:vAlign w:val="center"/>
                </w:tcPr>
                <w:p w14:paraId="3EF7B1AC">
                  <w:pPr>
                    <w:widowControl/>
                    <w:spacing w:line="240" w:lineRule="auto"/>
                    <w:ind w:firstLine="0" w:firstLineChars="0"/>
                    <w:jc w:val="left"/>
                    <w:rPr>
                      <w:color w:val="auto"/>
                      <w:sz w:val="21"/>
                      <w:szCs w:val="20"/>
                      <w:highlight w:val="none"/>
                    </w:rPr>
                  </w:pPr>
                </w:p>
              </w:tc>
              <w:tc>
                <w:tcPr>
                  <w:tcW w:w="1275" w:type="dxa"/>
                  <w:vMerge w:val="continue"/>
                  <w:tcMar>
                    <w:left w:w="57" w:type="dxa"/>
                    <w:right w:w="57" w:type="dxa"/>
                  </w:tcMar>
                  <w:vAlign w:val="center"/>
                </w:tcPr>
                <w:p w14:paraId="7C6807C0">
                  <w:pPr>
                    <w:widowControl/>
                    <w:spacing w:line="240" w:lineRule="auto"/>
                    <w:ind w:firstLine="0" w:firstLineChars="0"/>
                    <w:jc w:val="left"/>
                    <w:rPr>
                      <w:color w:val="auto"/>
                      <w:sz w:val="21"/>
                      <w:szCs w:val="20"/>
                      <w:highlight w:val="none"/>
                    </w:rPr>
                  </w:pPr>
                </w:p>
              </w:tc>
            </w:tr>
          </w:tbl>
          <w:p w14:paraId="723818CD">
            <w:pPr>
              <w:pStyle w:val="13"/>
              <w:spacing w:before="156" w:beforeLines="50" w:line="360" w:lineRule="auto"/>
              <w:ind w:firstLine="482" w:firstLineChars="200"/>
              <w:rPr>
                <w:rFonts w:ascii="Times New Roman" w:hAnsi="Times New Roman"/>
                <w:b/>
                <w:bCs/>
                <w:color w:val="auto"/>
                <w:sz w:val="24"/>
                <w:szCs w:val="24"/>
                <w:highlight w:val="none"/>
              </w:rPr>
            </w:pPr>
            <w:r>
              <w:rPr>
                <w:rFonts w:hint="eastAsia" w:ascii="Times New Roman" w:hAnsi="Times New Roman"/>
                <w:b/>
                <w:bCs/>
                <w:color w:val="auto"/>
                <w:sz w:val="24"/>
                <w:szCs w:val="24"/>
                <w:highlight w:val="none"/>
              </w:rPr>
              <w:t>2、</w:t>
            </w:r>
            <w:r>
              <w:rPr>
                <w:rFonts w:ascii="Times New Roman" w:hAnsi="Times New Roman"/>
                <w:b/>
                <w:bCs/>
                <w:color w:val="auto"/>
                <w:sz w:val="24"/>
                <w:szCs w:val="24"/>
                <w:highlight w:val="none"/>
              </w:rPr>
              <w:t>“</w:t>
            </w:r>
            <w:r>
              <w:rPr>
                <w:rFonts w:hint="eastAsia" w:ascii="Times New Roman" w:hAnsi="Times New Roman"/>
                <w:b/>
                <w:bCs/>
                <w:color w:val="auto"/>
                <w:sz w:val="24"/>
                <w:szCs w:val="24"/>
                <w:highlight w:val="none"/>
              </w:rPr>
              <w:t>三本账</w:t>
            </w:r>
            <w:r>
              <w:rPr>
                <w:rFonts w:ascii="Times New Roman" w:hAnsi="Times New Roman"/>
                <w:b/>
                <w:bCs/>
                <w:color w:val="auto"/>
                <w:sz w:val="24"/>
                <w:szCs w:val="24"/>
                <w:highlight w:val="none"/>
              </w:rPr>
              <w:t>”核算</w:t>
            </w:r>
          </w:p>
          <w:p w14:paraId="6D1C70AC">
            <w:pPr>
              <w:ind w:firstLine="480"/>
              <w:textAlignment w:val="baseline"/>
              <w:rPr>
                <w:color w:val="auto"/>
                <w:sz w:val="21"/>
                <w:szCs w:val="21"/>
                <w:highlight w:val="none"/>
              </w:rPr>
            </w:pPr>
            <w:r>
              <w:rPr>
                <w:rFonts w:hint="eastAsia"/>
                <w:color w:val="auto"/>
                <w:szCs w:val="24"/>
                <w:highlight w:val="none"/>
              </w:rPr>
              <w:t>本次扩建，在</w:t>
            </w:r>
            <w:r>
              <w:rPr>
                <w:rFonts w:hint="eastAsia"/>
                <w:color w:val="auto"/>
                <w:szCs w:val="24"/>
                <w:highlight w:val="none"/>
                <w:lang w:val="en-US" w:eastAsia="zh-CN"/>
              </w:rPr>
              <w:t>矿权范围</w:t>
            </w:r>
            <w:r>
              <w:rPr>
                <w:rFonts w:hint="eastAsia"/>
                <w:color w:val="auto"/>
                <w:szCs w:val="24"/>
                <w:highlight w:val="none"/>
              </w:rPr>
              <w:t>不变情况下，主要是通过</w:t>
            </w:r>
            <w:r>
              <w:rPr>
                <w:rFonts w:hint="eastAsia"/>
                <w:color w:val="auto"/>
                <w:szCs w:val="24"/>
                <w:highlight w:val="none"/>
                <w:lang w:val="en-US" w:eastAsia="zh-CN"/>
              </w:rPr>
              <w:t>增加开采设备</w:t>
            </w:r>
            <w:r>
              <w:rPr>
                <w:rFonts w:hint="eastAsia"/>
                <w:color w:val="auto"/>
                <w:highlight w:val="none"/>
              </w:rPr>
              <w:t>实现</w:t>
            </w:r>
            <w:r>
              <w:rPr>
                <w:rFonts w:hint="eastAsia"/>
                <w:color w:val="auto"/>
                <w:highlight w:val="none"/>
                <w:lang w:val="en-US" w:eastAsia="zh-CN"/>
              </w:rPr>
              <w:t>50</w:t>
            </w:r>
            <w:r>
              <w:rPr>
                <w:color w:val="auto"/>
                <w:highlight w:val="none"/>
              </w:rPr>
              <w:t>万t/a</w:t>
            </w:r>
            <w:r>
              <w:rPr>
                <w:rFonts w:hint="eastAsia"/>
                <w:color w:val="auto"/>
                <w:szCs w:val="24"/>
                <w:highlight w:val="none"/>
                <w:lang w:val="en-US" w:eastAsia="zh-CN"/>
              </w:rPr>
              <w:t>开采规模</w:t>
            </w:r>
            <w:r>
              <w:rPr>
                <w:color w:val="auto"/>
                <w:highlight w:val="none"/>
              </w:rPr>
              <w:t>，项目改扩建成后</w:t>
            </w:r>
            <w:r>
              <w:rPr>
                <w:rFonts w:hint="eastAsia"/>
                <w:color w:val="auto"/>
                <w:highlight w:val="none"/>
              </w:rPr>
              <w:t>“</w:t>
            </w:r>
            <w:r>
              <w:rPr>
                <w:color w:val="auto"/>
                <w:highlight w:val="none"/>
              </w:rPr>
              <w:t>三废</w:t>
            </w:r>
            <w:r>
              <w:rPr>
                <w:rFonts w:hint="eastAsia"/>
                <w:color w:val="auto"/>
                <w:highlight w:val="none"/>
              </w:rPr>
              <w:t>”</w:t>
            </w:r>
            <w:r>
              <w:rPr>
                <w:color w:val="auto"/>
                <w:highlight w:val="none"/>
              </w:rPr>
              <w:t>排放将发生变化，具体情况见下表。</w:t>
            </w:r>
          </w:p>
          <w:p w14:paraId="3436505A">
            <w:pPr>
              <w:adjustRightInd w:val="0"/>
              <w:spacing w:line="240" w:lineRule="auto"/>
              <w:ind w:firstLine="0" w:firstLineChars="0"/>
              <w:jc w:val="center"/>
              <w:rPr>
                <w:b/>
                <w:bCs/>
                <w:snapToGrid w:val="0"/>
                <w:color w:val="auto"/>
                <w:kern w:val="0"/>
                <w:sz w:val="21"/>
                <w:szCs w:val="21"/>
              </w:rPr>
            </w:pPr>
            <w:r>
              <w:rPr>
                <w:rFonts w:hint="eastAsia"/>
                <w:b/>
                <w:bCs/>
                <w:snapToGrid w:val="0"/>
                <w:color w:val="auto"/>
                <w:kern w:val="0"/>
                <w:sz w:val="21"/>
                <w:szCs w:val="21"/>
              </w:rPr>
              <w:t>表5-</w:t>
            </w:r>
            <w:r>
              <w:rPr>
                <w:rFonts w:hint="eastAsia"/>
                <w:b/>
                <w:bCs/>
                <w:snapToGrid w:val="0"/>
                <w:color w:val="auto"/>
                <w:kern w:val="0"/>
                <w:sz w:val="21"/>
                <w:szCs w:val="21"/>
                <w:lang w:val="en-US" w:eastAsia="zh-CN"/>
              </w:rPr>
              <w:t>2</w:t>
            </w:r>
            <w:r>
              <w:rPr>
                <w:rFonts w:hint="eastAsia"/>
                <w:b/>
                <w:bCs/>
                <w:snapToGrid w:val="0"/>
                <w:color w:val="auto"/>
                <w:kern w:val="0"/>
                <w:sz w:val="21"/>
                <w:szCs w:val="21"/>
              </w:rPr>
              <w:t xml:space="preserve"> 项目建成后主要污染物排放“三本账”情况一览表</w:t>
            </w:r>
          </w:p>
          <w:tbl>
            <w:tblPr>
              <w:tblStyle w:val="30"/>
              <w:tblW w:w="4979"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23"/>
              <w:gridCol w:w="1449"/>
              <w:gridCol w:w="898"/>
              <w:gridCol w:w="1002"/>
              <w:gridCol w:w="1199"/>
              <w:gridCol w:w="1411"/>
              <w:gridCol w:w="1231"/>
            </w:tblGrid>
            <w:tr w14:paraId="7F0CCE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12" w:hRule="atLeast"/>
                <w:jc w:val="center"/>
              </w:trPr>
              <w:tc>
                <w:tcPr>
                  <w:tcW w:w="399" w:type="pct"/>
                  <w:vMerge w:val="restart"/>
                  <w:tcBorders>
                    <w:top w:val="single" w:color="auto" w:sz="2" w:space="0"/>
                    <w:left w:val="single" w:color="auto" w:sz="2" w:space="0"/>
                    <w:bottom w:val="single" w:color="auto" w:sz="2" w:space="0"/>
                    <w:right w:val="single" w:color="auto" w:sz="2" w:space="0"/>
                  </w:tcBorders>
                  <w:vAlign w:val="center"/>
                </w:tcPr>
                <w:p w14:paraId="22B56F3A">
                  <w:pPr>
                    <w:adjustRightInd w:val="0"/>
                    <w:spacing w:line="360" w:lineRule="exact"/>
                    <w:ind w:firstLine="0" w:firstLineChars="0"/>
                    <w:jc w:val="center"/>
                    <w:rPr>
                      <w:bCs/>
                      <w:color w:val="auto"/>
                      <w:spacing w:val="-10"/>
                      <w:sz w:val="21"/>
                      <w:szCs w:val="21"/>
                    </w:rPr>
                  </w:pPr>
                  <w:r>
                    <w:rPr>
                      <w:b/>
                      <w:color w:val="auto"/>
                      <w:spacing w:val="-10"/>
                      <w:sz w:val="21"/>
                      <w:szCs w:val="21"/>
                    </w:rPr>
                    <w:t>类别</w:t>
                  </w:r>
                </w:p>
              </w:tc>
              <w:tc>
                <w:tcPr>
                  <w:tcW w:w="927" w:type="pct"/>
                  <w:vMerge w:val="restart"/>
                  <w:tcBorders>
                    <w:top w:val="single" w:color="auto" w:sz="2" w:space="0"/>
                    <w:left w:val="single" w:color="auto" w:sz="2" w:space="0"/>
                    <w:bottom w:val="single" w:color="auto" w:sz="2" w:space="0"/>
                    <w:right w:val="single" w:color="auto" w:sz="2" w:space="0"/>
                  </w:tcBorders>
                  <w:vAlign w:val="center"/>
                </w:tcPr>
                <w:p w14:paraId="2578D871">
                  <w:pPr>
                    <w:adjustRightInd w:val="0"/>
                    <w:spacing w:line="360" w:lineRule="exact"/>
                    <w:ind w:firstLine="0" w:firstLineChars="0"/>
                    <w:jc w:val="center"/>
                    <w:rPr>
                      <w:b/>
                      <w:color w:val="auto"/>
                      <w:spacing w:val="-10"/>
                      <w:sz w:val="21"/>
                      <w:szCs w:val="21"/>
                    </w:rPr>
                  </w:pPr>
                  <w:r>
                    <w:rPr>
                      <w:b/>
                      <w:color w:val="auto"/>
                      <w:spacing w:val="-10"/>
                      <w:sz w:val="21"/>
                      <w:szCs w:val="21"/>
                    </w:rPr>
                    <w:t>项目</w:t>
                  </w:r>
                </w:p>
              </w:tc>
              <w:tc>
                <w:tcPr>
                  <w:tcW w:w="575" w:type="pct"/>
                  <w:tcBorders>
                    <w:top w:val="single" w:color="auto" w:sz="2" w:space="0"/>
                    <w:left w:val="single" w:color="auto" w:sz="2" w:space="0"/>
                    <w:bottom w:val="single" w:color="auto" w:sz="2" w:space="0"/>
                    <w:right w:val="single" w:color="auto" w:sz="2" w:space="0"/>
                  </w:tcBorders>
                  <w:vAlign w:val="center"/>
                </w:tcPr>
                <w:p w14:paraId="28142EC2">
                  <w:pPr>
                    <w:adjustRightInd w:val="0"/>
                    <w:spacing w:line="360" w:lineRule="exact"/>
                    <w:ind w:firstLine="0" w:firstLineChars="0"/>
                    <w:jc w:val="center"/>
                    <w:rPr>
                      <w:b/>
                      <w:color w:val="auto"/>
                      <w:spacing w:val="-10"/>
                      <w:sz w:val="21"/>
                      <w:szCs w:val="21"/>
                    </w:rPr>
                  </w:pPr>
                  <w:r>
                    <w:rPr>
                      <w:b/>
                      <w:color w:val="auto"/>
                      <w:spacing w:val="-10"/>
                      <w:sz w:val="21"/>
                      <w:szCs w:val="21"/>
                    </w:rPr>
                    <w:t>现有工程</w:t>
                  </w:r>
                </w:p>
              </w:tc>
              <w:tc>
                <w:tcPr>
                  <w:tcW w:w="641" w:type="pct"/>
                  <w:tcBorders>
                    <w:top w:val="single" w:color="auto" w:sz="2" w:space="0"/>
                    <w:left w:val="single" w:color="auto" w:sz="2" w:space="0"/>
                    <w:bottom w:val="single" w:color="auto" w:sz="2" w:space="0"/>
                    <w:right w:val="single" w:color="auto" w:sz="2" w:space="0"/>
                  </w:tcBorders>
                  <w:vAlign w:val="center"/>
                </w:tcPr>
                <w:p w14:paraId="29529BCC">
                  <w:pPr>
                    <w:adjustRightInd w:val="0"/>
                    <w:spacing w:line="360" w:lineRule="exact"/>
                    <w:ind w:firstLine="0" w:firstLineChars="0"/>
                    <w:jc w:val="center"/>
                    <w:rPr>
                      <w:b/>
                      <w:color w:val="auto"/>
                      <w:spacing w:val="-10"/>
                      <w:sz w:val="21"/>
                      <w:szCs w:val="21"/>
                    </w:rPr>
                  </w:pPr>
                  <w:r>
                    <w:rPr>
                      <w:b/>
                      <w:color w:val="auto"/>
                      <w:spacing w:val="-10"/>
                      <w:sz w:val="21"/>
                      <w:szCs w:val="21"/>
                    </w:rPr>
                    <w:t>本工程（拟建）</w:t>
                  </w:r>
                </w:p>
              </w:tc>
              <w:tc>
                <w:tcPr>
                  <w:tcW w:w="2455" w:type="pct"/>
                  <w:gridSpan w:val="3"/>
                  <w:tcBorders>
                    <w:top w:val="single" w:color="auto" w:sz="2" w:space="0"/>
                    <w:left w:val="single" w:color="auto" w:sz="2" w:space="0"/>
                    <w:bottom w:val="single" w:color="auto" w:sz="2" w:space="0"/>
                    <w:right w:val="single" w:color="auto" w:sz="2" w:space="0"/>
                  </w:tcBorders>
                  <w:vAlign w:val="center"/>
                </w:tcPr>
                <w:p w14:paraId="612FBA59">
                  <w:pPr>
                    <w:adjustRightInd w:val="0"/>
                    <w:spacing w:line="360" w:lineRule="exact"/>
                    <w:ind w:firstLine="0" w:firstLineChars="0"/>
                    <w:jc w:val="center"/>
                    <w:rPr>
                      <w:b/>
                      <w:color w:val="auto"/>
                      <w:spacing w:val="-10"/>
                      <w:sz w:val="21"/>
                      <w:szCs w:val="21"/>
                    </w:rPr>
                  </w:pPr>
                  <w:r>
                    <w:rPr>
                      <w:b/>
                      <w:color w:val="auto"/>
                      <w:spacing w:val="-10"/>
                      <w:sz w:val="21"/>
                      <w:szCs w:val="21"/>
                    </w:rPr>
                    <w:t>总体工程</w:t>
                  </w:r>
                </w:p>
              </w:tc>
            </w:tr>
            <w:tr w14:paraId="2F5441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12" w:hRule="atLeast"/>
                <w:jc w:val="center"/>
              </w:trPr>
              <w:tc>
                <w:tcPr>
                  <w:tcW w:w="399" w:type="pct"/>
                  <w:vMerge w:val="continue"/>
                  <w:tcBorders>
                    <w:top w:val="single" w:color="auto" w:sz="2" w:space="0"/>
                    <w:left w:val="single" w:color="auto" w:sz="2" w:space="0"/>
                    <w:bottom w:val="single" w:color="auto" w:sz="2" w:space="0"/>
                    <w:right w:val="single" w:color="auto" w:sz="2" w:space="0"/>
                  </w:tcBorders>
                  <w:vAlign w:val="center"/>
                </w:tcPr>
                <w:p w14:paraId="296D6D8B">
                  <w:pPr>
                    <w:adjustRightInd w:val="0"/>
                    <w:spacing w:line="360" w:lineRule="exact"/>
                    <w:ind w:firstLine="0" w:firstLineChars="0"/>
                    <w:jc w:val="center"/>
                    <w:rPr>
                      <w:bCs/>
                      <w:color w:val="auto"/>
                      <w:spacing w:val="-10"/>
                      <w:sz w:val="21"/>
                      <w:szCs w:val="21"/>
                    </w:rPr>
                  </w:pPr>
                </w:p>
              </w:tc>
              <w:tc>
                <w:tcPr>
                  <w:tcW w:w="927" w:type="pct"/>
                  <w:vMerge w:val="continue"/>
                  <w:tcBorders>
                    <w:top w:val="single" w:color="auto" w:sz="2" w:space="0"/>
                    <w:left w:val="single" w:color="auto" w:sz="2" w:space="0"/>
                    <w:bottom w:val="single" w:color="auto" w:sz="2" w:space="0"/>
                    <w:right w:val="single" w:color="auto" w:sz="2" w:space="0"/>
                  </w:tcBorders>
                  <w:vAlign w:val="center"/>
                </w:tcPr>
                <w:p w14:paraId="661038CC">
                  <w:pPr>
                    <w:adjustRightInd w:val="0"/>
                    <w:spacing w:line="360" w:lineRule="exact"/>
                    <w:ind w:firstLine="0" w:firstLineChars="0"/>
                    <w:jc w:val="center"/>
                    <w:rPr>
                      <w:b/>
                      <w:color w:val="auto"/>
                      <w:spacing w:val="-10"/>
                      <w:sz w:val="21"/>
                      <w:szCs w:val="21"/>
                    </w:rPr>
                  </w:pPr>
                </w:p>
              </w:tc>
              <w:tc>
                <w:tcPr>
                  <w:tcW w:w="575" w:type="pct"/>
                  <w:tcBorders>
                    <w:top w:val="single" w:color="auto" w:sz="2" w:space="0"/>
                    <w:left w:val="single" w:color="auto" w:sz="2" w:space="0"/>
                    <w:bottom w:val="single" w:color="auto" w:sz="2" w:space="0"/>
                    <w:right w:val="single" w:color="auto" w:sz="2" w:space="0"/>
                  </w:tcBorders>
                  <w:vAlign w:val="center"/>
                </w:tcPr>
                <w:p w14:paraId="175FD902">
                  <w:pPr>
                    <w:adjustRightInd w:val="0"/>
                    <w:spacing w:line="360" w:lineRule="exact"/>
                    <w:ind w:firstLine="0" w:firstLineChars="0"/>
                    <w:jc w:val="center"/>
                    <w:rPr>
                      <w:b/>
                      <w:color w:val="auto"/>
                      <w:spacing w:val="-10"/>
                      <w:sz w:val="21"/>
                      <w:szCs w:val="21"/>
                    </w:rPr>
                  </w:pPr>
                  <w:r>
                    <w:rPr>
                      <w:b/>
                      <w:color w:val="auto"/>
                      <w:spacing w:val="-10"/>
                      <w:sz w:val="21"/>
                      <w:szCs w:val="21"/>
                    </w:rPr>
                    <w:t>排放量</w:t>
                  </w:r>
                  <w:r>
                    <w:rPr>
                      <w:rFonts w:hint="eastAsia"/>
                      <w:b/>
                      <w:color w:val="auto"/>
                      <w:spacing w:val="-10"/>
                      <w:sz w:val="21"/>
                      <w:szCs w:val="21"/>
                      <w:lang w:eastAsia="zh-CN"/>
                    </w:rPr>
                    <w:t>（</w:t>
                  </w:r>
                  <w:r>
                    <w:rPr>
                      <w:b/>
                      <w:color w:val="auto"/>
                      <w:spacing w:val="-10"/>
                      <w:sz w:val="21"/>
                      <w:szCs w:val="21"/>
                    </w:rPr>
                    <w:t>t/a</w:t>
                  </w:r>
                  <w:r>
                    <w:rPr>
                      <w:rFonts w:hint="eastAsia"/>
                      <w:b/>
                      <w:color w:val="auto"/>
                      <w:spacing w:val="-10"/>
                      <w:sz w:val="21"/>
                      <w:szCs w:val="21"/>
                      <w:lang w:eastAsia="zh-CN"/>
                    </w:rPr>
                    <w:t>）</w:t>
                  </w:r>
                </w:p>
              </w:tc>
              <w:tc>
                <w:tcPr>
                  <w:tcW w:w="641" w:type="pct"/>
                  <w:tcBorders>
                    <w:top w:val="single" w:color="auto" w:sz="2" w:space="0"/>
                    <w:left w:val="single" w:color="auto" w:sz="2" w:space="0"/>
                    <w:bottom w:val="single" w:color="auto" w:sz="2" w:space="0"/>
                    <w:right w:val="single" w:color="auto" w:sz="2" w:space="0"/>
                  </w:tcBorders>
                  <w:vAlign w:val="center"/>
                </w:tcPr>
                <w:p w14:paraId="5314CE9C">
                  <w:pPr>
                    <w:adjustRightInd w:val="0"/>
                    <w:spacing w:line="360" w:lineRule="exact"/>
                    <w:ind w:firstLine="0" w:firstLineChars="0"/>
                    <w:jc w:val="center"/>
                    <w:rPr>
                      <w:rFonts w:hint="eastAsia" w:eastAsia="宋体"/>
                      <w:b/>
                      <w:color w:val="auto"/>
                      <w:spacing w:val="-10"/>
                      <w:sz w:val="21"/>
                      <w:szCs w:val="21"/>
                      <w:lang w:val="en-US" w:eastAsia="zh-CN"/>
                    </w:rPr>
                  </w:pPr>
                  <w:r>
                    <w:rPr>
                      <w:b/>
                      <w:color w:val="auto"/>
                      <w:spacing w:val="-10"/>
                      <w:sz w:val="21"/>
                      <w:szCs w:val="21"/>
                    </w:rPr>
                    <w:t>排放量</w:t>
                  </w:r>
                  <w:r>
                    <w:rPr>
                      <w:rFonts w:hint="eastAsia"/>
                      <w:b/>
                      <w:color w:val="auto"/>
                      <w:spacing w:val="-10"/>
                      <w:sz w:val="21"/>
                      <w:szCs w:val="21"/>
                      <w:lang w:eastAsia="zh-CN"/>
                    </w:rPr>
                    <w:t>（</w:t>
                  </w:r>
                  <w:r>
                    <w:rPr>
                      <w:b/>
                      <w:color w:val="auto"/>
                      <w:spacing w:val="-10"/>
                      <w:sz w:val="21"/>
                      <w:szCs w:val="21"/>
                    </w:rPr>
                    <w:t>t/a</w:t>
                  </w:r>
                  <w:r>
                    <w:rPr>
                      <w:rFonts w:hint="eastAsia"/>
                      <w:b/>
                      <w:color w:val="auto"/>
                      <w:spacing w:val="-10"/>
                      <w:sz w:val="21"/>
                      <w:szCs w:val="21"/>
                      <w:lang w:eastAsia="zh-CN"/>
                    </w:rPr>
                    <w:t>）</w:t>
                  </w:r>
                </w:p>
              </w:tc>
              <w:tc>
                <w:tcPr>
                  <w:tcW w:w="767" w:type="pct"/>
                  <w:tcBorders>
                    <w:top w:val="single" w:color="auto" w:sz="2" w:space="0"/>
                    <w:left w:val="single" w:color="auto" w:sz="2" w:space="0"/>
                    <w:bottom w:val="single" w:color="auto" w:sz="2" w:space="0"/>
                    <w:right w:val="single" w:color="auto" w:sz="2" w:space="0"/>
                  </w:tcBorders>
                  <w:vAlign w:val="center"/>
                </w:tcPr>
                <w:p w14:paraId="604708F1">
                  <w:pPr>
                    <w:adjustRightInd w:val="0"/>
                    <w:spacing w:line="360" w:lineRule="exact"/>
                    <w:ind w:firstLine="0" w:firstLineChars="0"/>
                    <w:jc w:val="center"/>
                    <w:rPr>
                      <w:b/>
                      <w:color w:val="auto"/>
                      <w:spacing w:val="-10"/>
                      <w:sz w:val="21"/>
                      <w:szCs w:val="21"/>
                    </w:rPr>
                  </w:pPr>
                  <w:r>
                    <w:rPr>
                      <w:rFonts w:hint="eastAsia" w:ascii="宋体" w:hAnsi="宋体" w:cs="宋体"/>
                      <w:b/>
                      <w:color w:val="auto"/>
                      <w:spacing w:val="-10"/>
                      <w:sz w:val="21"/>
                      <w:szCs w:val="21"/>
                    </w:rPr>
                    <w:t>“以新带老”</w:t>
                  </w:r>
                  <w:r>
                    <w:rPr>
                      <w:b/>
                      <w:color w:val="auto"/>
                      <w:spacing w:val="-10"/>
                      <w:sz w:val="21"/>
                      <w:szCs w:val="21"/>
                    </w:rPr>
                    <w:t>削减量</w:t>
                  </w:r>
                  <w:r>
                    <w:rPr>
                      <w:rFonts w:hint="eastAsia"/>
                      <w:b/>
                      <w:color w:val="auto"/>
                      <w:spacing w:val="-10"/>
                      <w:sz w:val="21"/>
                      <w:szCs w:val="21"/>
                      <w:lang w:eastAsia="zh-CN"/>
                    </w:rPr>
                    <w:t>（</w:t>
                  </w:r>
                  <w:r>
                    <w:rPr>
                      <w:b/>
                      <w:color w:val="auto"/>
                      <w:spacing w:val="-10"/>
                      <w:sz w:val="21"/>
                      <w:szCs w:val="21"/>
                    </w:rPr>
                    <w:t>t/a</w:t>
                  </w:r>
                  <w:r>
                    <w:rPr>
                      <w:rFonts w:hint="eastAsia"/>
                      <w:b/>
                      <w:color w:val="auto"/>
                      <w:spacing w:val="-10"/>
                      <w:sz w:val="21"/>
                      <w:szCs w:val="21"/>
                      <w:lang w:eastAsia="zh-CN"/>
                    </w:rPr>
                    <w:t>）</w:t>
                  </w:r>
                </w:p>
              </w:tc>
              <w:tc>
                <w:tcPr>
                  <w:tcW w:w="903" w:type="pct"/>
                  <w:tcBorders>
                    <w:top w:val="single" w:color="auto" w:sz="2" w:space="0"/>
                    <w:left w:val="single" w:color="auto" w:sz="2" w:space="0"/>
                    <w:bottom w:val="single" w:color="auto" w:sz="2" w:space="0"/>
                    <w:right w:val="single" w:color="auto" w:sz="2" w:space="0"/>
                  </w:tcBorders>
                  <w:vAlign w:val="center"/>
                </w:tcPr>
                <w:p w14:paraId="202EF053">
                  <w:pPr>
                    <w:adjustRightInd w:val="0"/>
                    <w:spacing w:line="360" w:lineRule="exact"/>
                    <w:ind w:firstLine="0" w:firstLineChars="0"/>
                    <w:jc w:val="center"/>
                    <w:rPr>
                      <w:b/>
                      <w:color w:val="auto"/>
                      <w:spacing w:val="-10"/>
                      <w:sz w:val="21"/>
                      <w:szCs w:val="21"/>
                    </w:rPr>
                  </w:pPr>
                  <w:r>
                    <w:rPr>
                      <w:b/>
                      <w:color w:val="auto"/>
                      <w:spacing w:val="-10"/>
                      <w:sz w:val="21"/>
                      <w:szCs w:val="21"/>
                    </w:rPr>
                    <w:t>改建完成后预计排放总量</w:t>
                  </w:r>
                  <w:r>
                    <w:rPr>
                      <w:rFonts w:hint="eastAsia"/>
                      <w:b/>
                      <w:color w:val="auto"/>
                      <w:spacing w:val="-10"/>
                      <w:sz w:val="21"/>
                      <w:szCs w:val="21"/>
                      <w:lang w:eastAsia="zh-CN"/>
                    </w:rPr>
                    <w:t>（</w:t>
                  </w:r>
                  <w:r>
                    <w:rPr>
                      <w:b/>
                      <w:color w:val="auto"/>
                      <w:spacing w:val="-10"/>
                      <w:sz w:val="21"/>
                      <w:szCs w:val="21"/>
                    </w:rPr>
                    <w:t>t/a</w:t>
                  </w:r>
                  <w:r>
                    <w:rPr>
                      <w:rFonts w:hint="eastAsia"/>
                      <w:b/>
                      <w:color w:val="auto"/>
                      <w:spacing w:val="-10"/>
                      <w:sz w:val="21"/>
                      <w:szCs w:val="21"/>
                      <w:lang w:eastAsia="zh-CN"/>
                    </w:rPr>
                    <w:t>）</w:t>
                  </w:r>
                </w:p>
              </w:tc>
              <w:tc>
                <w:tcPr>
                  <w:tcW w:w="784" w:type="pct"/>
                  <w:tcBorders>
                    <w:top w:val="single" w:color="auto" w:sz="2" w:space="0"/>
                    <w:left w:val="single" w:color="auto" w:sz="2" w:space="0"/>
                    <w:bottom w:val="single" w:color="auto" w:sz="2" w:space="0"/>
                    <w:right w:val="single" w:color="auto" w:sz="2" w:space="0"/>
                  </w:tcBorders>
                  <w:vAlign w:val="center"/>
                </w:tcPr>
                <w:p w14:paraId="43C673C6">
                  <w:pPr>
                    <w:adjustRightInd w:val="0"/>
                    <w:spacing w:line="360" w:lineRule="exact"/>
                    <w:ind w:firstLine="0" w:firstLineChars="0"/>
                    <w:jc w:val="center"/>
                    <w:rPr>
                      <w:b/>
                      <w:color w:val="auto"/>
                      <w:spacing w:val="-10"/>
                      <w:sz w:val="21"/>
                      <w:szCs w:val="21"/>
                    </w:rPr>
                  </w:pPr>
                  <w:r>
                    <w:rPr>
                      <w:b/>
                      <w:color w:val="auto"/>
                      <w:spacing w:val="-10"/>
                      <w:sz w:val="21"/>
                      <w:szCs w:val="21"/>
                    </w:rPr>
                    <w:t>增减量变化</w:t>
                  </w:r>
                  <w:r>
                    <w:rPr>
                      <w:rFonts w:hint="eastAsia"/>
                      <w:b/>
                      <w:color w:val="auto"/>
                      <w:spacing w:val="-10"/>
                      <w:sz w:val="21"/>
                      <w:szCs w:val="21"/>
                      <w:lang w:eastAsia="zh-CN"/>
                    </w:rPr>
                    <w:t>（</w:t>
                  </w:r>
                  <w:r>
                    <w:rPr>
                      <w:b/>
                      <w:color w:val="auto"/>
                      <w:spacing w:val="-10"/>
                      <w:sz w:val="21"/>
                      <w:szCs w:val="21"/>
                    </w:rPr>
                    <w:t>t/a</w:t>
                  </w:r>
                  <w:r>
                    <w:rPr>
                      <w:rFonts w:hint="eastAsia"/>
                      <w:b/>
                      <w:color w:val="auto"/>
                      <w:spacing w:val="-10"/>
                      <w:sz w:val="21"/>
                      <w:szCs w:val="21"/>
                      <w:lang w:eastAsia="zh-CN"/>
                    </w:rPr>
                    <w:t>）</w:t>
                  </w:r>
                </w:p>
              </w:tc>
            </w:tr>
            <w:tr w14:paraId="48A04A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12" w:hRule="atLeast"/>
                <w:jc w:val="center"/>
              </w:trPr>
              <w:tc>
                <w:tcPr>
                  <w:tcW w:w="399" w:type="pct"/>
                  <w:vMerge w:val="restart"/>
                  <w:tcBorders>
                    <w:top w:val="single" w:color="auto" w:sz="4" w:space="0"/>
                    <w:left w:val="single" w:color="auto" w:sz="2" w:space="0"/>
                    <w:right w:val="single" w:color="auto" w:sz="2" w:space="0"/>
                  </w:tcBorders>
                  <w:vAlign w:val="center"/>
                </w:tcPr>
                <w:p w14:paraId="4E688661">
                  <w:pPr>
                    <w:adjustRightInd w:val="0"/>
                    <w:spacing w:line="360" w:lineRule="exact"/>
                    <w:ind w:firstLine="0" w:firstLineChars="0"/>
                    <w:jc w:val="center"/>
                    <w:rPr>
                      <w:bCs/>
                      <w:color w:val="auto"/>
                      <w:spacing w:val="-10"/>
                      <w:sz w:val="21"/>
                      <w:szCs w:val="21"/>
                    </w:rPr>
                  </w:pPr>
                  <w:r>
                    <w:rPr>
                      <w:bCs/>
                      <w:color w:val="auto"/>
                      <w:spacing w:val="-10"/>
                      <w:sz w:val="21"/>
                      <w:szCs w:val="21"/>
                    </w:rPr>
                    <w:t>废水</w:t>
                  </w:r>
                </w:p>
              </w:tc>
              <w:tc>
                <w:tcPr>
                  <w:tcW w:w="927" w:type="pct"/>
                  <w:tcBorders>
                    <w:top w:val="single" w:color="auto" w:sz="4" w:space="0"/>
                    <w:left w:val="single" w:color="auto" w:sz="2" w:space="0"/>
                    <w:bottom w:val="single" w:color="auto" w:sz="2" w:space="0"/>
                    <w:right w:val="single" w:color="auto" w:sz="2" w:space="0"/>
                  </w:tcBorders>
                  <w:vAlign w:val="center"/>
                </w:tcPr>
                <w:p w14:paraId="1AF80CBC">
                  <w:pPr>
                    <w:adjustRightInd w:val="0"/>
                    <w:spacing w:line="360" w:lineRule="exact"/>
                    <w:ind w:firstLine="0" w:firstLineChars="0"/>
                    <w:jc w:val="center"/>
                    <w:rPr>
                      <w:bCs/>
                      <w:color w:val="auto"/>
                      <w:spacing w:val="-10"/>
                      <w:sz w:val="21"/>
                      <w:szCs w:val="21"/>
                    </w:rPr>
                  </w:pPr>
                  <w:r>
                    <w:rPr>
                      <w:bCs/>
                      <w:color w:val="auto"/>
                      <w:spacing w:val="-10"/>
                      <w:sz w:val="21"/>
                      <w:szCs w:val="21"/>
                    </w:rPr>
                    <w:t>CODcr</w:t>
                  </w:r>
                </w:p>
              </w:tc>
              <w:tc>
                <w:tcPr>
                  <w:tcW w:w="575" w:type="pct"/>
                  <w:tcBorders>
                    <w:top w:val="single" w:color="auto" w:sz="2" w:space="0"/>
                    <w:left w:val="single" w:color="auto" w:sz="2" w:space="0"/>
                    <w:bottom w:val="single" w:color="auto" w:sz="2" w:space="0"/>
                    <w:right w:val="single" w:color="auto" w:sz="2" w:space="0"/>
                  </w:tcBorders>
                </w:tcPr>
                <w:p w14:paraId="390D4570">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641" w:type="pct"/>
                  <w:tcBorders>
                    <w:top w:val="single" w:color="auto" w:sz="2" w:space="0"/>
                    <w:left w:val="single" w:color="auto" w:sz="2" w:space="0"/>
                    <w:bottom w:val="single" w:color="auto" w:sz="2" w:space="0"/>
                    <w:right w:val="single" w:color="auto" w:sz="2" w:space="0"/>
                  </w:tcBorders>
                  <w:vAlign w:val="center"/>
                </w:tcPr>
                <w:p w14:paraId="4D2DBBEB">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767" w:type="pct"/>
                  <w:tcBorders>
                    <w:top w:val="single" w:color="auto" w:sz="2" w:space="0"/>
                    <w:left w:val="single" w:color="auto" w:sz="2" w:space="0"/>
                    <w:bottom w:val="single" w:color="auto" w:sz="2" w:space="0"/>
                    <w:right w:val="single" w:color="auto" w:sz="2" w:space="0"/>
                  </w:tcBorders>
                </w:tcPr>
                <w:p w14:paraId="6E8F053A">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903" w:type="pct"/>
                  <w:tcBorders>
                    <w:top w:val="single" w:color="auto" w:sz="2" w:space="0"/>
                    <w:left w:val="single" w:color="auto" w:sz="2" w:space="0"/>
                    <w:bottom w:val="single" w:color="auto" w:sz="2" w:space="0"/>
                    <w:right w:val="single" w:color="auto" w:sz="2" w:space="0"/>
                  </w:tcBorders>
                </w:tcPr>
                <w:p w14:paraId="7FC8809F">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784" w:type="pct"/>
                  <w:tcBorders>
                    <w:top w:val="single" w:color="auto" w:sz="2" w:space="0"/>
                    <w:left w:val="single" w:color="auto" w:sz="2" w:space="0"/>
                    <w:bottom w:val="single" w:color="auto" w:sz="2" w:space="0"/>
                    <w:right w:val="single" w:color="auto" w:sz="2" w:space="0"/>
                  </w:tcBorders>
                </w:tcPr>
                <w:p w14:paraId="49FB4C05">
                  <w:pPr>
                    <w:adjustRightInd w:val="0"/>
                    <w:spacing w:line="360" w:lineRule="exact"/>
                    <w:ind w:firstLine="0" w:firstLineChars="0"/>
                    <w:jc w:val="center"/>
                    <w:rPr>
                      <w:bCs/>
                      <w:color w:val="auto"/>
                      <w:spacing w:val="-10"/>
                      <w:sz w:val="21"/>
                      <w:szCs w:val="21"/>
                    </w:rPr>
                  </w:pPr>
                  <w:r>
                    <w:rPr>
                      <w:bCs/>
                      <w:color w:val="auto"/>
                      <w:spacing w:val="-10"/>
                      <w:sz w:val="21"/>
                      <w:szCs w:val="21"/>
                    </w:rPr>
                    <w:t>0</w:t>
                  </w:r>
                </w:p>
              </w:tc>
            </w:tr>
            <w:tr w14:paraId="6829E6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12" w:hRule="atLeast"/>
                <w:jc w:val="center"/>
              </w:trPr>
              <w:tc>
                <w:tcPr>
                  <w:tcW w:w="399" w:type="pct"/>
                  <w:vMerge w:val="continue"/>
                  <w:tcBorders>
                    <w:left w:val="single" w:color="auto" w:sz="2" w:space="0"/>
                    <w:right w:val="single" w:color="auto" w:sz="2" w:space="0"/>
                  </w:tcBorders>
                  <w:vAlign w:val="center"/>
                </w:tcPr>
                <w:p w14:paraId="484ADC45">
                  <w:pPr>
                    <w:adjustRightInd w:val="0"/>
                    <w:spacing w:line="360" w:lineRule="exact"/>
                    <w:ind w:firstLine="0" w:firstLineChars="0"/>
                    <w:jc w:val="center"/>
                    <w:rPr>
                      <w:bCs/>
                      <w:color w:val="auto"/>
                      <w:spacing w:val="-10"/>
                      <w:sz w:val="21"/>
                      <w:szCs w:val="21"/>
                    </w:rPr>
                  </w:pPr>
                </w:p>
              </w:tc>
              <w:tc>
                <w:tcPr>
                  <w:tcW w:w="927" w:type="pct"/>
                  <w:tcBorders>
                    <w:top w:val="single" w:color="auto" w:sz="2" w:space="0"/>
                    <w:left w:val="single" w:color="auto" w:sz="2" w:space="0"/>
                    <w:bottom w:val="single" w:color="auto" w:sz="2" w:space="0"/>
                    <w:right w:val="single" w:color="auto" w:sz="2" w:space="0"/>
                  </w:tcBorders>
                  <w:vAlign w:val="center"/>
                </w:tcPr>
                <w:p w14:paraId="7AF10BD2">
                  <w:pPr>
                    <w:adjustRightInd w:val="0"/>
                    <w:spacing w:line="360" w:lineRule="exact"/>
                    <w:ind w:firstLine="0" w:firstLineChars="0"/>
                    <w:jc w:val="center"/>
                    <w:rPr>
                      <w:bCs/>
                      <w:color w:val="auto"/>
                      <w:spacing w:val="-10"/>
                      <w:sz w:val="21"/>
                      <w:szCs w:val="21"/>
                    </w:rPr>
                  </w:pPr>
                  <w:r>
                    <w:rPr>
                      <w:bCs/>
                      <w:color w:val="auto"/>
                      <w:spacing w:val="-10"/>
                      <w:sz w:val="21"/>
                      <w:szCs w:val="21"/>
                    </w:rPr>
                    <w:t>BOD</w:t>
                  </w:r>
                  <w:r>
                    <w:rPr>
                      <w:bCs/>
                      <w:color w:val="auto"/>
                      <w:spacing w:val="-10"/>
                      <w:sz w:val="21"/>
                      <w:szCs w:val="21"/>
                      <w:vertAlign w:val="subscript"/>
                    </w:rPr>
                    <w:t>5</w:t>
                  </w:r>
                </w:p>
              </w:tc>
              <w:tc>
                <w:tcPr>
                  <w:tcW w:w="575" w:type="pct"/>
                  <w:tcBorders>
                    <w:top w:val="single" w:color="auto" w:sz="2" w:space="0"/>
                    <w:left w:val="single" w:color="auto" w:sz="2" w:space="0"/>
                    <w:bottom w:val="single" w:color="auto" w:sz="2" w:space="0"/>
                    <w:right w:val="single" w:color="auto" w:sz="2" w:space="0"/>
                  </w:tcBorders>
                </w:tcPr>
                <w:p w14:paraId="0C5F5F71">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641" w:type="pct"/>
                  <w:tcBorders>
                    <w:top w:val="single" w:color="auto" w:sz="2" w:space="0"/>
                    <w:left w:val="single" w:color="auto" w:sz="2" w:space="0"/>
                    <w:bottom w:val="single" w:color="auto" w:sz="2" w:space="0"/>
                    <w:right w:val="single" w:color="auto" w:sz="2" w:space="0"/>
                  </w:tcBorders>
                  <w:vAlign w:val="center"/>
                </w:tcPr>
                <w:p w14:paraId="41DD381C">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767" w:type="pct"/>
                  <w:tcBorders>
                    <w:top w:val="single" w:color="auto" w:sz="2" w:space="0"/>
                    <w:left w:val="single" w:color="auto" w:sz="2" w:space="0"/>
                    <w:bottom w:val="single" w:color="auto" w:sz="2" w:space="0"/>
                    <w:right w:val="single" w:color="auto" w:sz="2" w:space="0"/>
                  </w:tcBorders>
                </w:tcPr>
                <w:p w14:paraId="5EBE5DA4">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903" w:type="pct"/>
                  <w:tcBorders>
                    <w:top w:val="single" w:color="auto" w:sz="2" w:space="0"/>
                    <w:left w:val="single" w:color="auto" w:sz="2" w:space="0"/>
                    <w:bottom w:val="single" w:color="auto" w:sz="2" w:space="0"/>
                    <w:right w:val="single" w:color="auto" w:sz="2" w:space="0"/>
                  </w:tcBorders>
                </w:tcPr>
                <w:p w14:paraId="481B43C1">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784" w:type="pct"/>
                  <w:tcBorders>
                    <w:top w:val="single" w:color="auto" w:sz="2" w:space="0"/>
                    <w:left w:val="single" w:color="auto" w:sz="2" w:space="0"/>
                    <w:bottom w:val="single" w:color="auto" w:sz="2" w:space="0"/>
                    <w:right w:val="single" w:color="auto" w:sz="2" w:space="0"/>
                  </w:tcBorders>
                </w:tcPr>
                <w:p w14:paraId="59032186">
                  <w:pPr>
                    <w:adjustRightInd w:val="0"/>
                    <w:spacing w:line="360" w:lineRule="exact"/>
                    <w:ind w:firstLine="0" w:firstLineChars="0"/>
                    <w:jc w:val="center"/>
                    <w:rPr>
                      <w:bCs/>
                      <w:color w:val="auto"/>
                      <w:spacing w:val="-10"/>
                      <w:sz w:val="21"/>
                      <w:szCs w:val="21"/>
                    </w:rPr>
                  </w:pPr>
                  <w:r>
                    <w:rPr>
                      <w:bCs/>
                      <w:color w:val="auto"/>
                      <w:spacing w:val="-10"/>
                      <w:sz w:val="21"/>
                      <w:szCs w:val="21"/>
                    </w:rPr>
                    <w:t>0</w:t>
                  </w:r>
                </w:p>
              </w:tc>
            </w:tr>
            <w:tr w14:paraId="2F3CE4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12" w:hRule="atLeast"/>
                <w:jc w:val="center"/>
              </w:trPr>
              <w:tc>
                <w:tcPr>
                  <w:tcW w:w="399" w:type="pct"/>
                  <w:vMerge w:val="continue"/>
                  <w:tcBorders>
                    <w:left w:val="single" w:color="auto" w:sz="2" w:space="0"/>
                    <w:right w:val="single" w:color="auto" w:sz="2" w:space="0"/>
                  </w:tcBorders>
                  <w:vAlign w:val="center"/>
                </w:tcPr>
                <w:p w14:paraId="2A79A7C9">
                  <w:pPr>
                    <w:adjustRightInd w:val="0"/>
                    <w:spacing w:line="360" w:lineRule="exact"/>
                    <w:ind w:firstLine="0" w:firstLineChars="0"/>
                    <w:jc w:val="center"/>
                    <w:rPr>
                      <w:bCs/>
                      <w:color w:val="auto"/>
                      <w:spacing w:val="-10"/>
                      <w:sz w:val="21"/>
                      <w:szCs w:val="21"/>
                    </w:rPr>
                  </w:pPr>
                </w:p>
              </w:tc>
              <w:tc>
                <w:tcPr>
                  <w:tcW w:w="927" w:type="pct"/>
                  <w:tcBorders>
                    <w:top w:val="single" w:color="auto" w:sz="2" w:space="0"/>
                    <w:left w:val="single" w:color="auto" w:sz="2" w:space="0"/>
                    <w:bottom w:val="single" w:color="auto" w:sz="2" w:space="0"/>
                    <w:right w:val="single" w:color="auto" w:sz="2" w:space="0"/>
                  </w:tcBorders>
                  <w:vAlign w:val="center"/>
                </w:tcPr>
                <w:p w14:paraId="182688BD">
                  <w:pPr>
                    <w:adjustRightInd w:val="0"/>
                    <w:spacing w:line="360" w:lineRule="exact"/>
                    <w:ind w:firstLine="0" w:firstLineChars="0"/>
                    <w:jc w:val="center"/>
                    <w:rPr>
                      <w:bCs/>
                      <w:color w:val="auto"/>
                      <w:spacing w:val="-10"/>
                      <w:sz w:val="21"/>
                      <w:szCs w:val="21"/>
                    </w:rPr>
                  </w:pPr>
                  <w:r>
                    <w:rPr>
                      <w:bCs/>
                      <w:color w:val="auto"/>
                      <w:spacing w:val="-10"/>
                      <w:sz w:val="21"/>
                      <w:szCs w:val="21"/>
                    </w:rPr>
                    <w:t>SS</w:t>
                  </w:r>
                </w:p>
              </w:tc>
              <w:tc>
                <w:tcPr>
                  <w:tcW w:w="575" w:type="pct"/>
                  <w:tcBorders>
                    <w:top w:val="single" w:color="auto" w:sz="2" w:space="0"/>
                    <w:left w:val="single" w:color="auto" w:sz="2" w:space="0"/>
                    <w:bottom w:val="single" w:color="auto" w:sz="2" w:space="0"/>
                    <w:right w:val="single" w:color="auto" w:sz="2" w:space="0"/>
                  </w:tcBorders>
                </w:tcPr>
                <w:p w14:paraId="19586F6A">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641" w:type="pct"/>
                  <w:tcBorders>
                    <w:top w:val="single" w:color="auto" w:sz="2" w:space="0"/>
                    <w:left w:val="single" w:color="auto" w:sz="2" w:space="0"/>
                    <w:bottom w:val="single" w:color="auto" w:sz="2" w:space="0"/>
                    <w:right w:val="single" w:color="auto" w:sz="2" w:space="0"/>
                  </w:tcBorders>
                  <w:vAlign w:val="center"/>
                </w:tcPr>
                <w:p w14:paraId="70B6E42F">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767" w:type="pct"/>
                  <w:tcBorders>
                    <w:top w:val="single" w:color="auto" w:sz="2" w:space="0"/>
                    <w:left w:val="single" w:color="auto" w:sz="2" w:space="0"/>
                    <w:bottom w:val="single" w:color="auto" w:sz="2" w:space="0"/>
                    <w:right w:val="single" w:color="auto" w:sz="2" w:space="0"/>
                  </w:tcBorders>
                </w:tcPr>
                <w:p w14:paraId="335CE57F">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903" w:type="pct"/>
                  <w:tcBorders>
                    <w:top w:val="single" w:color="auto" w:sz="2" w:space="0"/>
                    <w:left w:val="single" w:color="auto" w:sz="2" w:space="0"/>
                    <w:bottom w:val="single" w:color="auto" w:sz="2" w:space="0"/>
                    <w:right w:val="single" w:color="auto" w:sz="2" w:space="0"/>
                  </w:tcBorders>
                </w:tcPr>
                <w:p w14:paraId="0DDD0DE2">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784" w:type="pct"/>
                  <w:tcBorders>
                    <w:top w:val="single" w:color="auto" w:sz="2" w:space="0"/>
                    <w:left w:val="single" w:color="auto" w:sz="2" w:space="0"/>
                    <w:bottom w:val="single" w:color="auto" w:sz="2" w:space="0"/>
                    <w:right w:val="single" w:color="auto" w:sz="2" w:space="0"/>
                  </w:tcBorders>
                </w:tcPr>
                <w:p w14:paraId="746A5B49">
                  <w:pPr>
                    <w:adjustRightInd w:val="0"/>
                    <w:spacing w:line="360" w:lineRule="exact"/>
                    <w:ind w:firstLine="0" w:firstLineChars="0"/>
                    <w:jc w:val="center"/>
                    <w:rPr>
                      <w:bCs/>
                      <w:color w:val="auto"/>
                      <w:spacing w:val="-10"/>
                      <w:sz w:val="21"/>
                      <w:szCs w:val="21"/>
                    </w:rPr>
                  </w:pPr>
                  <w:r>
                    <w:rPr>
                      <w:bCs/>
                      <w:color w:val="auto"/>
                      <w:spacing w:val="-10"/>
                      <w:sz w:val="21"/>
                      <w:szCs w:val="21"/>
                    </w:rPr>
                    <w:t>0</w:t>
                  </w:r>
                </w:p>
              </w:tc>
            </w:tr>
            <w:tr w14:paraId="47D041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73" w:hRule="atLeast"/>
                <w:jc w:val="center"/>
              </w:trPr>
              <w:tc>
                <w:tcPr>
                  <w:tcW w:w="399" w:type="pct"/>
                  <w:vMerge w:val="continue"/>
                  <w:tcBorders>
                    <w:left w:val="single" w:color="auto" w:sz="2" w:space="0"/>
                    <w:right w:val="single" w:color="auto" w:sz="2" w:space="0"/>
                  </w:tcBorders>
                  <w:vAlign w:val="center"/>
                </w:tcPr>
                <w:p w14:paraId="4E1A9CC5">
                  <w:pPr>
                    <w:adjustRightInd w:val="0"/>
                    <w:spacing w:line="360" w:lineRule="exact"/>
                    <w:ind w:firstLine="0" w:firstLineChars="0"/>
                    <w:jc w:val="center"/>
                    <w:rPr>
                      <w:bCs/>
                      <w:color w:val="auto"/>
                      <w:spacing w:val="-10"/>
                      <w:sz w:val="21"/>
                      <w:szCs w:val="21"/>
                    </w:rPr>
                  </w:pPr>
                </w:p>
              </w:tc>
              <w:tc>
                <w:tcPr>
                  <w:tcW w:w="927" w:type="pct"/>
                  <w:tcBorders>
                    <w:top w:val="single" w:color="auto" w:sz="2" w:space="0"/>
                    <w:left w:val="single" w:color="auto" w:sz="2" w:space="0"/>
                    <w:bottom w:val="single" w:color="auto" w:sz="2" w:space="0"/>
                    <w:right w:val="single" w:color="auto" w:sz="2" w:space="0"/>
                  </w:tcBorders>
                  <w:vAlign w:val="center"/>
                </w:tcPr>
                <w:p w14:paraId="6DFD0D93">
                  <w:pPr>
                    <w:adjustRightInd w:val="0"/>
                    <w:spacing w:line="360" w:lineRule="exact"/>
                    <w:ind w:firstLine="0" w:firstLineChars="0"/>
                    <w:jc w:val="center"/>
                    <w:rPr>
                      <w:bCs/>
                      <w:color w:val="auto"/>
                      <w:spacing w:val="-10"/>
                      <w:sz w:val="21"/>
                      <w:szCs w:val="21"/>
                    </w:rPr>
                  </w:pPr>
                  <w:r>
                    <w:rPr>
                      <w:bCs/>
                      <w:color w:val="auto"/>
                      <w:spacing w:val="-10"/>
                      <w:sz w:val="21"/>
                      <w:szCs w:val="21"/>
                    </w:rPr>
                    <w:t>氨氮</w:t>
                  </w:r>
                </w:p>
              </w:tc>
              <w:tc>
                <w:tcPr>
                  <w:tcW w:w="575" w:type="pct"/>
                  <w:tcBorders>
                    <w:top w:val="single" w:color="auto" w:sz="2" w:space="0"/>
                    <w:left w:val="single" w:color="auto" w:sz="2" w:space="0"/>
                    <w:bottom w:val="single" w:color="auto" w:sz="2" w:space="0"/>
                    <w:right w:val="single" w:color="auto" w:sz="2" w:space="0"/>
                  </w:tcBorders>
                </w:tcPr>
                <w:p w14:paraId="1FFEC2B4">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641" w:type="pct"/>
                  <w:tcBorders>
                    <w:top w:val="single" w:color="auto" w:sz="2" w:space="0"/>
                    <w:left w:val="single" w:color="auto" w:sz="2" w:space="0"/>
                    <w:bottom w:val="single" w:color="auto" w:sz="2" w:space="0"/>
                    <w:right w:val="single" w:color="auto" w:sz="2" w:space="0"/>
                  </w:tcBorders>
                  <w:vAlign w:val="center"/>
                </w:tcPr>
                <w:p w14:paraId="0B804870">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767" w:type="pct"/>
                  <w:tcBorders>
                    <w:top w:val="single" w:color="auto" w:sz="2" w:space="0"/>
                    <w:left w:val="single" w:color="auto" w:sz="2" w:space="0"/>
                    <w:bottom w:val="single" w:color="auto" w:sz="2" w:space="0"/>
                    <w:right w:val="single" w:color="auto" w:sz="2" w:space="0"/>
                  </w:tcBorders>
                </w:tcPr>
                <w:p w14:paraId="5367AA62">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903" w:type="pct"/>
                  <w:tcBorders>
                    <w:top w:val="single" w:color="auto" w:sz="2" w:space="0"/>
                    <w:left w:val="single" w:color="auto" w:sz="2" w:space="0"/>
                    <w:bottom w:val="single" w:color="auto" w:sz="2" w:space="0"/>
                    <w:right w:val="single" w:color="auto" w:sz="2" w:space="0"/>
                  </w:tcBorders>
                </w:tcPr>
                <w:p w14:paraId="4B004632">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784" w:type="pct"/>
                  <w:tcBorders>
                    <w:top w:val="single" w:color="auto" w:sz="2" w:space="0"/>
                    <w:left w:val="single" w:color="auto" w:sz="2" w:space="0"/>
                    <w:bottom w:val="single" w:color="auto" w:sz="2" w:space="0"/>
                    <w:right w:val="single" w:color="auto" w:sz="2" w:space="0"/>
                  </w:tcBorders>
                </w:tcPr>
                <w:p w14:paraId="6491C8C6">
                  <w:pPr>
                    <w:adjustRightInd w:val="0"/>
                    <w:spacing w:line="360" w:lineRule="exact"/>
                    <w:ind w:firstLine="0" w:firstLineChars="0"/>
                    <w:jc w:val="center"/>
                    <w:rPr>
                      <w:bCs/>
                      <w:color w:val="auto"/>
                      <w:spacing w:val="-10"/>
                      <w:sz w:val="21"/>
                      <w:szCs w:val="21"/>
                    </w:rPr>
                  </w:pPr>
                  <w:r>
                    <w:rPr>
                      <w:bCs/>
                      <w:color w:val="auto"/>
                      <w:spacing w:val="-10"/>
                      <w:sz w:val="21"/>
                      <w:szCs w:val="21"/>
                    </w:rPr>
                    <w:t>0</w:t>
                  </w:r>
                </w:p>
              </w:tc>
            </w:tr>
            <w:tr w14:paraId="416C28C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12" w:hRule="atLeast"/>
                <w:jc w:val="center"/>
              </w:trPr>
              <w:tc>
                <w:tcPr>
                  <w:tcW w:w="399" w:type="pct"/>
                  <w:vMerge w:val="continue"/>
                  <w:tcBorders>
                    <w:left w:val="single" w:color="auto" w:sz="2" w:space="0"/>
                    <w:bottom w:val="single" w:color="auto" w:sz="2" w:space="0"/>
                    <w:right w:val="single" w:color="auto" w:sz="2" w:space="0"/>
                  </w:tcBorders>
                  <w:vAlign w:val="center"/>
                </w:tcPr>
                <w:p w14:paraId="1B640E9E">
                  <w:pPr>
                    <w:adjustRightInd w:val="0"/>
                    <w:spacing w:line="360" w:lineRule="exact"/>
                    <w:ind w:firstLine="0" w:firstLineChars="0"/>
                    <w:jc w:val="center"/>
                    <w:rPr>
                      <w:bCs/>
                      <w:color w:val="auto"/>
                      <w:spacing w:val="-10"/>
                      <w:sz w:val="21"/>
                      <w:szCs w:val="21"/>
                    </w:rPr>
                  </w:pPr>
                </w:p>
              </w:tc>
              <w:tc>
                <w:tcPr>
                  <w:tcW w:w="927" w:type="pct"/>
                  <w:tcBorders>
                    <w:top w:val="single" w:color="auto" w:sz="2" w:space="0"/>
                    <w:left w:val="single" w:color="auto" w:sz="2" w:space="0"/>
                    <w:bottom w:val="single" w:color="auto" w:sz="2" w:space="0"/>
                    <w:right w:val="single" w:color="auto" w:sz="2" w:space="0"/>
                  </w:tcBorders>
                  <w:vAlign w:val="center"/>
                </w:tcPr>
                <w:p w14:paraId="6891791F">
                  <w:pPr>
                    <w:adjustRightInd w:val="0"/>
                    <w:spacing w:line="360" w:lineRule="exact"/>
                    <w:ind w:firstLine="0" w:firstLineChars="0"/>
                    <w:jc w:val="center"/>
                    <w:rPr>
                      <w:bCs/>
                      <w:color w:val="auto"/>
                      <w:spacing w:val="-10"/>
                      <w:sz w:val="21"/>
                      <w:szCs w:val="21"/>
                    </w:rPr>
                  </w:pPr>
                  <w:r>
                    <w:rPr>
                      <w:bCs/>
                      <w:color w:val="auto"/>
                      <w:spacing w:val="-10"/>
                      <w:sz w:val="21"/>
                      <w:szCs w:val="21"/>
                    </w:rPr>
                    <w:t>总磷</w:t>
                  </w:r>
                </w:p>
              </w:tc>
              <w:tc>
                <w:tcPr>
                  <w:tcW w:w="575" w:type="pct"/>
                  <w:tcBorders>
                    <w:top w:val="single" w:color="auto" w:sz="2" w:space="0"/>
                    <w:left w:val="single" w:color="auto" w:sz="2" w:space="0"/>
                    <w:bottom w:val="single" w:color="auto" w:sz="2" w:space="0"/>
                    <w:right w:val="single" w:color="auto" w:sz="2" w:space="0"/>
                  </w:tcBorders>
                </w:tcPr>
                <w:p w14:paraId="2FE07D2B">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641" w:type="pct"/>
                  <w:tcBorders>
                    <w:top w:val="single" w:color="auto" w:sz="2" w:space="0"/>
                    <w:left w:val="single" w:color="auto" w:sz="2" w:space="0"/>
                    <w:bottom w:val="single" w:color="auto" w:sz="2" w:space="0"/>
                    <w:right w:val="single" w:color="auto" w:sz="2" w:space="0"/>
                  </w:tcBorders>
                  <w:vAlign w:val="center"/>
                </w:tcPr>
                <w:p w14:paraId="522EAB78">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767" w:type="pct"/>
                  <w:tcBorders>
                    <w:top w:val="single" w:color="auto" w:sz="2" w:space="0"/>
                    <w:left w:val="single" w:color="auto" w:sz="2" w:space="0"/>
                    <w:bottom w:val="single" w:color="auto" w:sz="2" w:space="0"/>
                    <w:right w:val="single" w:color="auto" w:sz="4" w:space="0"/>
                  </w:tcBorders>
                </w:tcPr>
                <w:p w14:paraId="6374F40E">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903" w:type="pct"/>
                  <w:tcBorders>
                    <w:top w:val="single" w:color="auto" w:sz="2" w:space="0"/>
                    <w:left w:val="single" w:color="auto" w:sz="4" w:space="0"/>
                    <w:bottom w:val="single" w:color="auto" w:sz="2" w:space="0"/>
                    <w:right w:val="single" w:color="auto" w:sz="4" w:space="0"/>
                  </w:tcBorders>
                </w:tcPr>
                <w:p w14:paraId="18C3B8A5">
                  <w:pPr>
                    <w:adjustRightInd w:val="0"/>
                    <w:spacing w:line="360" w:lineRule="exact"/>
                    <w:ind w:firstLine="0" w:firstLineChars="0"/>
                    <w:jc w:val="center"/>
                    <w:rPr>
                      <w:bCs/>
                      <w:color w:val="auto"/>
                      <w:spacing w:val="-10"/>
                      <w:sz w:val="21"/>
                      <w:szCs w:val="21"/>
                    </w:rPr>
                  </w:pPr>
                  <w:r>
                    <w:rPr>
                      <w:bCs/>
                      <w:color w:val="auto"/>
                      <w:spacing w:val="-10"/>
                      <w:sz w:val="21"/>
                      <w:szCs w:val="21"/>
                    </w:rPr>
                    <w:t>0</w:t>
                  </w:r>
                </w:p>
              </w:tc>
              <w:tc>
                <w:tcPr>
                  <w:tcW w:w="784" w:type="pct"/>
                  <w:tcBorders>
                    <w:top w:val="single" w:color="auto" w:sz="2" w:space="0"/>
                    <w:left w:val="single" w:color="auto" w:sz="4" w:space="0"/>
                    <w:bottom w:val="single" w:color="auto" w:sz="2" w:space="0"/>
                    <w:right w:val="single" w:color="auto" w:sz="2" w:space="0"/>
                  </w:tcBorders>
                </w:tcPr>
                <w:p w14:paraId="278F5993">
                  <w:pPr>
                    <w:adjustRightInd w:val="0"/>
                    <w:spacing w:line="360" w:lineRule="exact"/>
                    <w:ind w:firstLine="0" w:firstLineChars="0"/>
                    <w:jc w:val="center"/>
                    <w:rPr>
                      <w:bCs/>
                      <w:color w:val="auto"/>
                      <w:spacing w:val="-10"/>
                      <w:sz w:val="21"/>
                      <w:szCs w:val="21"/>
                    </w:rPr>
                  </w:pPr>
                  <w:r>
                    <w:rPr>
                      <w:bCs/>
                      <w:color w:val="auto"/>
                      <w:spacing w:val="-10"/>
                      <w:sz w:val="21"/>
                      <w:szCs w:val="21"/>
                    </w:rPr>
                    <w:t>0</w:t>
                  </w:r>
                </w:p>
              </w:tc>
            </w:tr>
            <w:tr w14:paraId="492E96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67" w:hRule="atLeast"/>
                <w:jc w:val="center"/>
              </w:trPr>
              <w:tc>
                <w:tcPr>
                  <w:tcW w:w="399" w:type="pct"/>
                  <w:vMerge w:val="restart"/>
                  <w:tcBorders>
                    <w:left w:val="single" w:color="auto" w:sz="2" w:space="0"/>
                    <w:right w:val="single" w:color="auto" w:sz="2" w:space="0"/>
                  </w:tcBorders>
                  <w:vAlign w:val="center"/>
                </w:tcPr>
                <w:p w14:paraId="2ACC28F3">
                  <w:pPr>
                    <w:adjustRightInd w:val="0"/>
                    <w:spacing w:line="360" w:lineRule="exact"/>
                    <w:ind w:firstLine="0" w:firstLineChars="0"/>
                    <w:jc w:val="center"/>
                    <w:rPr>
                      <w:rFonts w:hint="eastAsia" w:eastAsia="宋体"/>
                      <w:bCs/>
                      <w:color w:val="auto"/>
                      <w:spacing w:val="-10"/>
                      <w:sz w:val="21"/>
                      <w:szCs w:val="21"/>
                      <w:lang w:val="en-US" w:eastAsia="zh-CN"/>
                    </w:rPr>
                  </w:pPr>
                  <w:r>
                    <w:rPr>
                      <w:rFonts w:hint="eastAsia"/>
                      <w:bCs/>
                      <w:color w:val="auto"/>
                      <w:spacing w:val="-10"/>
                      <w:sz w:val="21"/>
                      <w:szCs w:val="21"/>
                      <w:lang w:val="en-US" w:eastAsia="zh-CN"/>
                    </w:rPr>
                    <w:t>废气</w:t>
                  </w:r>
                </w:p>
              </w:tc>
              <w:tc>
                <w:tcPr>
                  <w:tcW w:w="927" w:type="pct"/>
                  <w:tcBorders>
                    <w:top w:val="single" w:color="auto" w:sz="4" w:space="0"/>
                    <w:left w:val="single" w:color="auto" w:sz="2" w:space="0"/>
                    <w:bottom w:val="single" w:color="auto" w:sz="4" w:space="0"/>
                    <w:right w:val="single" w:color="auto" w:sz="2" w:space="0"/>
                  </w:tcBorders>
                  <w:vAlign w:val="center"/>
                </w:tcPr>
                <w:p w14:paraId="0B458EAF">
                  <w:pPr>
                    <w:adjustRightInd w:val="0"/>
                    <w:spacing w:line="360" w:lineRule="exact"/>
                    <w:ind w:firstLine="0" w:firstLineChars="0"/>
                    <w:jc w:val="center"/>
                    <w:rPr>
                      <w:bCs/>
                      <w:color w:val="auto"/>
                      <w:spacing w:val="-10"/>
                      <w:sz w:val="21"/>
                      <w:szCs w:val="21"/>
                      <w:highlight w:val="none"/>
                    </w:rPr>
                  </w:pPr>
                  <w:r>
                    <w:rPr>
                      <w:rFonts w:hint="eastAsia"/>
                      <w:bCs/>
                      <w:color w:val="auto"/>
                      <w:spacing w:val="-10"/>
                      <w:sz w:val="21"/>
                      <w:szCs w:val="21"/>
                      <w:highlight w:val="none"/>
                      <w:lang w:val="en-US" w:eastAsia="zh-CN"/>
                    </w:rPr>
                    <w:t>有组织</w:t>
                  </w:r>
                  <w:r>
                    <w:rPr>
                      <w:rFonts w:hint="eastAsia"/>
                      <w:bCs/>
                      <w:color w:val="auto"/>
                      <w:spacing w:val="-10"/>
                      <w:sz w:val="21"/>
                      <w:szCs w:val="21"/>
                      <w:highlight w:val="none"/>
                    </w:rPr>
                    <w:t>颗粒物</w:t>
                  </w:r>
                </w:p>
              </w:tc>
              <w:tc>
                <w:tcPr>
                  <w:tcW w:w="575" w:type="pct"/>
                  <w:tcBorders>
                    <w:top w:val="single" w:color="auto" w:sz="4" w:space="0"/>
                    <w:left w:val="single" w:color="auto" w:sz="2" w:space="0"/>
                    <w:bottom w:val="single" w:color="auto" w:sz="4" w:space="0"/>
                    <w:right w:val="single" w:color="auto" w:sz="4" w:space="0"/>
                  </w:tcBorders>
                  <w:vAlign w:val="center"/>
                </w:tcPr>
                <w:p w14:paraId="5AF7DD89">
                  <w:pPr>
                    <w:adjustRightInd w:val="0"/>
                    <w:spacing w:line="360" w:lineRule="exact"/>
                    <w:ind w:firstLine="0" w:firstLineChars="0"/>
                    <w:jc w:val="center"/>
                    <w:rPr>
                      <w:rFonts w:hint="default" w:eastAsia="宋体"/>
                      <w:bCs/>
                      <w:color w:val="auto"/>
                      <w:spacing w:val="-10"/>
                      <w:sz w:val="21"/>
                      <w:szCs w:val="21"/>
                      <w:highlight w:val="none"/>
                      <w:lang w:val="en-US" w:eastAsia="zh-CN"/>
                    </w:rPr>
                  </w:pPr>
                  <w:r>
                    <w:rPr>
                      <w:rFonts w:hint="eastAsia"/>
                      <w:bCs/>
                      <w:color w:val="auto"/>
                      <w:spacing w:val="-10"/>
                      <w:sz w:val="21"/>
                      <w:szCs w:val="21"/>
                      <w:highlight w:val="none"/>
                      <w:lang w:val="en-US" w:eastAsia="zh-CN"/>
                    </w:rPr>
                    <w:t>0.05</w:t>
                  </w:r>
                </w:p>
              </w:tc>
              <w:tc>
                <w:tcPr>
                  <w:tcW w:w="641" w:type="pct"/>
                  <w:tcBorders>
                    <w:top w:val="single" w:color="auto" w:sz="4" w:space="0"/>
                    <w:left w:val="single" w:color="auto" w:sz="4" w:space="0"/>
                    <w:bottom w:val="single" w:color="auto" w:sz="4" w:space="0"/>
                    <w:right w:val="single" w:color="auto" w:sz="4" w:space="0"/>
                  </w:tcBorders>
                  <w:vAlign w:val="center"/>
                </w:tcPr>
                <w:p w14:paraId="349F6B62">
                  <w:pPr>
                    <w:adjustRightInd w:val="0"/>
                    <w:spacing w:line="360" w:lineRule="exact"/>
                    <w:ind w:firstLine="0" w:firstLineChars="0"/>
                    <w:jc w:val="center"/>
                    <w:rPr>
                      <w:rFonts w:hint="default" w:eastAsia="宋体"/>
                      <w:bCs/>
                      <w:color w:val="auto"/>
                      <w:spacing w:val="-10"/>
                      <w:sz w:val="21"/>
                      <w:szCs w:val="21"/>
                      <w:highlight w:val="none"/>
                      <w:lang w:val="en-US" w:eastAsia="zh-CN"/>
                    </w:rPr>
                  </w:pPr>
                  <w:r>
                    <w:rPr>
                      <w:rFonts w:hint="eastAsia"/>
                      <w:snapToGrid w:val="0"/>
                      <w:color w:val="auto"/>
                      <w:sz w:val="21"/>
                      <w:szCs w:val="21"/>
                      <w:highlight w:val="none"/>
                      <w:lang w:val="en-US" w:eastAsia="zh-CN" w:bidi="ar"/>
                    </w:rPr>
                    <w:t>1.305</w:t>
                  </w:r>
                </w:p>
              </w:tc>
              <w:tc>
                <w:tcPr>
                  <w:tcW w:w="767" w:type="pct"/>
                  <w:tcBorders>
                    <w:top w:val="single" w:color="auto" w:sz="4" w:space="0"/>
                    <w:left w:val="single" w:color="auto" w:sz="4" w:space="0"/>
                    <w:bottom w:val="single" w:color="auto" w:sz="4" w:space="0"/>
                    <w:right w:val="single" w:color="auto" w:sz="2" w:space="0"/>
                  </w:tcBorders>
                  <w:vAlign w:val="center"/>
                </w:tcPr>
                <w:p w14:paraId="02ADA4EE">
                  <w:pPr>
                    <w:adjustRightInd w:val="0"/>
                    <w:spacing w:line="360" w:lineRule="exact"/>
                    <w:ind w:firstLine="0" w:firstLineChars="0"/>
                    <w:jc w:val="center"/>
                    <w:rPr>
                      <w:bCs/>
                      <w:color w:val="auto"/>
                      <w:spacing w:val="-10"/>
                      <w:sz w:val="21"/>
                      <w:szCs w:val="21"/>
                      <w:highlight w:val="none"/>
                    </w:rPr>
                  </w:pPr>
                  <w:r>
                    <w:rPr>
                      <w:rFonts w:hint="eastAsia"/>
                      <w:bCs/>
                      <w:color w:val="auto"/>
                      <w:spacing w:val="-10"/>
                      <w:sz w:val="21"/>
                      <w:szCs w:val="21"/>
                      <w:highlight w:val="none"/>
                      <w:lang w:val="en-US" w:eastAsia="zh-CN"/>
                    </w:rPr>
                    <w:t>0.05</w:t>
                  </w:r>
                </w:p>
              </w:tc>
              <w:tc>
                <w:tcPr>
                  <w:tcW w:w="903" w:type="pct"/>
                  <w:tcBorders>
                    <w:top w:val="single" w:color="auto" w:sz="4" w:space="0"/>
                    <w:left w:val="single" w:color="auto" w:sz="2" w:space="0"/>
                    <w:bottom w:val="single" w:color="auto" w:sz="4" w:space="0"/>
                    <w:right w:val="single" w:color="auto" w:sz="2" w:space="0"/>
                  </w:tcBorders>
                  <w:vAlign w:val="center"/>
                </w:tcPr>
                <w:p w14:paraId="26D68777">
                  <w:pPr>
                    <w:adjustRightInd w:val="0"/>
                    <w:spacing w:line="360" w:lineRule="exact"/>
                    <w:ind w:firstLine="0" w:firstLineChars="0"/>
                    <w:jc w:val="center"/>
                    <w:rPr>
                      <w:bCs/>
                      <w:color w:val="auto"/>
                      <w:spacing w:val="-10"/>
                      <w:sz w:val="21"/>
                      <w:szCs w:val="21"/>
                      <w:highlight w:val="none"/>
                    </w:rPr>
                  </w:pPr>
                  <w:r>
                    <w:rPr>
                      <w:rFonts w:hint="eastAsia"/>
                      <w:snapToGrid w:val="0"/>
                      <w:color w:val="auto"/>
                      <w:sz w:val="21"/>
                      <w:szCs w:val="21"/>
                      <w:highlight w:val="none"/>
                      <w:lang w:val="en-US" w:eastAsia="zh-CN" w:bidi="ar"/>
                    </w:rPr>
                    <w:t>1.305</w:t>
                  </w:r>
                </w:p>
              </w:tc>
              <w:tc>
                <w:tcPr>
                  <w:tcW w:w="784" w:type="pct"/>
                  <w:tcBorders>
                    <w:top w:val="single" w:color="auto" w:sz="4" w:space="0"/>
                    <w:left w:val="single" w:color="auto" w:sz="2" w:space="0"/>
                    <w:bottom w:val="single" w:color="auto" w:sz="4" w:space="0"/>
                    <w:right w:val="single" w:color="auto" w:sz="2" w:space="0"/>
                  </w:tcBorders>
                  <w:vAlign w:val="center"/>
                </w:tcPr>
                <w:p w14:paraId="19EED26E">
                  <w:pPr>
                    <w:adjustRightInd w:val="0"/>
                    <w:spacing w:line="360" w:lineRule="exact"/>
                    <w:ind w:firstLine="0" w:firstLineChars="0"/>
                    <w:jc w:val="center"/>
                    <w:rPr>
                      <w:rFonts w:hint="default" w:eastAsia="宋体"/>
                      <w:bCs/>
                      <w:color w:val="auto"/>
                      <w:spacing w:val="-10"/>
                      <w:sz w:val="21"/>
                      <w:szCs w:val="21"/>
                      <w:highlight w:val="none"/>
                      <w:lang w:val="en-US" w:eastAsia="zh-CN"/>
                    </w:rPr>
                  </w:pPr>
                  <w:r>
                    <w:rPr>
                      <w:rFonts w:hint="eastAsia"/>
                      <w:bCs/>
                      <w:color w:val="auto"/>
                      <w:spacing w:val="-10"/>
                      <w:sz w:val="21"/>
                      <w:szCs w:val="21"/>
                      <w:highlight w:val="none"/>
                    </w:rPr>
                    <w:t>+1.</w:t>
                  </w:r>
                  <w:r>
                    <w:rPr>
                      <w:rFonts w:hint="eastAsia"/>
                      <w:bCs/>
                      <w:color w:val="auto"/>
                      <w:spacing w:val="-10"/>
                      <w:sz w:val="21"/>
                      <w:szCs w:val="21"/>
                      <w:highlight w:val="none"/>
                      <w:lang w:val="en-US" w:eastAsia="zh-CN"/>
                    </w:rPr>
                    <w:t>255</w:t>
                  </w:r>
                </w:p>
              </w:tc>
            </w:tr>
            <w:tr w14:paraId="0D12FE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15" w:hRule="atLeast"/>
                <w:jc w:val="center"/>
              </w:trPr>
              <w:tc>
                <w:tcPr>
                  <w:tcW w:w="399" w:type="pct"/>
                  <w:vMerge w:val="continue"/>
                  <w:tcBorders>
                    <w:left w:val="single" w:color="auto" w:sz="2" w:space="0"/>
                    <w:bottom w:val="single" w:color="auto" w:sz="4" w:space="0"/>
                    <w:right w:val="single" w:color="auto" w:sz="2" w:space="0"/>
                  </w:tcBorders>
                  <w:vAlign w:val="center"/>
                </w:tcPr>
                <w:p w14:paraId="36CC9C54">
                  <w:pPr>
                    <w:adjustRightInd w:val="0"/>
                    <w:spacing w:line="360" w:lineRule="exact"/>
                    <w:ind w:firstLine="0" w:firstLineChars="0"/>
                    <w:jc w:val="center"/>
                    <w:rPr>
                      <w:bCs/>
                      <w:color w:val="auto"/>
                      <w:spacing w:val="-10"/>
                      <w:sz w:val="21"/>
                      <w:szCs w:val="21"/>
                    </w:rPr>
                  </w:pPr>
                </w:p>
              </w:tc>
              <w:tc>
                <w:tcPr>
                  <w:tcW w:w="927" w:type="pct"/>
                  <w:tcBorders>
                    <w:top w:val="single" w:color="auto" w:sz="4" w:space="0"/>
                    <w:left w:val="single" w:color="auto" w:sz="2" w:space="0"/>
                    <w:bottom w:val="single" w:color="auto" w:sz="4" w:space="0"/>
                    <w:right w:val="single" w:color="auto" w:sz="2" w:space="0"/>
                  </w:tcBorders>
                  <w:shd w:val="clear" w:color="auto" w:fill="auto"/>
                  <w:vAlign w:val="center"/>
                </w:tcPr>
                <w:p w14:paraId="447646F8">
                  <w:pPr>
                    <w:adjustRightInd w:val="0"/>
                    <w:spacing w:line="360" w:lineRule="exact"/>
                    <w:ind w:firstLine="0" w:firstLineChars="0"/>
                    <w:jc w:val="center"/>
                    <w:rPr>
                      <w:rFonts w:hint="default" w:ascii="Times New Roman" w:hAnsi="Times New Roman" w:eastAsia="宋体" w:cs="Times New Roman"/>
                      <w:bCs/>
                      <w:color w:val="auto"/>
                      <w:spacing w:val="-10"/>
                      <w:kern w:val="2"/>
                      <w:sz w:val="21"/>
                      <w:szCs w:val="21"/>
                      <w:highlight w:val="none"/>
                      <w:lang w:val="en-US" w:eastAsia="zh-CN" w:bidi="ar-SA"/>
                    </w:rPr>
                  </w:pPr>
                  <w:r>
                    <w:rPr>
                      <w:rFonts w:hint="eastAsia" w:cs="Times New Roman"/>
                      <w:bCs/>
                      <w:color w:val="auto"/>
                      <w:spacing w:val="-10"/>
                      <w:kern w:val="2"/>
                      <w:sz w:val="21"/>
                      <w:szCs w:val="21"/>
                      <w:highlight w:val="none"/>
                      <w:lang w:val="en-US" w:eastAsia="zh-CN" w:bidi="ar-SA"/>
                    </w:rPr>
                    <w:t>无组织颗粒物</w:t>
                  </w:r>
                </w:p>
              </w:tc>
              <w:tc>
                <w:tcPr>
                  <w:tcW w:w="575" w:type="pct"/>
                  <w:tcBorders>
                    <w:top w:val="single" w:color="auto" w:sz="4" w:space="0"/>
                    <w:left w:val="single" w:color="auto" w:sz="2" w:space="0"/>
                    <w:bottom w:val="single" w:color="auto" w:sz="4" w:space="0"/>
                    <w:right w:val="single" w:color="auto" w:sz="2" w:space="0"/>
                  </w:tcBorders>
                  <w:vAlign w:val="center"/>
                </w:tcPr>
                <w:p w14:paraId="70E5CF03">
                  <w:pPr>
                    <w:adjustRightInd w:val="0"/>
                    <w:spacing w:line="360" w:lineRule="exact"/>
                    <w:ind w:firstLine="0" w:firstLineChars="0"/>
                    <w:jc w:val="center"/>
                    <w:rPr>
                      <w:bCs/>
                      <w:color w:val="auto"/>
                      <w:spacing w:val="-10"/>
                      <w:sz w:val="21"/>
                      <w:szCs w:val="21"/>
                      <w:highlight w:val="none"/>
                    </w:rPr>
                  </w:pPr>
                  <w:r>
                    <w:rPr>
                      <w:rFonts w:hint="eastAsia"/>
                      <w:bCs/>
                      <w:color w:val="auto"/>
                      <w:spacing w:val="-10"/>
                      <w:sz w:val="21"/>
                      <w:szCs w:val="21"/>
                      <w:highlight w:val="none"/>
                    </w:rPr>
                    <w:t>1.67</w:t>
                  </w:r>
                </w:p>
              </w:tc>
              <w:tc>
                <w:tcPr>
                  <w:tcW w:w="641" w:type="pct"/>
                  <w:tcBorders>
                    <w:top w:val="single" w:color="auto" w:sz="4" w:space="0"/>
                    <w:left w:val="single" w:color="auto" w:sz="2" w:space="0"/>
                    <w:bottom w:val="single" w:color="auto" w:sz="4" w:space="0"/>
                    <w:right w:val="single" w:color="auto" w:sz="2" w:space="0"/>
                  </w:tcBorders>
                  <w:vAlign w:val="center"/>
                </w:tcPr>
                <w:p w14:paraId="2B98107B">
                  <w:pPr>
                    <w:adjustRightInd w:val="0"/>
                    <w:spacing w:line="360" w:lineRule="exact"/>
                    <w:ind w:firstLine="0" w:firstLineChars="0"/>
                    <w:jc w:val="center"/>
                    <w:rPr>
                      <w:rFonts w:hint="default" w:eastAsia="宋体"/>
                      <w:snapToGrid w:val="0"/>
                      <w:color w:val="auto"/>
                      <w:sz w:val="21"/>
                      <w:szCs w:val="21"/>
                      <w:highlight w:val="none"/>
                      <w:lang w:val="en-US" w:eastAsia="zh-CN" w:bidi="ar"/>
                    </w:rPr>
                  </w:pPr>
                  <w:r>
                    <w:rPr>
                      <w:rFonts w:hint="eastAsia"/>
                      <w:snapToGrid w:val="0"/>
                      <w:color w:val="auto"/>
                      <w:sz w:val="21"/>
                      <w:szCs w:val="21"/>
                      <w:highlight w:val="none"/>
                      <w:lang w:val="en-US" w:eastAsia="zh-CN" w:bidi="ar"/>
                    </w:rPr>
                    <w:t>13.5349</w:t>
                  </w:r>
                </w:p>
              </w:tc>
              <w:tc>
                <w:tcPr>
                  <w:tcW w:w="767" w:type="pct"/>
                  <w:tcBorders>
                    <w:top w:val="single" w:color="auto" w:sz="4" w:space="0"/>
                    <w:left w:val="single" w:color="auto" w:sz="2" w:space="0"/>
                    <w:bottom w:val="single" w:color="auto" w:sz="4" w:space="0"/>
                    <w:right w:val="single" w:color="auto" w:sz="2" w:space="0"/>
                  </w:tcBorders>
                  <w:vAlign w:val="center"/>
                </w:tcPr>
                <w:p w14:paraId="1F83E704">
                  <w:pPr>
                    <w:adjustRightInd w:val="0"/>
                    <w:spacing w:line="360" w:lineRule="exact"/>
                    <w:ind w:firstLine="0" w:firstLineChars="0"/>
                    <w:jc w:val="center"/>
                    <w:rPr>
                      <w:bCs/>
                      <w:color w:val="auto"/>
                      <w:spacing w:val="-10"/>
                      <w:sz w:val="21"/>
                      <w:szCs w:val="21"/>
                      <w:highlight w:val="none"/>
                    </w:rPr>
                  </w:pPr>
                  <w:r>
                    <w:rPr>
                      <w:rFonts w:hint="eastAsia"/>
                      <w:bCs/>
                      <w:color w:val="auto"/>
                      <w:spacing w:val="-10"/>
                      <w:sz w:val="21"/>
                      <w:szCs w:val="21"/>
                      <w:highlight w:val="none"/>
                    </w:rPr>
                    <w:t>1.67</w:t>
                  </w:r>
                </w:p>
              </w:tc>
              <w:tc>
                <w:tcPr>
                  <w:tcW w:w="903" w:type="pct"/>
                  <w:tcBorders>
                    <w:top w:val="single" w:color="auto" w:sz="4" w:space="0"/>
                    <w:left w:val="single" w:color="auto" w:sz="2" w:space="0"/>
                    <w:bottom w:val="single" w:color="auto" w:sz="4" w:space="0"/>
                    <w:right w:val="single" w:color="auto" w:sz="2" w:space="0"/>
                  </w:tcBorders>
                  <w:vAlign w:val="center"/>
                </w:tcPr>
                <w:p w14:paraId="4C77C697">
                  <w:pPr>
                    <w:adjustRightInd w:val="0"/>
                    <w:spacing w:line="360" w:lineRule="exact"/>
                    <w:ind w:firstLine="0" w:firstLineChars="0"/>
                    <w:jc w:val="center"/>
                    <w:rPr>
                      <w:snapToGrid w:val="0"/>
                      <w:color w:val="auto"/>
                      <w:sz w:val="21"/>
                      <w:szCs w:val="21"/>
                      <w:highlight w:val="none"/>
                      <w:lang w:bidi="ar"/>
                    </w:rPr>
                  </w:pPr>
                  <w:r>
                    <w:rPr>
                      <w:rFonts w:hint="eastAsia"/>
                      <w:snapToGrid w:val="0"/>
                      <w:color w:val="auto"/>
                      <w:sz w:val="21"/>
                      <w:szCs w:val="21"/>
                      <w:highlight w:val="none"/>
                      <w:lang w:val="en-US" w:eastAsia="zh-CN" w:bidi="ar"/>
                    </w:rPr>
                    <w:t>13.5349</w:t>
                  </w:r>
                </w:p>
              </w:tc>
              <w:tc>
                <w:tcPr>
                  <w:tcW w:w="784" w:type="pct"/>
                  <w:tcBorders>
                    <w:top w:val="single" w:color="auto" w:sz="4" w:space="0"/>
                    <w:left w:val="single" w:color="auto" w:sz="2" w:space="0"/>
                    <w:bottom w:val="single" w:color="auto" w:sz="4" w:space="0"/>
                    <w:right w:val="single" w:color="auto" w:sz="2" w:space="0"/>
                  </w:tcBorders>
                  <w:vAlign w:val="center"/>
                </w:tcPr>
                <w:p w14:paraId="270EAEFF">
                  <w:pPr>
                    <w:adjustRightInd w:val="0"/>
                    <w:spacing w:line="360" w:lineRule="exact"/>
                    <w:ind w:firstLine="0" w:firstLineChars="0"/>
                    <w:jc w:val="center"/>
                    <w:rPr>
                      <w:rFonts w:hint="default" w:eastAsia="宋体"/>
                      <w:bCs/>
                      <w:color w:val="auto"/>
                      <w:spacing w:val="-10"/>
                      <w:sz w:val="21"/>
                      <w:szCs w:val="21"/>
                      <w:highlight w:val="none"/>
                      <w:lang w:val="en-US" w:eastAsia="zh-CN"/>
                    </w:rPr>
                  </w:pPr>
                  <w:r>
                    <w:rPr>
                      <w:rFonts w:hint="eastAsia"/>
                      <w:bCs/>
                      <w:color w:val="auto"/>
                      <w:spacing w:val="-10"/>
                      <w:sz w:val="21"/>
                      <w:szCs w:val="21"/>
                      <w:highlight w:val="none"/>
                      <w:lang w:val="en-US" w:eastAsia="zh-CN"/>
                    </w:rPr>
                    <w:t>+11.8649</w:t>
                  </w:r>
                </w:p>
              </w:tc>
            </w:tr>
            <w:tr w14:paraId="45F101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17" w:hRule="atLeast"/>
                <w:jc w:val="center"/>
              </w:trPr>
              <w:tc>
                <w:tcPr>
                  <w:tcW w:w="399" w:type="pct"/>
                  <w:vMerge w:val="restart"/>
                  <w:tcBorders>
                    <w:top w:val="single" w:color="auto" w:sz="2" w:space="0"/>
                    <w:left w:val="single" w:color="auto" w:sz="2" w:space="0"/>
                    <w:right w:val="single" w:color="auto" w:sz="2" w:space="0"/>
                  </w:tcBorders>
                  <w:vAlign w:val="center"/>
                </w:tcPr>
                <w:p w14:paraId="75DC9B87">
                  <w:pPr>
                    <w:adjustRightInd w:val="0"/>
                    <w:spacing w:line="360" w:lineRule="exact"/>
                    <w:ind w:firstLine="0" w:firstLineChars="0"/>
                    <w:jc w:val="center"/>
                    <w:rPr>
                      <w:bCs/>
                      <w:color w:val="auto"/>
                      <w:spacing w:val="-10"/>
                      <w:sz w:val="21"/>
                      <w:szCs w:val="21"/>
                    </w:rPr>
                  </w:pPr>
                  <w:r>
                    <w:rPr>
                      <w:bCs/>
                      <w:color w:val="auto"/>
                      <w:spacing w:val="-10"/>
                      <w:sz w:val="21"/>
                      <w:szCs w:val="21"/>
                    </w:rPr>
                    <w:t>固废</w:t>
                  </w:r>
                </w:p>
              </w:tc>
              <w:tc>
                <w:tcPr>
                  <w:tcW w:w="927" w:type="pct"/>
                  <w:tcBorders>
                    <w:top w:val="single" w:color="auto" w:sz="4" w:space="0"/>
                    <w:left w:val="single" w:color="auto" w:sz="2" w:space="0"/>
                    <w:bottom w:val="single" w:color="auto" w:sz="4" w:space="0"/>
                    <w:right w:val="single" w:color="auto" w:sz="2" w:space="0"/>
                  </w:tcBorders>
                  <w:vAlign w:val="center"/>
                </w:tcPr>
                <w:p w14:paraId="2B477C16">
                  <w:pPr>
                    <w:spacing w:line="360" w:lineRule="exact"/>
                    <w:ind w:firstLine="0" w:firstLineChars="0"/>
                    <w:jc w:val="center"/>
                    <w:rPr>
                      <w:bCs/>
                      <w:color w:val="auto"/>
                      <w:spacing w:val="-10"/>
                      <w:sz w:val="21"/>
                      <w:szCs w:val="21"/>
                    </w:rPr>
                  </w:pPr>
                  <w:r>
                    <w:rPr>
                      <w:rFonts w:hint="eastAsia"/>
                      <w:bCs/>
                      <w:color w:val="auto"/>
                      <w:spacing w:val="-10"/>
                      <w:sz w:val="21"/>
                      <w:szCs w:val="21"/>
                    </w:rPr>
                    <w:t>表土</w:t>
                  </w:r>
                </w:p>
              </w:tc>
              <w:tc>
                <w:tcPr>
                  <w:tcW w:w="575" w:type="pct"/>
                  <w:tcBorders>
                    <w:top w:val="single" w:color="auto" w:sz="2" w:space="0"/>
                    <w:left w:val="single" w:color="auto" w:sz="2" w:space="0"/>
                    <w:bottom w:val="single" w:color="auto" w:sz="4" w:space="0"/>
                    <w:right w:val="single" w:color="auto" w:sz="2" w:space="0"/>
                  </w:tcBorders>
                  <w:vAlign w:val="center"/>
                </w:tcPr>
                <w:p w14:paraId="70701D26">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641" w:type="pct"/>
                  <w:tcBorders>
                    <w:top w:val="single" w:color="auto" w:sz="2" w:space="0"/>
                    <w:left w:val="single" w:color="auto" w:sz="2" w:space="0"/>
                    <w:bottom w:val="single" w:color="auto" w:sz="4" w:space="0"/>
                    <w:right w:val="single" w:color="auto" w:sz="2" w:space="0"/>
                  </w:tcBorders>
                  <w:vAlign w:val="center"/>
                </w:tcPr>
                <w:p w14:paraId="181B2DBF">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pacing w:val="-10"/>
                      <w:sz w:val="21"/>
                      <w:szCs w:val="21"/>
                      <w:lang w:val="en-US" w:eastAsia="zh-CN"/>
                    </w:rPr>
                    <w:t>1.25万m</w:t>
                  </w:r>
                  <w:r>
                    <w:rPr>
                      <w:rFonts w:hint="eastAsia"/>
                      <w:bCs/>
                      <w:color w:val="auto"/>
                      <w:spacing w:val="-10"/>
                      <w:sz w:val="21"/>
                      <w:szCs w:val="21"/>
                      <w:vertAlign w:val="superscript"/>
                      <w:lang w:val="en-US" w:eastAsia="zh-CN"/>
                    </w:rPr>
                    <w:t>3</w:t>
                  </w:r>
                </w:p>
              </w:tc>
              <w:tc>
                <w:tcPr>
                  <w:tcW w:w="767" w:type="pct"/>
                  <w:tcBorders>
                    <w:top w:val="single" w:color="auto" w:sz="2" w:space="0"/>
                    <w:left w:val="single" w:color="auto" w:sz="2" w:space="0"/>
                    <w:bottom w:val="single" w:color="auto" w:sz="4" w:space="0"/>
                    <w:right w:val="single" w:color="auto" w:sz="2" w:space="0"/>
                  </w:tcBorders>
                  <w:vAlign w:val="center"/>
                </w:tcPr>
                <w:p w14:paraId="65B6C470">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903" w:type="pct"/>
                  <w:tcBorders>
                    <w:top w:val="single" w:color="auto" w:sz="2" w:space="0"/>
                    <w:left w:val="single" w:color="auto" w:sz="2" w:space="0"/>
                    <w:bottom w:val="single" w:color="auto" w:sz="4" w:space="0"/>
                    <w:right w:val="single" w:color="auto" w:sz="2" w:space="0"/>
                  </w:tcBorders>
                  <w:vAlign w:val="center"/>
                </w:tcPr>
                <w:p w14:paraId="2F9AE48A">
                  <w:pPr>
                    <w:adjustRightInd w:val="0"/>
                    <w:spacing w:line="360" w:lineRule="exact"/>
                    <w:ind w:firstLine="0" w:firstLineChars="0"/>
                    <w:jc w:val="center"/>
                    <w:rPr>
                      <w:bCs/>
                      <w:color w:val="auto"/>
                      <w:spacing w:val="-10"/>
                      <w:sz w:val="21"/>
                      <w:szCs w:val="21"/>
                    </w:rPr>
                  </w:pPr>
                  <w:r>
                    <w:rPr>
                      <w:rFonts w:hint="eastAsia"/>
                      <w:bCs/>
                      <w:color w:val="auto"/>
                      <w:spacing w:val="-10"/>
                      <w:sz w:val="21"/>
                      <w:szCs w:val="21"/>
                      <w:lang w:val="en-US" w:eastAsia="zh-CN"/>
                    </w:rPr>
                    <w:t>1.25万m</w:t>
                  </w:r>
                  <w:r>
                    <w:rPr>
                      <w:rFonts w:hint="eastAsia"/>
                      <w:bCs/>
                      <w:color w:val="auto"/>
                      <w:spacing w:val="-10"/>
                      <w:sz w:val="21"/>
                      <w:szCs w:val="21"/>
                      <w:vertAlign w:val="superscript"/>
                      <w:lang w:val="en-US" w:eastAsia="zh-CN"/>
                    </w:rPr>
                    <w:t>3</w:t>
                  </w:r>
                </w:p>
              </w:tc>
              <w:tc>
                <w:tcPr>
                  <w:tcW w:w="784" w:type="pct"/>
                  <w:tcBorders>
                    <w:top w:val="single" w:color="auto" w:sz="2" w:space="0"/>
                    <w:left w:val="single" w:color="auto" w:sz="2" w:space="0"/>
                    <w:bottom w:val="single" w:color="auto" w:sz="4" w:space="0"/>
                    <w:right w:val="single" w:color="auto" w:sz="2" w:space="0"/>
                  </w:tcBorders>
                  <w:vAlign w:val="center"/>
                </w:tcPr>
                <w:p w14:paraId="643E5287">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r>
            <w:tr w14:paraId="6071715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04" w:hRule="atLeast"/>
                <w:jc w:val="center"/>
              </w:trPr>
              <w:tc>
                <w:tcPr>
                  <w:tcW w:w="399" w:type="pct"/>
                  <w:vMerge w:val="continue"/>
                  <w:tcBorders>
                    <w:left w:val="single" w:color="auto" w:sz="2" w:space="0"/>
                    <w:right w:val="single" w:color="auto" w:sz="2" w:space="0"/>
                  </w:tcBorders>
                  <w:vAlign w:val="center"/>
                </w:tcPr>
                <w:p w14:paraId="49D07A27">
                  <w:pPr>
                    <w:adjustRightInd w:val="0"/>
                    <w:spacing w:line="360" w:lineRule="exact"/>
                    <w:ind w:firstLine="0" w:firstLineChars="0"/>
                    <w:jc w:val="center"/>
                    <w:rPr>
                      <w:bCs/>
                      <w:color w:val="auto"/>
                      <w:spacing w:val="-10"/>
                      <w:sz w:val="21"/>
                      <w:szCs w:val="21"/>
                    </w:rPr>
                  </w:pPr>
                </w:p>
              </w:tc>
              <w:tc>
                <w:tcPr>
                  <w:tcW w:w="927" w:type="pct"/>
                  <w:tcBorders>
                    <w:top w:val="single" w:color="auto" w:sz="2" w:space="0"/>
                    <w:left w:val="single" w:color="auto" w:sz="2" w:space="0"/>
                    <w:bottom w:val="single" w:color="auto" w:sz="2" w:space="0"/>
                    <w:right w:val="single" w:color="auto" w:sz="2" w:space="0"/>
                  </w:tcBorders>
                  <w:vAlign w:val="center"/>
                </w:tcPr>
                <w:p w14:paraId="5DEB15EA">
                  <w:pPr>
                    <w:adjustRightInd w:val="0"/>
                    <w:snapToGrid w:val="0"/>
                    <w:spacing w:line="240" w:lineRule="auto"/>
                    <w:ind w:firstLine="0" w:firstLineChars="0"/>
                    <w:jc w:val="center"/>
                    <w:rPr>
                      <w:bCs/>
                      <w:color w:val="auto"/>
                      <w:spacing w:val="-10"/>
                      <w:sz w:val="21"/>
                      <w:szCs w:val="21"/>
                    </w:rPr>
                  </w:pPr>
                  <w:r>
                    <w:rPr>
                      <w:rFonts w:hint="eastAsia"/>
                      <w:color w:val="auto"/>
                      <w:sz w:val="21"/>
                      <w:szCs w:val="21"/>
                    </w:rPr>
                    <w:t>沉砂池泥沙</w:t>
                  </w:r>
                </w:p>
              </w:tc>
              <w:tc>
                <w:tcPr>
                  <w:tcW w:w="575" w:type="pct"/>
                  <w:tcBorders>
                    <w:top w:val="single" w:color="auto" w:sz="2" w:space="0"/>
                    <w:left w:val="single" w:color="auto" w:sz="2" w:space="0"/>
                    <w:bottom w:val="single" w:color="auto" w:sz="2" w:space="0"/>
                    <w:right w:val="single" w:color="auto" w:sz="2" w:space="0"/>
                  </w:tcBorders>
                  <w:vAlign w:val="center"/>
                </w:tcPr>
                <w:p w14:paraId="1EB4937E">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641" w:type="pct"/>
                  <w:tcBorders>
                    <w:top w:val="single" w:color="auto" w:sz="2" w:space="0"/>
                    <w:left w:val="single" w:color="auto" w:sz="2" w:space="0"/>
                    <w:bottom w:val="single" w:color="auto" w:sz="2" w:space="0"/>
                    <w:right w:val="single" w:color="auto" w:sz="2" w:space="0"/>
                  </w:tcBorders>
                  <w:vAlign w:val="center"/>
                </w:tcPr>
                <w:p w14:paraId="108B0851">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pacing w:val="-10"/>
                      <w:sz w:val="21"/>
                      <w:szCs w:val="21"/>
                      <w:lang w:val="en-US" w:eastAsia="zh-CN"/>
                    </w:rPr>
                    <w:t>20.78</w:t>
                  </w:r>
                </w:p>
              </w:tc>
              <w:tc>
                <w:tcPr>
                  <w:tcW w:w="767" w:type="pct"/>
                  <w:tcBorders>
                    <w:top w:val="single" w:color="auto" w:sz="2" w:space="0"/>
                    <w:left w:val="single" w:color="auto" w:sz="2" w:space="0"/>
                    <w:bottom w:val="single" w:color="auto" w:sz="2" w:space="0"/>
                    <w:right w:val="single" w:color="auto" w:sz="2" w:space="0"/>
                  </w:tcBorders>
                  <w:vAlign w:val="center"/>
                </w:tcPr>
                <w:p w14:paraId="40CAC01A">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903" w:type="pct"/>
                  <w:tcBorders>
                    <w:top w:val="single" w:color="auto" w:sz="2" w:space="0"/>
                    <w:left w:val="single" w:color="auto" w:sz="2" w:space="0"/>
                    <w:bottom w:val="single" w:color="auto" w:sz="2" w:space="0"/>
                    <w:right w:val="single" w:color="auto" w:sz="2" w:space="0"/>
                  </w:tcBorders>
                  <w:vAlign w:val="center"/>
                </w:tcPr>
                <w:p w14:paraId="3D387385">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pacing w:val="-10"/>
                      <w:sz w:val="21"/>
                      <w:szCs w:val="21"/>
                      <w:lang w:val="en-US" w:eastAsia="zh-CN"/>
                    </w:rPr>
                    <w:t>20.78</w:t>
                  </w:r>
                </w:p>
              </w:tc>
              <w:tc>
                <w:tcPr>
                  <w:tcW w:w="784" w:type="pct"/>
                  <w:tcBorders>
                    <w:top w:val="single" w:color="auto" w:sz="2" w:space="0"/>
                    <w:left w:val="single" w:color="auto" w:sz="2" w:space="0"/>
                    <w:bottom w:val="single" w:color="auto" w:sz="2" w:space="0"/>
                    <w:right w:val="single" w:color="auto" w:sz="2" w:space="0"/>
                  </w:tcBorders>
                  <w:vAlign w:val="center"/>
                </w:tcPr>
                <w:p w14:paraId="39B4997F">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r>
            <w:tr w14:paraId="6248BA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33" w:hRule="atLeast"/>
                <w:jc w:val="center"/>
              </w:trPr>
              <w:tc>
                <w:tcPr>
                  <w:tcW w:w="399" w:type="pct"/>
                  <w:vMerge w:val="continue"/>
                  <w:tcBorders>
                    <w:left w:val="single" w:color="auto" w:sz="2" w:space="0"/>
                    <w:right w:val="single" w:color="auto" w:sz="2" w:space="0"/>
                  </w:tcBorders>
                  <w:vAlign w:val="center"/>
                </w:tcPr>
                <w:p w14:paraId="7B169030">
                  <w:pPr>
                    <w:adjustRightInd w:val="0"/>
                    <w:spacing w:line="360" w:lineRule="exact"/>
                    <w:ind w:firstLine="0" w:firstLineChars="0"/>
                    <w:jc w:val="center"/>
                    <w:rPr>
                      <w:bCs/>
                      <w:color w:val="auto"/>
                      <w:spacing w:val="-10"/>
                      <w:sz w:val="21"/>
                      <w:szCs w:val="21"/>
                    </w:rPr>
                  </w:pPr>
                </w:p>
              </w:tc>
              <w:tc>
                <w:tcPr>
                  <w:tcW w:w="927" w:type="pct"/>
                  <w:tcBorders>
                    <w:top w:val="single" w:color="auto" w:sz="2" w:space="0"/>
                    <w:left w:val="single" w:color="auto" w:sz="2" w:space="0"/>
                    <w:bottom w:val="single" w:color="auto" w:sz="4" w:space="0"/>
                    <w:right w:val="single" w:color="auto" w:sz="2" w:space="0"/>
                  </w:tcBorders>
                  <w:vAlign w:val="center"/>
                </w:tcPr>
                <w:p w14:paraId="2BA6835D">
                  <w:pPr>
                    <w:spacing w:line="360" w:lineRule="exact"/>
                    <w:ind w:firstLine="0" w:firstLineChars="0"/>
                    <w:jc w:val="center"/>
                    <w:rPr>
                      <w:bCs/>
                      <w:color w:val="auto"/>
                      <w:spacing w:val="-10"/>
                      <w:sz w:val="21"/>
                      <w:szCs w:val="21"/>
                    </w:rPr>
                  </w:pPr>
                  <w:r>
                    <w:rPr>
                      <w:rFonts w:hint="eastAsia"/>
                      <w:color w:val="auto"/>
                      <w:sz w:val="21"/>
                      <w:szCs w:val="21"/>
                    </w:rPr>
                    <w:t>布袋除尘器收集粉尘</w:t>
                  </w:r>
                </w:p>
              </w:tc>
              <w:tc>
                <w:tcPr>
                  <w:tcW w:w="575" w:type="pct"/>
                  <w:tcBorders>
                    <w:top w:val="single" w:color="auto" w:sz="2" w:space="0"/>
                    <w:left w:val="single" w:color="auto" w:sz="2" w:space="0"/>
                    <w:bottom w:val="single" w:color="auto" w:sz="4" w:space="0"/>
                    <w:right w:val="single" w:color="auto" w:sz="2" w:space="0"/>
                  </w:tcBorders>
                  <w:vAlign w:val="center"/>
                </w:tcPr>
                <w:p w14:paraId="2E0A5F6D">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641" w:type="pct"/>
                  <w:tcBorders>
                    <w:top w:val="single" w:color="auto" w:sz="2" w:space="0"/>
                    <w:left w:val="single" w:color="auto" w:sz="2" w:space="0"/>
                    <w:bottom w:val="single" w:color="auto" w:sz="4" w:space="0"/>
                    <w:right w:val="single" w:color="auto" w:sz="2" w:space="0"/>
                  </w:tcBorders>
                  <w:vAlign w:val="center"/>
                </w:tcPr>
                <w:p w14:paraId="5EFBADDD">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z w:val="21"/>
                      <w:szCs w:val="21"/>
                      <w:lang w:val="en-US" w:eastAsia="zh-CN"/>
                    </w:rPr>
                    <w:t>129.159</w:t>
                  </w:r>
                </w:p>
              </w:tc>
              <w:tc>
                <w:tcPr>
                  <w:tcW w:w="767" w:type="pct"/>
                  <w:tcBorders>
                    <w:top w:val="single" w:color="auto" w:sz="2" w:space="0"/>
                    <w:left w:val="single" w:color="auto" w:sz="2" w:space="0"/>
                    <w:bottom w:val="single" w:color="auto" w:sz="4" w:space="0"/>
                    <w:right w:val="single" w:color="auto" w:sz="2" w:space="0"/>
                  </w:tcBorders>
                  <w:vAlign w:val="center"/>
                </w:tcPr>
                <w:p w14:paraId="7849EC3F">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903" w:type="pct"/>
                  <w:tcBorders>
                    <w:top w:val="single" w:color="auto" w:sz="2" w:space="0"/>
                    <w:left w:val="single" w:color="auto" w:sz="2" w:space="0"/>
                    <w:bottom w:val="single" w:color="auto" w:sz="4" w:space="0"/>
                    <w:right w:val="single" w:color="auto" w:sz="2" w:space="0"/>
                  </w:tcBorders>
                  <w:vAlign w:val="center"/>
                </w:tcPr>
                <w:p w14:paraId="46F91B7B">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z w:val="21"/>
                      <w:szCs w:val="21"/>
                      <w:lang w:val="en-US" w:eastAsia="zh-CN"/>
                    </w:rPr>
                    <w:t>129.159</w:t>
                  </w:r>
                </w:p>
              </w:tc>
              <w:tc>
                <w:tcPr>
                  <w:tcW w:w="784" w:type="pct"/>
                  <w:tcBorders>
                    <w:top w:val="single" w:color="auto" w:sz="2" w:space="0"/>
                    <w:left w:val="single" w:color="auto" w:sz="2" w:space="0"/>
                    <w:bottom w:val="single" w:color="auto" w:sz="4" w:space="0"/>
                    <w:right w:val="single" w:color="auto" w:sz="2" w:space="0"/>
                  </w:tcBorders>
                  <w:vAlign w:val="center"/>
                </w:tcPr>
                <w:p w14:paraId="5DA01B6B">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r>
            <w:tr w14:paraId="3928E9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92" w:hRule="atLeast"/>
                <w:jc w:val="center"/>
              </w:trPr>
              <w:tc>
                <w:tcPr>
                  <w:tcW w:w="399" w:type="pct"/>
                  <w:vMerge w:val="continue"/>
                  <w:tcBorders>
                    <w:left w:val="single" w:color="auto" w:sz="2" w:space="0"/>
                    <w:right w:val="single" w:color="auto" w:sz="2" w:space="0"/>
                  </w:tcBorders>
                  <w:vAlign w:val="center"/>
                </w:tcPr>
                <w:p w14:paraId="1B2C7567">
                  <w:pPr>
                    <w:adjustRightInd w:val="0"/>
                    <w:spacing w:line="360" w:lineRule="exact"/>
                    <w:ind w:firstLine="0" w:firstLineChars="0"/>
                    <w:jc w:val="center"/>
                    <w:rPr>
                      <w:bCs/>
                      <w:color w:val="auto"/>
                      <w:spacing w:val="-10"/>
                      <w:sz w:val="21"/>
                      <w:szCs w:val="21"/>
                    </w:rPr>
                  </w:pPr>
                </w:p>
              </w:tc>
              <w:tc>
                <w:tcPr>
                  <w:tcW w:w="927" w:type="pct"/>
                  <w:tcBorders>
                    <w:top w:val="single" w:color="auto" w:sz="4" w:space="0"/>
                    <w:left w:val="single" w:color="auto" w:sz="2" w:space="0"/>
                    <w:bottom w:val="single" w:color="auto" w:sz="2" w:space="0"/>
                    <w:right w:val="single" w:color="auto" w:sz="2" w:space="0"/>
                  </w:tcBorders>
                  <w:vAlign w:val="center"/>
                </w:tcPr>
                <w:p w14:paraId="13A0ABC4">
                  <w:pPr>
                    <w:spacing w:line="360" w:lineRule="exact"/>
                    <w:ind w:firstLine="0" w:firstLineChars="0"/>
                    <w:jc w:val="center"/>
                    <w:rPr>
                      <w:color w:val="auto"/>
                      <w:sz w:val="21"/>
                      <w:szCs w:val="21"/>
                    </w:rPr>
                  </w:pPr>
                  <w:r>
                    <w:rPr>
                      <w:rFonts w:hint="eastAsia"/>
                      <w:color w:val="auto"/>
                      <w:sz w:val="21"/>
                      <w:szCs w:val="21"/>
                    </w:rPr>
                    <w:t>废布袋</w:t>
                  </w:r>
                </w:p>
              </w:tc>
              <w:tc>
                <w:tcPr>
                  <w:tcW w:w="575" w:type="pct"/>
                  <w:tcBorders>
                    <w:top w:val="single" w:color="auto" w:sz="4" w:space="0"/>
                    <w:left w:val="single" w:color="auto" w:sz="2" w:space="0"/>
                    <w:bottom w:val="single" w:color="auto" w:sz="2" w:space="0"/>
                    <w:right w:val="single" w:color="auto" w:sz="2" w:space="0"/>
                  </w:tcBorders>
                  <w:vAlign w:val="center"/>
                </w:tcPr>
                <w:p w14:paraId="15EA2C49">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641" w:type="pct"/>
                  <w:tcBorders>
                    <w:top w:val="single" w:color="auto" w:sz="4" w:space="0"/>
                    <w:left w:val="single" w:color="auto" w:sz="2" w:space="0"/>
                    <w:bottom w:val="single" w:color="auto" w:sz="2" w:space="0"/>
                    <w:right w:val="single" w:color="auto" w:sz="2" w:space="0"/>
                  </w:tcBorders>
                  <w:vAlign w:val="center"/>
                </w:tcPr>
                <w:p w14:paraId="53B1BB32">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pacing w:val="-10"/>
                      <w:sz w:val="21"/>
                      <w:szCs w:val="21"/>
                    </w:rPr>
                    <w:t>0.</w:t>
                  </w:r>
                  <w:r>
                    <w:rPr>
                      <w:rFonts w:hint="eastAsia"/>
                      <w:bCs/>
                      <w:color w:val="auto"/>
                      <w:spacing w:val="-10"/>
                      <w:sz w:val="21"/>
                      <w:szCs w:val="21"/>
                      <w:lang w:val="en-US" w:eastAsia="zh-CN"/>
                    </w:rPr>
                    <w:t>02</w:t>
                  </w:r>
                </w:p>
              </w:tc>
              <w:tc>
                <w:tcPr>
                  <w:tcW w:w="767" w:type="pct"/>
                  <w:tcBorders>
                    <w:top w:val="single" w:color="auto" w:sz="4" w:space="0"/>
                    <w:left w:val="single" w:color="auto" w:sz="2" w:space="0"/>
                    <w:bottom w:val="single" w:color="auto" w:sz="2" w:space="0"/>
                    <w:right w:val="single" w:color="auto" w:sz="2" w:space="0"/>
                  </w:tcBorders>
                  <w:vAlign w:val="center"/>
                </w:tcPr>
                <w:p w14:paraId="64673C5D">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903" w:type="pct"/>
                  <w:tcBorders>
                    <w:top w:val="single" w:color="auto" w:sz="4" w:space="0"/>
                    <w:left w:val="single" w:color="auto" w:sz="2" w:space="0"/>
                    <w:bottom w:val="single" w:color="auto" w:sz="2" w:space="0"/>
                    <w:right w:val="single" w:color="auto" w:sz="2" w:space="0"/>
                  </w:tcBorders>
                  <w:vAlign w:val="center"/>
                </w:tcPr>
                <w:p w14:paraId="67839566">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pacing w:val="-10"/>
                      <w:sz w:val="21"/>
                      <w:szCs w:val="21"/>
                    </w:rPr>
                    <w:t>0.</w:t>
                  </w:r>
                  <w:r>
                    <w:rPr>
                      <w:rFonts w:hint="eastAsia"/>
                      <w:bCs/>
                      <w:color w:val="auto"/>
                      <w:spacing w:val="-10"/>
                      <w:sz w:val="21"/>
                      <w:szCs w:val="21"/>
                      <w:lang w:val="en-US" w:eastAsia="zh-CN"/>
                    </w:rPr>
                    <w:t>02</w:t>
                  </w:r>
                </w:p>
              </w:tc>
              <w:tc>
                <w:tcPr>
                  <w:tcW w:w="784" w:type="pct"/>
                  <w:tcBorders>
                    <w:top w:val="single" w:color="auto" w:sz="4" w:space="0"/>
                    <w:left w:val="single" w:color="auto" w:sz="2" w:space="0"/>
                    <w:bottom w:val="single" w:color="auto" w:sz="2" w:space="0"/>
                    <w:right w:val="single" w:color="auto" w:sz="2" w:space="0"/>
                  </w:tcBorders>
                  <w:vAlign w:val="center"/>
                </w:tcPr>
                <w:p w14:paraId="3E074D2F">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r>
            <w:tr w14:paraId="575814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245" w:hRule="atLeast"/>
                <w:jc w:val="center"/>
              </w:trPr>
              <w:tc>
                <w:tcPr>
                  <w:tcW w:w="399" w:type="pct"/>
                  <w:vMerge w:val="continue"/>
                  <w:tcBorders>
                    <w:left w:val="single" w:color="auto" w:sz="2" w:space="0"/>
                    <w:right w:val="single" w:color="auto" w:sz="2" w:space="0"/>
                  </w:tcBorders>
                  <w:vAlign w:val="center"/>
                </w:tcPr>
                <w:p w14:paraId="0167E778">
                  <w:pPr>
                    <w:adjustRightInd w:val="0"/>
                    <w:spacing w:line="360" w:lineRule="exact"/>
                    <w:ind w:firstLine="0" w:firstLineChars="0"/>
                    <w:jc w:val="center"/>
                    <w:rPr>
                      <w:bCs/>
                      <w:color w:val="auto"/>
                      <w:spacing w:val="-10"/>
                      <w:sz w:val="21"/>
                      <w:szCs w:val="21"/>
                    </w:rPr>
                  </w:pPr>
                </w:p>
              </w:tc>
              <w:tc>
                <w:tcPr>
                  <w:tcW w:w="927" w:type="pct"/>
                  <w:tcBorders>
                    <w:top w:val="single" w:color="auto" w:sz="2" w:space="0"/>
                    <w:left w:val="single" w:color="auto" w:sz="2" w:space="0"/>
                    <w:bottom w:val="single" w:color="auto" w:sz="4" w:space="0"/>
                    <w:right w:val="single" w:color="auto" w:sz="2" w:space="0"/>
                  </w:tcBorders>
                  <w:vAlign w:val="center"/>
                </w:tcPr>
                <w:p w14:paraId="0A279E45">
                  <w:pPr>
                    <w:spacing w:line="360" w:lineRule="exact"/>
                    <w:ind w:firstLine="0" w:firstLineChars="0"/>
                    <w:jc w:val="center"/>
                    <w:rPr>
                      <w:bCs/>
                      <w:color w:val="auto"/>
                      <w:spacing w:val="-10"/>
                      <w:sz w:val="21"/>
                      <w:szCs w:val="21"/>
                    </w:rPr>
                  </w:pPr>
                  <w:r>
                    <w:rPr>
                      <w:rFonts w:hint="eastAsia"/>
                      <w:color w:val="auto"/>
                      <w:sz w:val="21"/>
                      <w:szCs w:val="21"/>
                    </w:rPr>
                    <w:t>废机油</w:t>
                  </w:r>
                </w:p>
              </w:tc>
              <w:tc>
                <w:tcPr>
                  <w:tcW w:w="575" w:type="pct"/>
                  <w:tcBorders>
                    <w:top w:val="single" w:color="auto" w:sz="2" w:space="0"/>
                    <w:left w:val="single" w:color="auto" w:sz="2" w:space="0"/>
                    <w:bottom w:val="single" w:color="auto" w:sz="4" w:space="0"/>
                    <w:right w:val="single" w:color="auto" w:sz="2" w:space="0"/>
                  </w:tcBorders>
                  <w:vAlign w:val="center"/>
                </w:tcPr>
                <w:p w14:paraId="2CEF6EF9">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641" w:type="pct"/>
                  <w:tcBorders>
                    <w:top w:val="single" w:color="auto" w:sz="2" w:space="0"/>
                    <w:left w:val="single" w:color="auto" w:sz="2" w:space="0"/>
                    <w:bottom w:val="single" w:color="auto" w:sz="4" w:space="0"/>
                    <w:right w:val="single" w:color="auto" w:sz="2" w:space="0"/>
                  </w:tcBorders>
                  <w:vAlign w:val="center"/>
                </w:tcPr>
                <w:p w14:paraId="78810462">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0.2</w:t>
                  </w:r>
                </w:p>
              </w:tc>
              <w:tc>
                <w:tcPr>
                  <w:tcW w:w="767" w:type="pct"/>
                  <w:tcBorders>
                    <w:top w:val="single" w:color="auto" w:sz="2" w:space="0"/>
                    <w:left w:val="single" w:color="auto" w:sz="2" w:space="0"/>
                    <w:bottom w:val="single" w:color="auto" w:sz="4" w:space="0"/>
                    <w:right w:val="single" w:color="auto" w:sz="2" w:space="0"/>
                  </w:tcBorders>
                  <w:vAlign w:val="center"/>
                </w:tcPr>
                <w:p w14:paraId="08921575">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903" w:type="pct"/>
                  <w:tcBorders>
                    <w:top w:val="single" w:color="auto" w:sz="2" w:space="0"/>
                    <w:left w:val="single" w:color="auto" w:sz="2" w:space="0"/>
                    <w:bottom w:val="single" w:color="auto" w:sz="4" w:space="0"/>
                    <w:right w:val="single" w:color="auto" w:sz="2" w:space="0"/>
                  </w:tcBorders>
                  <w:vAlign w:val="center"/>
                </w:tcPr>
                <w:p w14:paraId="674DF04F">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0.2</w:t>
                  </w:r>
                </w:p>
              </w:tc>
              <w:tc>
                <w:tcPr>
                  <w:tcW w:w="784" w:type="pct"/>
                  <w:tcBorders>
                    <w:top w:val="single" w:color="auto" w:sz="2" w:space="0"/>
                    <w:left w:val="single" w:color="auto" w:sz="2" w:space="0"/>
                    <w:bottom w:val="single" w:color="auto" w:sz="4" w:space="0"/>
                    <w:right w:val="single" w:color="auto" w:sz="2" w:space="0"/>
                  </w:tcBorders>
                  <w:vAlign w:val="center"/>
                </w:tcPr>
                <w:p w14:paraId="3408F97E">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r>
            <w:tr w14:paraId="481CE2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88" w:hRule="atLeast"/>
                <w:jc w:val="center"/>
              </w:trPr>
              <w:tc>
                <w:tcPr>
                  <w:tcW w:w="399" w:type="pct"/>
                  <w:vMerge w:val="continue"/>
                  <w:tcBorders>
                    <w:left w:val="single" w:color="auto" w:sz="2" w:space="0"/>
                    <w:right w:val="single" w:color="auto" w:sz="2" w:space="0"/>
                  </w:tcBorders>
                  <w:vAlign w:val="center"/>
                </w:tcPr>
                <w:p w14:paraId="692078D0">
                  <w:pPr>
                    <w:adjustRightInd w:val="0"/>
                    <w:spacing w:line="360" w:lineRule="exact"/>
                    <w:ind w:firstLine="0" w:firstLineChars="0"/>
                    <w:jc w:val="center"/>
                    <w:rPr>
                      <w:bCs/>
                      <w:color w:val="auto"/>
                      <w:spacing w:val="-10"/>
                      <w:sz w:val="21"/>
                      <w:szCs w:val="21"/>
                    </w:rPr>
                  </w:pPr>
                </w:p>
              </w:tc>
              <w:tc>
                <w:tcPr>
                  <w:tcW w:w="927" w:type="pct"/>
                  <w:tcBorders>
                    <w:top w:val="single" w:color="auto" w:sz="4" w:space="0"/>
                    <w:left w:val="single" w:color="auto" w:sz="2" w:space="0"/>
                    <w:bottom w:val="single" w:color="auto" w:sz="2" w:space="0"/>
                    <w:right w:val="single" w:color="auto" w:sz="2" w:space="0"/>
                  </w:tcBorders>
                  <w:vAlign w:val="center"/>
                </w:tcPr>
                <w:p w14:paraId="1DC7C1D2">
                  <w:pPr>
                    <w:spacing w:line="360" w:lineRule="exact"/>
                    <w:ind w:firstLine="0" w:firstLineChars="0"/>
                    <w:jc w:val="center"/>
                    <w:rPr>
                      <w:color w:val="auto"/>
                      <w:sz w:val="21"/>
                      <w:szCs w:val="21"/>
                    </w:rPr>
                  </w:pPr>
                  <w:r>
                    <w:rPr>
                      <w:rFonts w:hint="eastAsia"/>
                      <w:color w:val="auto"/>
                      <w:sz w:val="21"/>
                      <w:szCs w:val="21"/>
                    </w:rPr>
                    <w:t>含机油废抹布和废手套</w:t>
                  </w:r>
                </w:p>
              </w:tc>
              <w:tc>
                <w:tcPr>
                  <w:tcW w:w="575" w:type="pct"/>
                  <w:tcBorders>
                    <w:top w:val="single" w:color="auto" w:sz="4" w:space="0"/>
                    <w:left w:val="single" w:color="auto" w:sz="2" w:space="0"/>
                    <w:bottom w:val="single" w:color="auto" w:sz="2" w:space="0"/>
                    <w:right w:val="single" w:color="auto" w:sz="2" w:space="0"/>
                  </w:tcBorders>
                  <w:vAlign w:val="center"/>
                </w:tcPr>
                <w:p w14:paraId="13634B3E">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641" w:type="pct"/>
                  <w:tcBorders>
                    <w:top w:val="single" w:color="auto" w:sz="4" w:space="0"/>
                    <w:left w:val="single" w:color="auto" w:sz="2" w:space="0"/>
                    <w:bottom w:val="single" w:color="auto" w:sz="2" w:space="0"/>
                    <w:right w:val="single" w:color="auto" w:sz="2" w:space="0"/>
                  </w:tcBorders>
                  <w:vAlign w:val="center"/>
                </w:tcPr>
                <w:p w14:paraId="634A349B">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pacing w:val="-10"/>
                      <w:sz w:val="21"/>
                      <w:szCs w:val="21"/>
                    </w:rPr>
                    <w:t>0.</w:t>
                  </w:r>
                  <w:r>
                    <w:rPr>
                      <w:rFonts w:hint="eastAsia"/>
                      <w:bCs/>
                      <w:color w:val="auto"/>
                      <w:spacing w:val="-10"/>
                      <w:sz w:val="21"/>
                      <w:szCs w:val="21"/>
                      <w:lang w:val="en-US" w:eastAsia="zh-CN"/>
                    </w:rPr>
                    <w:t>01</w:t>
                  </w:r>
                </w:p>
              </w:tc>
              <w:tc>
                <w:tcPr>
                  <w:tcW w:w="767" w:type="pct"/>
                  <w:tcBorders>
                    <w:top w:val="single" w:color="auto" w:sz="4" w:space="0"/>
                    <w:left w:val="single" w:color="auto" w:sz="2" w:space="0"/>
                    <w:bottom w:val="single" w:color="auto" w:sz="2" w:space="0"/>
                    <w:right w:val="single" w:color="auto" w:sz="2" w:space="0"/>
                  </w:tcBorders>
                  <w:vAlign w:val="center"/>
                </w:tcPr>
                <w:p w14:paraId="30D10928">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c>
                <w:tcPr>
                  <w:tcW w:w="903" w:type="pct"/>
                  <w:tcBorders>
                    <w:top w:val="single" w:color="auto" w:sz="4" w:space="0"/>
                    <w:left w:val="single" w:color="auto" w:sz="2" w:space="0"/>
                    <w:bottom w:val="single" w:color="auto" w:sz="2" w:space="0"/>
                    <w:right w:val="single" w:color="auto" w:sz="2" w:space="0"/>
                  </w:tcBorders>
                  <w:vAlign w:val="center"/>
                </w:tcPr>
                <w:p w14:paraId="5E591E1E">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pacing w:val="-10"/>
                      <w:sz w:val="21"/>
                      <w:szCs w:val="21"/>
                    </w:rPr>
                    <w:t>0.</w:t>
                  </w:r>
                  <w:r>
                    <w:rPr>
                      <w:rFonts w:hint="eastAsia"/>
                      <w:bCs/>
                      <w:color w:val="auto"/>
                      <w:spacing w:val="-10"/>
                      <w:sz w:val="21"/>
                      <w:szCs w:val="21"/>
                      <w:lang w:val="en-US" w:eastAsia="zh-CN"/>
                    </w:rPr>
                    <w:t>01</w:t>
                  </w:r>
                </w:p>
              </w:tc>
              <w:tc>
                <w:tcPr>
                  <w:tcW w:w="784" w:type="pct"/>
                  <w:tcBorders>
                    <w:top w:val="single" w:color="auto" w:sz="4" w:space="0"/>
                    <w:left w:val="single" w:color="auto" w:sz="2" w:space="0"/>
                    <w:bottom w:val="single" w:color="auto" w:sz="2" w:space="0"/>
                    <w:right w:val="single" w:color="auto" w:sz="2" w:space="0"/>
                  </w:tcBorders>
                  <w:vAlign w:val="center"/>
                </w:tcPr>
                <w:p w14:paraId="1BE555E5">
                  <w:pPr>
                    <w:adjustRightInd w:val="0"/>
                    <w:spacing w:line="360" w:lineRule="exact"/>
                    <w:ind w:firstLine="0" w:firstLineChars="0"/>
                    <w:jc w:val="center"/>
                    <w:rPr>
                      <w:bCs/>
                      <w:color w:val="auto"/>
                      <w:spacing w:val="-10"/>
                      <w:sz w:val="21"/>
                      <w:szCs w:val="21"/>
                    </w:rPr>
                  </w:pPr>
                  <w:r>
                    <w:rPr>
                      <w:rFonts w:hint="eastAsia"/>
                      <w:bCs/>
                      <w:color w:val="auto"/>
                      <w:spacing w:val="-10"/>
                      <w:sz w:val="21"/>
                      <w:szCs w:val="21"/>
                    </w:rPr>
                    <w:t>/</w:t>
                  </w:r>
                </w:p>
              </w:tc>
            </w:tr>
            <w:tr w14:paraId="6E271F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88" w:hRule="atLeast"/>
                <w:jc w:val="center"/>
              </w:trPr>
              <w:tc>
                <w:tcPr>
                  <w:tcW w:w="399" w:type="pct"/>
                  <w:vMerge w:val="continue"/>
                  <w:tcBorders>
                    <w:left w:val="single" w:color="auto" w:sz="2" w:space="0"/>
                    <w:right w:val="single" w:color="auto" w:sz="2" w:space="0"/>
                  </w:tcBorders>
                  <w:vAlign w:val="center"/>
                </w:tcPr>
                <w:p w14:paraId="49F53FE7">
                  <w:pPr>
                    <w:adjustRightInd w:val="0"/>
                    <w:spacing w:line="360" w:lineRule="exact"/>
                    <w:ind w:firstLine="0" w:firstLineChars="0"/>
                    <w:jc w:val="center"/>
                    <w:rPr>
                      <w:bCs/>
                      <w:color w:val="auto"/>
                      <w:spacing w:val="-10"/>
                      <w:sz w:val="21"/>
                      <w:szCs w:val="21"/>
                    </w:rPr>
                  </w:pPr>
                </w:p>
              </w:tc>
              <w:tc>
                <w:tcPr>
                  <w:tcW w:w="927" w:type="pct"/>
                  <w:tcBorders>
                    <w:top w:val="single" w:color="auto" w:sz="4" w:space="0"/>
                    <w:left w:val="single" w:color="auto" w:sz="2" w:space="0"/>
                    <w:bottom w:val="single" w:color="auto" w:sz="2" w:space="0"/>
                    <w:right w:val="single" w:color="auto" w:sz="2" w:space="0"/>
                  </w:tcBorders>
                  <w:vAlign w:val="center"/>
                </w:tcPr>
                <w:p w14:paraId="091E57E5">
                  <w:pPr>
                    <w:spacing w:line="360" w:lineRule="exact"/>
                    <w:ind w:firstLine="0" w:firstLineChars="0"/>
                    <w:jc w:val="center"/>
                    <w:rPr>
                      <w:rFonts w:hint="default" w:eastAsia="宋体"/>
                      <w:color w:val="auto"/>
                      <w:sz w:val="21"/>
                      <w:szCs w:val="21"/>
                      <w:lang w:val="en-US" w:eastAsia="zh-CN"/>
                    </w:rPr>
                  </w:pPr>
                  <w:r>
                    <w:rPr>
                      <w:rFonts w:hint="eastAsia"/>
                      <w:color w:val="auto"/>
                      <w:sz w:val="21"/>
                      <w:szCs w:val="21"/>
                      <w:lang w:val="en-US" w:eastAsia="zh-CN"/>
                    </w:rPr>
                    <w:t>生活垃圾</w:t>
                  </w:r>
                </w:p>
              </w:tc>
              <w:tc>
                <w:tcPr>
                  <w:tcW w:w="575" w:type="pct"/>
                  <w:tcBorders>
                    <w:top w:val="single" w:color="auto" w:sz="4" w:space="0"/>
                    <w:left w:val="single" w:color="auto" w:sz="2" w:space="0"/>
                    <w:bottom w:val="single" w:color="auto" w:sz="2" w:space="0"/>
                    <w:right w:val="single" w:color="auto" w:sz="2" w:space="0"/>
                  </w:tcBorders>
                  <w:vAlign w:val="center"/>
                </w:tcPr>
                <w:p w14:paraId="0C61B37E">
                  <w:pPr>
                    <w:adjustRightInd w:val="0"/>
                    <w:spacing w:line="360" w:lineRule="exact"/>
                    <w:ind w:firstLine="0" w:firstLineChars="0"/>
                    <w:jc w:val="center"/>
                    <w:rPr>
                      <w:rFonts w:hint="eastAsia" w:eastAsia="宋体"/>
                      <w:bCs/>
                      <w:color w:val="auto"/>
                      <w:spacing w:val="-10"/>
                      <w:sz w:val="21"/>
                      <w:szCs w:val="21"/>
                      <w:lang w:val="en-US" w:eastAsia="zh-CN"/>
                    </w:rPr>
                  </w:pPr>
                  <w:r>
                    <w:rPr>
                      <w:rFonts w:hint="eastAsia"/>
                      <w:bCs/>
                      <w:color w:val="auto"/>
                      <w:spacing w:val="-10"/>
                      <w:sz w:val="21"/>
                      <w:szCs w:val="21"/>
                      <w:lang w:val="en-US" w:eastAsia="zh-CN"/>
                    </w:rPr>
                    <w:t>/</w:t>
                  </w:r>
                </w:p>
              </w:tc>
              <w:tc>
                <w:tcPr>
                  <w:tcW w:w="641" w:type="pct"/>
                  <w:tcBorders>
                    <w:top w:val="single" w:color="auto" w:sz="4" w:space="0"/>
                    <w:left w:val="single" w:color="auto" w:sz="2" w:space="0"/>
                    <w:bottom w:val="single" w:color="auto" w:sz="2" w:space="0"/>
                    <w:right w:val="single" w:color="auto" w:sz="2" w:space="0"/>
                  </w:tcBorders>
                  <w:vAlign w:val="center"/>
                </w:tcPr>
                <w:p w14:paraId="5A295534">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pacing w:val="-10"/>
                      <w:sz w:val="21"/>
                      <w:szCs w:val="21"/>
                      <w:lang w:val="en-US" w:eastAsia="zh-CN"/>
                    </w:rPr>
                    <w:t>3.6</w:t>
                  </w:r>
                </w:p>
              </w:tc>
              <w:tc>
                <w:tcPr>
                  <w:tcW w:w="767" w:type="pct"/>
                  <w:tcBorders>
                    <w:top w:val="single" w:color="auto" w:sz="4" w:space="0"/>
                    <w:left w:val="single" w:color="auto" w:sz="2" w:space="0"/>
                    <w:bottom w:val="single" w:color="auto" w:sz="2" w:space="0"/>
                    <w:right w:val="single" w:color="auto" w:sz="2" w:space="0"/>
                  </w:tcBorders>
                  <w:vAlign w:val="center"/>
                </w:tcPr>
                <w:p w14:paraId="6AFD835A">
                  <w:pPr>
                    <w:adjustRightInd w:val="0"/>
                    <w:spacing w:line="360" w:lineRule="exact"/>
                    <w:ind w:firstLine="0" w:firstLineChars="0"/>
                    <w:jc w:val="center"/>
                    <w:rPr>
                      <w:rFonts w:hint="eastAsia" w:eastAsia="宋体"/>
                      <w:bCs/>
                      <w:color w:val="auto"/>
                      <w:spacing w:val="-10"/>
                      <w:sz w:val="21"/>
                      <w:szCs w:val="21"/>
                      <w:lang w:val="en-US" w:eastAsia="zh-CN"/>
                    </w:rPr>
                  </w:pPr>
                  <w:r>
                    <w:rPr>
                      <w:rFonts w:hint="eastAsia"/>
                      <w:bCs/>
                      <w:color w:val="auto"/>
                      <w:spacing w:val="-10"/>
                      <w:sz w:val="21"/>
                      <w:szCs w:val="21"/>
                      <w:lang w:val="en-US" w:eastAsia="zh-CN"/>
                    </w:rPr>
                    <w:t>/</w:t>
                  </w:r>
                </w:p>
              </w:tc>
              <w:tc>
                <w:tcPr>
                  <w:tcW w:w="903" w:type="pct"/>
                  <w:tcBorders>
                    <w:top w:val="single" w:color="auto" w:sz="4" w:space="0"/>
                    <w:left w:val="single" w:color="auto" w:sz="2" w:space="0"/>
                    <w:bottom w:val="single" w:color="auto" w:sz="2" w:space="0"/>
                    <w:right w:val="single" w:color="auto" w:sz="2" w:space="0"/>
                  </w:tcBorders>
                  <w:vAlign w:val="center"/>
                </w:tcPr>
                <w:p w14:paraId="0DAB06F6">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pacing w:val="-10"/>
                      <w:sz w:val="21"/>
                      <w:szCs w:val="21"/>
                      <w:lang w:val="en-US" w:eastAsia="zh-CN"/>
                    </w:rPr>
                    <w:t>3.6</w:t>
                  </w:r>
                </w:p>
              </w:tc>
              <w:tc>
                <w:tcPr>
                  <w:tcW w:w="784" w:type="pct"/>
                  <w:tcBorders>
                    <w:top w:val="single" w:color="auto" w:sz="4" w:space="0"/>
                    <w:left w:val="single" w:color="auto" w:sz="2" w:space="0"/>
                    <w:bottom w:val="single" w:color="auto" w:sz="2" w:space="0"/>
                    <w:right w:val="single" w:color="auto" w:sz="2" w:space="0"/>
                  </w:tcBorders>
                  <w:vAlign w:val="center"/>
                </w:tcPr>
                <w:p w14:paraId="0A22CBE4">
                  <w:pPr>
                    <w:adjustRightInd w:val="0"/>
                    <w:spacing w:line="360" w:lineRule="exact"/>
                    <w:ind w:firstLine="0" w:firstLineChars="0"/>
                    <w:jc w:val="center"/>
                    <w:rPr>
                      <w:rFonts w:hint="eastAsia" w:eastAsia="宋体"/>
                      <w:bCs/>
                      <w:color w:val="auto"/>
                      <w:spacing w:val="-10"/>
                      <w:sz w:val="21"/>
                      <w:szCs w:val="21"/>
                      <w:lang w:val="en-US" w:eastAsia="zh-CN"/>
                    </w:rPr>
                  </w:pPr>
                  <w:r>
                    <w:rPr>
                      <w:rFonts w:hint="eastAsia"/>
                      <w:bCs/>
                      <w:color w:val="auto"/>
                      <w:spacing w:val="-10"/>
                      <w:sz w:val="21"/>
                      <w:szCs w:val="21"/>
                      <w:lang w:val="en-US" w:eastAsia="zh-CN"/>
                    </w:rPr>
                    <w:t>/</w:t>
                  </w:r>
                </w:p>
              </w:tc>
            </w:tr>
            <w:tr w14:paraId="0B021A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188" w:hRule="atLeast"/>
                <w:jc w:val="center"/>
              </w:trPr>
              <w:tc>
                <w:tcPr>
                  <w:tcW w:w="399" w:type="pct"/>
                  <w:vMerge w:val="continue"/>
                  <w:tcBorders>
                    <w:left w:val="single" w:color="auto" w:sz="2" w:space="0"/>
                    <w:bottom w:val="single" w:color="auto" w:sz="2" w:space="0"/>
                    <w:right w:val="single" w:color="auto" w:sz="2" w:space="0"/>
                  </w:tcBorders>
                  <w:vAlign w:val="center"/>
                </w:tcPr>
                <w:p w14:paraId="430A3F12">
                  <w:pPr>
                    <w:adjustRightInd w:val="0"/>
                    <w:spacing w:line="360" w:lineRule="exact"/>
                    <w:ind w:firstLine="0" w:firstLineChars="0"/>
                    <w:jc w:val="center"/>
                    <w:rPr>
                      <w:bCs/>
                      <w:color w:val="auto"/>
                      <w:spacing w:val="-10"/>
                      <w:sz w:val="21"/>
                      <w:szCs w:val="21"/>
                    </w:rPr>
                  </w:pPr>
                </w:p>
              </w:tc>
              <w:tc>
                <w:tcPr>
                  <w:tcW w:w="927" w:type="pct"/>
                  <w:tcBorders>
                    <w:top w:val="single" w:color="auto" w:sz="4" w:space="0"/>
                    <w:left w:val="single" w:color="auto" w:sz="2" w:space="0"/>
                    <w:bottom w:val="single" w:color="auto" w:sz="2" w:space="0"/>
                    <w:right w:val="single" w:color="auto" w:sz="2" w:space="0"/>
                  </w:tcBorders>
                  <w:vAlign w:val="center"/>
                </w:tcPr>
                <w:p w14:paraId="4CA0F900">
                  <w:pPr>
                    <w:spacing w:line="360" w:lineRule="exact"/>
                    <w:ind w:firstLine="0" w:firstLineChars="0"/>
                    <w:jc w:val="center"/>
                    <w:rPr>
                      <w:rFonts w:hint="default" w:eastAsia="宋体"/>
                      <w:color w:val="auto"/>
                      <w:sz w:val="21"/>
                      <w:szCs w:val="21"/>
                      <w:lang w:val="en-US" w:eastAsia="zh-CN"/>
                    </w:rPr>
                  </w:pPr>
                  <w:r>
                    <w:rPr>
                      <w:rFonts w:hint="eastAsia"/>
                      <w:color w:val="auto"/>
                      <w:sz w:val="21"/>
                      <w:szCs w:val="21"/>
                      <w:lang w:val="en-US" w:eastAsia="zh-CN"/>
                    </w:rPr>
                    <w:t>化粪池污泥</w:t>
                  </w:r>
                </w:p>
              </w:tc>
              <w:tc>
                <w:tcPr>
                  <w:tcW w:w="575" w:type="pct"/>
                  <w:tcBorders>
                    <w:top w:val="single" w:color="auto" w:sz="4" w:space="0"/>
                    <w:left w:val="single" w:color="auto" w:sz="2" w:space="0"/>
                    <w:bottom w:val="single" w:color="auto" w:sz="2" w:space="0"/>
                    <w:right w:val="single" w:color="auto" w:sz="2" w:space="0"/>
                  </w:tcBorders>
                  <w:vAlign w:val="center"/>
                </w:tcPr>
                <w:p w14:paraId="2215CFE1">
                  <w:pPr>
                    <w:adjustRightInd w:val="0"/>
                    <w:spacing w:line="360" w:lineRule="exact"/>
                    <w:ind w:firstLine="0" w:firstLineChars="0"/>
                    <w:jc w:val="center"/>
                    <w:rPr>
                      <w:rFonts w:hint="eastAsia" w:eastAsia="宋体"/>
                      <w:bCs/>
                      <w:color w:val="auto"/>
                      <w:spacing w:val="-10"/>
                      <w:sz w:val="21"/>
                      <w:szCs w:val="21"/>
                      <w:lang w:val="en-US" w:eastAsia="zh-CN"/>
                    </w:rPr>
                  </w:pPr>
                  <w:r>
                    <w:rPr>
                      <w:rFonts w:hint="eastAsia"/>
                      <w:bCs/>
                      <w:color w:val="auto"/>
                      <w:spacing w:val="-10"/>
                      <w:sz w:val="21"/>
                      <w:szCs w:val="21"/>
                      <w:lang w:val="en-US" w:eastAsia="zh-CN"/>
                    </w:rPr>
                    <w:t>/</w:t>
                  </w:r>
                </w:p>
              </w:tc>
              <w:tc>
                <w:tcPr>
                  <w:tcW w:w="641" w:type="pct"/>
                  <w:tcBorders>
                    <w:top w:val="single" w:color="auto" w:sz="4" w:space="0"/>
                    <w:left w:val="single" w:color="auto" w:sz="2" w:space="0"/>
                    <w:bottom w:val="single" w:color="auto" w:sz="2" w:space="0"/>
                    <w:right w:val="single" w:color="auto" w:sz="2" w:space="0"/>
                  </w:tcBorders>
                  <w:vAlign w:val="center"/>
                </w:tcPr>
                <w:p w14:paraId="087B60B6">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pacing w:val="-10"/>
                      <w:sz w:val="21"/>
                      <w:szCs w:val="21"/>
                      <w:lang w:val="en-US" w:eastAsia="zh-CN"/>
                    </w:rPr>
                    <w:t>0.0346</w:t>
                  </w:r>
                </w:p>
              </w:tc>
              <w:tc>
                <w:tcPr>
                  <w:tcW w:w="767" w:type="pct"/>
                  <w:tcBorders>
                    <w:top w:val="single" w:color="auto" w:sz="4" w:space="0"/>
                    <w:left w:val="single" w:color="auto" w:sz="2" w:space="0"/>
                    <w:bottom w:val="single" w:color="auto" w:sz="2" w:space="0"/>
                    <w:right w:val="single" w:color="auto" w:sz="2" w:space="0"/>
                  </w:tcBorders>
                  <w:vAlign w:val="center"/>
                </w:tcPr>
                <w:p w14:paraId="78457947">
                  <w:pPr>
                    <w:adjustRightInd w:val="0"/>
                    <w:spacing w:line="360" w:lineRule="exact"/>
                    <w:ind w:firstLine="0" w:firstLineChars="0"/>
                    <w:jc w:val="center"/>
                    <w:rPr>
                      <w:rFonts w:hint="eastAsia" w:eastAsia="宋体"/>
                      <w:bCs/>
                      <w:color w:val="auto"/>
                      <w:spacing w:val="-10"/>
                      <w:sz w:val="21"/>
                      <w:szCs w:val="21"/>
                      <w:lang w:val="en-US" w:eastAsia="zh-CN"/>
                    </w:rPr>
                  </w:pPr>
                  <w:r>
                    <w:rPr>
                      <w:rFonts w:hint="eastAsia"/>
                      <w:bCs/>
                      <w:color w:val="auto"/>
                      <w:spacing w:val="-10"/>
                      <w:sz w:val="21"/>
                      <w:szCs w:val="21"/>
                      <w:lang w:val="en-US" w:eastAsia="zh-CN"/>
                    </w:rPr>
                    <w:t>/</w:t>
                  </w:r>
                </w:p>
              </w:tc>
              <w:tc>
                <w:tcPr>
                  <w:tcW w:w="903" w:type="pct"/>
                  <w:tcBorders>
                    <w:top w:val="single" w:color="auto" w:sz="4" w:space="0"/>
                    <w:left w:val="single" w:color="auto" w:sz="2" w:space="0"/>
                    <w:bottom w:val="single" w:color="auto" w:sz="2" w:space="0"/>
                    <w:right w:val="single" w:color="auto" w:sz="2" w:space="0"/>
                  </w:tcBorders>
                  <w:vAlign w:val="center"/>
                </w:tcPr>
                <w:p w14:paraId="6B9B680B">
                  <w:pPr>
                    <w:adjustRightInd w:val="0"/>
                    <w:spacing w:line="360" w:lineRule="exact"/>
                    <w:ind w:firstLine="0" w:firstLineChars="0"/>
                    <w:jc w:val="center"/>
                    <w:rPr>
                      <w:rFonts w:hint="default" w:eastAsia="宋体"/>
                      <w:bCs/>
                      <w:color w:val="auto"/>
                      <w:spacing w:val="-10"/>
                      <w:sz w:val="21"/>
                      <w:szCs w:val="21"/>
                      <w:lang w:val="en-US" w:eastAsia="zh-CN"/>
                    </w:rPr>
                  </w:pPr>
                  <w:r>
                    <w:rPr>
                      <w:rFonts w:hint="eastAsia"/>
                      <w:bCs/>
                      <w:color w:val="auto"/>
                      <w:spacing w:val="-10"/>
                      <w:sz w:val="21"/>
                      <w:szCs w:val="21"/>
                      <w:lang w:val="en-US" w:eastAsia="zh-CN"/>
                    </w:rPr>
                    <w:t>0.0346</w:t>
                  </w:r>
                </w:p>
              </w:tc>
              <w:tc>
                <w:tcPr>
                  <w:tcW w:w="784" w:type="pct"/>
                  <w:tcBorders>
                    <w:top w:val="single" w:color="auto" w:sz="4" w:space="0"/>
                    <w:left w:val="single" w:color="auto" w:sz="2" w:space="0"/>
                    <w:bottom w:val="single" w:color="auto" w:sz="2" w:space="0"/>
                    <w:right w:val="single" w:color="auto" w:sz="2" w:space="0"/>
                  </w:tcBorders>
                  <w:vAlign w:val="center"/>
                </w:tcPr>
                <w:p w14:paraId="050EB3A7">
                  <w:pPr>
                    <w:adjustRightInd w:val="0"/>
                    <w:spacing w:line="360" w:lineRule="exact"/>
                    <w:ind w:firstLine="0" w:firstLineChars="0"/>
                    <w:jc w:val="center"/>
                    <w:rPr>
                      <w:rFonts w:hint="eastAsia" w:eastAsia="宋体"/>
                      <w:bCs/>
                      <w:color w:val="auto"/>
                      <w:spacing w:val="-10"/>
                      <w:sz w:val="21"/>
                      <w:szCs w:val="21"/>
                      <w:lang w:val="en-US" w:eastAsia="zh-CN"/>
                    </w:rPr>
                  </w:pPr>
                  <w:r>
                    <w:rPr>
                      <w:rFonts w:hint="eastAsia"/>
                      <w:bCs/>
                      <w:color w:val="auto"/>
                      <w:spacing w:val="-10"/>
                      <w:sz w:val="21"/>
                      <w:szCs w:val="21"/>
                      <w:lang w:val="en-US" w:eastAsia="zh-CN"/>
                    </w:rPr>
                    <w:t>/</w:t>
                  </w:r>
                </w:p>
              </w:tc>
            </w:tr>
            <w:tr w14:paraId="078EEB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28" w:hRule="atLeast"/>
                <w:jc w:val="center"/>
              </w:trPr>
              <w:tc>
                <w:tcPr>
                  <w:tcW w:w="5000" w:type="pct"/>
                  <w:gridSpan w:val="7"/>
                  <w:tcBorders>
                    <w:top w:val="single" w:color="auto" w:sz="2" w:space="0"/>
                    <w:left w:val="single" w:color="auto" w:sz="2" w:space="0"/>
                    <w:bottom w:val="single" w:color="auto" w:sz="2" w:space="0"/>
                    <w:right w:val="single" w:color="auto" w:sz="2" w:space="0"/>
                  </w:tcBorders>
                  <w:vAlign w:val="center"/>
                </w:tcPr>
                <w:p w14:paraId="1725287C">
                  <w:pPr>
                    <w:adjustRightInd w:val="0"/>
                    <w:spacing w:line="360" w:lineRule="exact"/>
                    <w:ind w:firstLine="0" w:firstLineChars="0"/>
                    <w:jc w:val="left"/>
                    <w:rPr>
                      <w:rFonts w:hint="eastAsia" w:eastAsia="宋体"/>
                      <w:bCs/>
                      <w:color w:val="auto"/>
                      <w:spacing w:val="-10"/>
                      <w:sz w:val="21"/>
                      <w:szCs w:val="21"/>
                      <w:lang w:val="en-US" w:eastAsia="zh-CN"/>
                    </w:rPr>
                  </w:pPr>
                  <w:r>
                    <w:rPr>
                      <w:color w:val="auto"/>
                      <w:spacing w:val="-10"/>
                      <w:sz w:val="21"/>
                      <w:szCs w:val="21"/>
                    </w:rPr>
                    <w:t>注：1、“+”代表增加，“-”代表减少；2、项目改造前后固体废弃物均100%处置，不外排。</w:t>
                  </w:r>
                  <w:r>
                    <w:rPr>
                      <w:rFonts w:hint="eastAsia"/>
                      <w:color w:val="auto"/>
                      <w:spacing w:val="-10"/>
                      <w:sz w:val="21"/>
                      <w:szCs w:val="21"/>
                      <w:lang w:val="en-US" w:eastAsia="zh-CN"/>
                    </w:rPr>
                    <w:t>3、</w:t>
                  </w:r>
                  <w:r>
                    <w:rPr>
                      <w:rFonts w:hint="eastAsia"/>
                      <w:color w:val="auto"/>
                      <w:sz w:val="21"/>
                      <w:szCs w:val="21"/>
                      <w:highlight w:val="none"/>
                      <w:lang w:val="en-US" w:eastAsia="zh-CN"/>
                    </w:rPr>
                    <w:t>现有工程废气</w:t>
                  </w:r>
                  <w:r>
                    <w:rPr>
                      <w:rFonts w:hint="eastAsia"/>
                      <w:color w:val="auto"/>
                      <w:sz w:val="21"/>
                      <w:szCs w:val="21"/>
                      <w:highlight w:val="none"/>
                    </w:rPr>
                    <w:t>排放量来源于原项目环评。</w:t>
                  </w:r>
                </w:p>
              </w:tc>
            </w:tr>
          </w:tbl>
          <w:p w14:paraId="0DC3FA28">
            <w:pPr>
              <w:keepNext w:val="0"/>
              <w:keepLines w:val="0"/>
              <w:pageBreakBefore w:val="0"/>
              <w:widowControl w:val="0"/>
              <w:kinsoku/>
              <w:wordWrap/>
              <w:overflowPunct/>
              <w:topLinePunct w:val="0"/>
              <w:autoSpaceDE/>
              <w:autoSpaceDN/>
              <w:bidi w:val="0"/>
              <w:adjustRightInd/>
              <w:snapToGrid/>
              <w:spacing w:before="157" w:beforeLines="50"/>
              <w:ind w:firstLine="480"/>
              <w:textAlignment w:val="baseline"/>
              <w:rPr>
                <w:color w:val="auto"/>
                <w:szCs w:val="24"/>
                <w:highlight w:val="none"/>
              </w:rPr>
            </w:pPr>
            <w:r>
              <w:rPr>
                <w:rFonts w:hint="eastAsia"/>
                <w:color w:val="auto"/>
                <w:szCs w:val="24"/>
                <w:highlight w:val="none"/>
              </w:rPr>
              <w:t>本项目改扩建完成后，产能扩增为原来的</w:t>
            </w:r>
            <w:r>
              <w:rPr>
                <w:rFonts w:hint="eastAsia"/>
                <w:color w:val="auto"/>
                <w:szCs w:val="24"/>
                <w:highlight w:val="none"/>
                <w:lang w:val="en-US" w:eastAsia="zh-CN"/>
              </w:rPr>
              <w:t>5</w:t>
            </w:r>
            <w:r>
              <w:rPr>
                <w:rFonts w:hint="eastAsia"/>
                <w:color w:val="auto"/>
                <w:szCs w:val="24"/>
                <w:highlight w:val="none"/>
              </w:rPr>
              <w:t>倍，经采取相应污染治理措施，废气颗粒物排放量有所增加。</w:t>
            </w:r>
          </w:p>
        </w:tc>
      </w:tr>
      <w:tr w14:paraId="4B553E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31" w:type="dxa"/>
            <w:vAlign w:val="center"/>
          </w:tcPr>
          <w:p w14:paraId="3CA3A7AA">
            <w:pPr>
              <w:spacing w:line="240" w:lineRule="auto"/>
              <w:ind w:firstLine="0" w:firstLineChars="0"/>
              <w:jc w:val="center"/>
              <w:rPr>
                <w:b/>
                <w:bCs/>
                <w:color w:val="auto"/>
                <w:szCs w:val="24"/>
                <w:highlight w:val="none"/>
              </w:rPr>
            </w:pPr>
            <w:r>
              <w:rPr>
                <w:b/>
                <w:bCs/>
                <w:color w:val="auto"/>
                <w:szCs w:val="24"/>
                <w:highlight w:val="none"/>
              </w:rPr>
              <w:t>环保投资</w:t>
            </w:r>
          </w:p>
        </w:tc>
        <w:tc>
          <w:tcPr>
            <w:tcW w:w="7991" w:type="dxa"/>
            <w:vAlign w:val="center"/>
          </w:tcPr>
          <w:p w14:paraId="6D64015E">
            <w:pPr>
              <w:spacing w:before="156" w:beforeLines="50"/>
              <w:ind w:firstLine="470" w:firstLineChars="196"/>
              <w:rPr>
                <w:color w:val="auto"/>
                <w:szCs w:val="24"/>
                <w:highlight w:val="none"/>
              </w:rPr>
            </w:pPr>
            <w:r>
              <w:rPr>
                <w:color w:val="auto"/>
                <w:szCs w:val="24"/>
                <w:highlight w:val="none"/>
              </w:rPr>
              <w:t>项目总投资</w:t>
            </w:r>
            <w:r>
              <w:rPr>
                <w:rFonts w:hint="eastAsia"/>
                <w:color w:val="auto"/>
                <w:szCs w:val="24"/>
                <w:highlight w:val="none"/>
                <w:lang w:val="en-US" w:eastAsia="zh-CN"/>
              </w:rPr>
              <w:t>707.93</w:t>
            </w:r>
            <w:r>
              <w:rPr>
                <w:color w:val="auto"/>
                <w:szCs w:val="24"/>
                <w:highlight w:val="none"/>
              </w:rPr>
              <w:t>万元，其中环保投资</w:t>
            </w:r>
            <w:r>
              <w:rPr>
                <w:rFonts w:hint="eastAsia"/>
                <w:color w:val="auto"/>
                <w:szCs w:val="24"/>
                <w:highlight w:val="none"/>
                <w:lang w:val="en-US" w:eastAsia="zh-CN"/>
              </w:rPr>
              <w:t>108.45</w:t>
            </w:r>
            <w:r>
              <w:rPr>
                <w:color w:val="auto"/>
                <w:szCs w:val="24"/>
                <w:highlight w:val="none"/>
              </w:rPr>
              <w:t>万元，占项目总投资的</w:t>
            </w:r>
            <w:r>
              <w:rPr>
                <w:rFonts w:hint="eastAsia"/>
                <w:color w:val="auto"/>
                <w:szCs w:val="24"/>
                <w:highlight w:val="none"/>
                <w:lang w:val="en-US" w:eastAsia="zh-CN"/>
              </w:rPr>
              <w:t>15.42</w:t>
            </w:r>
            <w:r>
              <w:rPr>
                <w:color w:val="auto"/>
                <w:szCs w:val="24"/>
                <w:highlight w:val="none"/>
              </w:rPr>
              <w:t>%。环保投资具体情况见表5-</w:t>
            </w:r>
            <w:r>
              <w:rPr>
                <w:rFonts w:hint="eastAsia"/>
                <w:color w:val="auto"/>
                <w:szCs w:val="24"/>
                <w:highlight w:val="none"/>
              </w:rPr>
              <w:t>3</w:t>
            </w:r>
            <w:r>
              <w:rPr>
                <w:color w:val="auto"/>
                <w:szCs w:val="24"/>
                <w:highlight w:val="none"/>
              </w:rPr>
              <w:t>。</w:t>
            </w:r>
          </w:p>
          <w:p w14:paraId="309560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auto"/>
                <w:sz w:val="21"/>
                <w:szCs w:val="21"/>
                <w:highlight w:val="none"/>
                <w:lang w:val="en-US"/>
              </w:rPr>
            </w:pPr>
            <w:r>
              <w:rPr>
                <w:b/>
                <w:bCs/>
                <w:color w:val="auto"/>
                <w:sz w:val="21"/>
                <w:szCs w:val="21"/>
                <w:highlight w:val="none"/>
              </w:rPr>
              <w:t>表5-</w:t>
            </w:r>
            <w:r>
              <w:rPr>
                <w:rFonts w:hint="eastAsia"/>
                <w:b/>
                <w:bCs/>
                <w:color w:val="auto"/>
                <w:sz w:val="21"/>
                <w:szCs w:val="21"/>
                <w:highlight w:val="none"/>
              </w:rPr>
              <w:t>3</w:t>
            </w:r>
            <w:r>
              <w:rPr>
                <w:b/>
                <w:bCs/>
                <w:color w:val="auto"/>
                <w:sz w:val="21"/>
                <w:szCs w:val="21"/>
                <w:highlight w:val="none"/>
              </w:rPr>
              <w:t xml:space="preserve">  环保投资</w:t>
            </w:r>
            <w:r>
              <w:rPr>
                <w:rFonts w:hint="eastAsia"/>
                <w:b/>
                <w:bCs/>
                <w:color w:val="auto"/>
                <w:sz w:val="21"/>
                <w:szCs w:val="21"/>
                <w:highlight w:val="none"/>
                <w:lang w:val="en-US" w:eastAsia="zh-CN"/>
              </w:rPr>
              <w:t>估算一览表 单位：万元</w:t>
            </w:r>
          </w:p>
          <w:tbl>
            <w:tblPr>
              <w:tblStyle w:val="70"/>
              <w:tblW w:w="7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91"/>
              <w:gridCol w:w="1900"/>
              <w:gridCol w:w="3582"/>
              <w:gridCol w:w="643"/>
              <w:gridCol w:w="1302"/>
            </w:tblGrid>
            <w:tr w14:paraId="5C8C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91" w:type="dxa"/>
                  <w:vAlign w:val="center"/>
                </w:tcPr>
                <w:p w14:paraId="4A22E11D">
                  <w:pPr>
                    <w:snapToGrid/>
                    <w:spacing w:line="240" w:lineRule="auto"/>
                    <w:ind w:firstLine="0" w:firstLineChars="0"/>
                    <w:jc w:val="center"/>
                    <w:rPr>
                      <w:rFonts w:cs="Times New Roman"/>
                      <w:b/>
                      <w:bCs/>
                      <w:color w:val="auto"/>
                      <w:sz w:val="21"/>
                      <w:highlight w:val="none"/>
                    </w:rPr>
                  </w:pPr>
                  <w:r>
                    <w:rPr>
                      <w:rFonts w:cs="Times New Roman"/>
                      <w:b/>
                      <w:bCs/>
                      <w:color w:val="auto"/>
                      <w:sz w:val="21"/>
                      <w:highlight w:val="none"/>
                    </w:rPr>
                    <w:t>项目</w:t>
                  </w:r>
                </w:p>
              </w:tc>
              <w:tc>
                <w:tcPr>
                  <w:tcW w:w="1900" w:type="dxa"/>
                  <w:vAlign w:val="center"/>
                </w:tcPr>
                <w:p w14:paraId="2CAABEBD">
                  <w:pPr>
                    <w:snapToGrid/>
                    <w:spacing w:line="240" w:lineRule="auto"/>
                    <w:ind w:firstLine="0" w:firstLineChars="0"/>
                    <w:jc w:val="center"/>
                    <w:rPr>
                      <w:rFonts w:cs="Times New Roman"/>
                      <w:b/>
                      <w:bCs/>
                      <w:color w:val="auto"/>
                      <w:sz w:val="21"/>
                      <w:highlight w:val="none"/>
                    </w:rPr>
                  </w:pPr>
                  <w:r>
                    <w:rPr>
                      <w:rFonts w:cs="Times New Roman"/>
                      <w:b/>
                      <w:bCs/>
                      <w:color w:val="auto"/>
                      <w:sz w:val="21"/>
                      <w:highlight w:val="none"/>
                    </w:rPr>
                    <w:t>工程或费用名称</w:t>
                  </w:r>
                </w:p>
              </w:tc>
              <w:tc>
                <w:tcPr>
                  <w:tcW w:w="3582" w:type="dxa"/>
                  <w:vAlign w:val="center"/>
                </w:tcPr>
                <w:p w14:paraId="388FED09">
                  <w:pPr>
                    <w:snapToGrid/>
                    <w:spacing w:line="240" w:lineRule="auto"/>
                    <w:ind w:firstLine="0" w:firstLineChars="0"/>
                    <w:jc w:val="center"/>
                    <w:rPr>
                      <w:rFonts w:cs="Times New Roman"/>
                      <w:b/>
                      <w:bCs/>
                      <w:color w:val="auto"/>
                      <w:sz w:val="21"/>
                      <w:highlight w:val="none"/>
                    </w:rPr>
                  </w:pPr>
                  <w:r>
                    <w:rPr>
                      <w:rFonts w:cs="Times New Roman"/>
                      <w:b/>
                      <w:bCs/>
                      <w:color w:val="auto"/>
                      <w:sz w:val="21"/>
                      <w:highlight w:val="none"/>
                    </w:rPr>
                    <w:t>数量及规模</w:t>
                  </w:r>
                </w:p>
              </w:tc>
              <w:tc>
                <w:tcPr>
                  <w:tcW w:w="643" w:type="dxa"/>
                  <w:vAlign w:val="center"/>
                </w:tcPr>
                <w:p w14:paraId="30256346">
                  <w:pPr>
                    <w:snapToGrid/>
                    <w:spacing w:line="240" w:lineRule="auto"/>
                    <w:ind w:firstLine="0" w:firstLineChars="0"/>
                    <w:jc w:val="center"/>
                    <w:rPr>
                      <w:rFonts w:cs="Times New Roman"/>
                      <w:b/>
                      <w:bCs/>
                      <w:color w:val="auto"/>
                      <w:sz w:val="21"/>
                      <w:highlight w:val="none"/>
                    </w:rPr>
                  </w:pPr>
                  <w:r>
                    <w:rPr>
                      <w:rFonts w:cs="Times New Roman"/>
                      <w:b/>
                      <w:bCs/>
                      <w:color w:val="auto"/>
                      <w:sz w:val="21"/>
                      <w:highlight w:val="none"/>
                    </w:rPr>
                    <w:t>投资额</w:t>
                  </w:r>
                </w:p>
              </w:tc>
              <w:tc>
                <w:tcPr>
                  <w:tcW w:w="1302" w:type="dxa"/>
                  <w:vAlign w:val="center"/>
                </w:tcPr>
                <w:p w14:paraId="6996B2D3">
                  <w:pPr>
                    <w:snapToGrid/>
                    <w:spacing w:line="240" w:lineRule="auto"/>
                    <w:ind w:firstLine="0" w:firstLineChars="0"/>
                    <w:jc w:val="center"/>
                    <w:rPr>
                      <w:rFonts w:cs="Times New Roman"/>
                      <w:b/>
                      <w:bCs/>
                      <w:color w:val="auto"/>
                      <w:sz w:val="21"/>
                      <w:highlight w:val="none"/>
                    </w:rPr>
                  </w:pPr>
                  <w:r>
                    <w:rPr>
                      <w:rFonts w:cs="Times New Roman"/>
                      <w:b/>
                      <w:bCs/>
                      <w:color w:val="auto"/>
                      <w:sz w:val="21"/>
                      <w:highlight w:val="none"/>
                    </w:rPr>
                    <w:t>备注</w:t>
                  </w:r>
                </w:p>
              </w:tc>
            </w:tr>
            <w:tr w14:paraId="3A2C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7918" w:type="dxa"/>
                  <w:gridSpan w:val="5"/>
                  <w:vAlign w:val="center"/>
                </w:tcPr>
                <w:p w14:paraId="75337C87">
                  <w:pPr>
                    <w:snapToGrid/>
                    <w:spacing w:line="240" w:lineRule="auto"/>
                    <w:ind w:firstLine="0" w:firstLineChars="0"/>
                    <w:jc w:val="center"/>
                    <w:rPr>
                      <w:rFonts w:cs="Times New Roman"/>
                      <w:color w:val="auto"/>
                      <w:sz w:val="21"/>
                      <w:highlight w:val="none"/>
                    </w:rPr>
                  </w:pPr>
                  <w:r>
                    <w:rPr>
                      <w:rFonts w:cs="Times New Roman"/>
                      <w:b/>
                      <w:bCs/>
                      <w:color w:val="auto"/>
                      <w:sz w:val="21"/>
                      <w:highlight w:val="none"/>
                    </w:rPr>
                    <w:t>施工期</w:t>
                  </w:r>
                </w:p>
              </w:tc>
            </w:tr>
            <w:tr w14:paraId="738BB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491" w:type="dxa"/>
                  <w:vAlign w:val="center"/>
                </w:tcPr>
                <w:p w14:paraId="2D3A1C1B">
                  <w:pPr>
                    <w:snapToGrid/>
                    <w:spacing w:line="240" w:lineRule="auto"/>
                    <w:ind w:firstLine="0" w:firstLineChars="0"/>
                    <w:jc w:val="center"/>
                    <w:rPr>
                      <w:rFonts w:cs="Times New Roman"/>
                      <w:color w:val="auto"/>
                      <w:sz w:val="21"/>
                      <w:highlight w:val="none"/>
                    </w:rPr>
                  </w:pPr>
                  <w:r>
                    <w:rPr>
                      <w:rFonts w:cs="Times New Roman"/>
                      <w:color w:val="auto"/>
                      <w:sz w:val="21"/>
                      <w:highlight w:val="none"/>
                    </w:rPr>
                    <w:t>废气</w:t>
                  </w:r>
                </w:p>
              </w:tc>
              <w:tc>
                <w:tcPr>
                  <w:tcW w:w="1900" w:type="dxa"/>
                  <w:vAlign w:val="center"/>
                </w:tcPr>
                <w:p w14:paraId="2AC6F4E1">
                  <w:pPr>
                    <w:snapToGrid/>
                    <w:spacing w:line="240" w:lineRule="auto"/>
                    <w:ind w:firstLine="0" w:firstLineChars="0"/>
                    <w:jc w:val="center"/>
                    <w:rPr>
                      <w:rFonts w:cs="Times New Roman"/>
                      <w:color w:val="auto"/>
                      <w:sz w:val="21"/>
                      <w:highlight w:val="none"/>
                    </w:rPr>
                  </w:pPr>
                  <w:r>
                    <w:rPr>
                      <w:rFonts w:cs="Times New Roman"/>
                      <w:color w:val="auto"/>
                      <w:sz w:val="21"/>
                      <w:highlight w:val="none"/>
                    </w:rPr>
                    <w:t>施工扬尘</w:t>
                  </w:r>
                </w:p>
              </w:tc>
              <w:tc>
                <w:tcPr>
                  <w:tcW w:w="3582" w:type="dxa"/>
                  <w:vAlign w:val="center"/>
                </w:tcPr>
                <w:p w14:paraId="7F65CA00">
                  <w:pPr>
                    <w:snapToGrid/>
                    <w:spacing w:line="240" w:lineRule="auto"/>
                    <w:ind w:firstLine="0" w:firstLineChars="0"/>
                    <w:jc w:val="center"/>
                    <w:rPr>
                      <w:rFonts w:cs="Times New Roman"/>
                      <w:color w:val="auto"/>
                      <w:sz w:val="21"/>
                      <w:highlight w:val="none"/>
                      <w:lang w:eastAsia="zh-CN"/>
                    </w:rPr>
                  </w:pPr>
                  <w:r>
                    <w:rPr>
                      <w:rFonts w:cs="Times New Roman"/>
                      <w:color w:val="auto"/>
                      <w:sz w:val="21"/>
                      <w:highlight w:val="none"/>
                      <w:lang w:eastAsia="zh-CN"/>
                    </w:rPr>
                    <w:t>洒水降尘，运输车辆加盖篷布</w:t>
                  </w:r>
                </w:p>
              </w:tc>
              <w:tc>
                <w:tcPr>
                  <w:tcW w:w="643" w:type="dxa"/>
                  <w:vAlign w:val="center"/>
                </w:tcPr>
                <w:p w14:paraId="46B422A0">
                  <w:pPr>
                    <w:snapToGrid/>
                    <w:spacing w:line="240" w:lineRule="auto"/>
                    <w:ind w:firstLine="0" w:firstLineChars="0"/>
                    <w:jc w:val="center"/>
                    <w:rPr>
                      <w:rFonts w:cs="Times New Roman"/>
                      <w:color w:val="auto"/>
                      <w:sz w:val="21"/>
                      <w:highlight w:val="none"/>
                    </w:rPr>
                  </w:pPr>
                  <w:r>
                    <w:rPr>
                      <w:rFonts w:cs="Times New Roman"/>
                      <w:color w:val="auto"/>
                      <w:sz w:val="21"/>
                      <w:highlight w:val="none"/>
                    </w:rPr>
                    <w:t>2</w:t>
                  </w:r>
                </w:p>
              </w:tc>
              <w:tc>
                <w:tcPr>
                  <w:tcW w:w="1302" w:type="dxa"/>
                  <w:vAlign w:val="center"/>
                </w:tcPr>
                <w:p w14:paraId="5F8F652A">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w:t>
                  </w:r>
                </w:p>
              </w:tc>
            </w:tr>
            <w:tr w14:paraId="35BA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9" w:hRule="atLeast"/>
                <w:jc w:val="center"/>
              </w:trPr>
              <w:tc>
                <w:tcPr>
                  <w:tcW w:w="491" w:type="dxa"/>
                  <w:vAlign w:val="center"/>
                </w:tcPr>
                <w:p w14:paraId="14E27C9D">
                  <w:pPr>
                    <w:snapToGrid/>
                    <w:spacing w:line="240" w:lineRule="auto"/>
                    <w:ind w:firstLine="0" w:firstLineChars="0"/>
                    <w:jc w:val="center"/>
                    <w:rPr>
                      <w:rFonts w:cs="Times New Roman"/>
                      <w:color w:val="auto"/>
                      <w:sz w:val="21"/>
                      <w:highlight w:val="none"/>
                    </w:rPr>
                  </w:pPr>
                  <w:r>
                    <w:rPr>
                      <w:rFonts w:cs="Times New Roman"/>
                      <w:color w:val="auto"/>
                      <w:sz w:val="21"/>
                      <w:highlight w:val="none"/>
                    </w:rPr>
                    <w:t>废水</w:t>
                  </w:r>
                </w:p>
              </w:tc>
              <w:tc>
                <w:tcPr>
                  <w:tcW w:w="1900" w:type="dxa"/>
                  <w:vAlign w:val="center"/>
                </w:tcPr>
                <w:p w14:paraId="19AD74E8">
                  <w:pPr>
                    <w:snapToGrid/>
                    <w:spacing w:line="240" w:lineRule="auto"/>
                    <w:ind w:firstLine="0" w:firstLineChars="0"/>
                    <w:jc w:val="center"/>
                    <w:rPr>
                      <w:rFonts w:cs="Times New Roman"/>
                      <w:color w:val="auto"/>
                      <w:sz w:val="21"/>
                      <w:highlight w:val="none"/>
                    </w:rPr>
                  </w:pPr>
                  <w:r>
                    <w:rPr>
                      <w:rFonts w:cs="Times New Roman"/>
                      <w:color w:val="auto"/>
                      <w:sz w:val="21"/>
                      <w:highlight w:val="none"/>
                    </w:rPr>
                    <w:t>施工废水</w:t>
                  </w:r>
                </w:p>
              </w:tc>
              <w:tc>
                <w:tcPr>
                  <w:tcW w:w="3582" w:type="dxa"/>
                  <w:vAlign w:val="center"/>
                </w:tcPr>
                <w:p w14:paraId="31B459F4">
                  <w:pPr>
                    <w:snapToGrid/>
                    <w:spacing w:line="240" w:lineRule="auto"/>
                    <w:ind w:firstLine="0" w:firstLineChars="0"/>
                    <w:jc w:val="center"/>
                    <w:rPr>
                      <w:rFonts w:hint="default" w:cs="Times New Roman"/>
                      <w:color w:val="auto"/>
                      <w:sz w:val="21"/>
                      <w:highlight w:val="none"/>
                      <w:lang w:val="en-US" w:eastAsia="zh-CN"/>
                    </w:rPr>
                  </w:pPr>
                  <w:r>
                    <w:rPr>
                      <w:rFonts w:hint="eastAsia" w:cs="Times New Roman"/>
                      <w:color w:val="auto"/>
                      <w:sz w:val="21"/>
                      <w:highlight w:val="none"/>
                      <w:lang w:val="en-US" w:eastAsia="zh-CN"/>
                    </w:rPr>
                    <w:t>一个1</w:t>
                  </w:r>
                  <w:r>
                    <w:rPr>
                      <w:rFonts w:hint="eastAsia" w:cs="Times New Roman"/>
                      <w:color w:val="auto"/>
                      <w:sz w:val="21"/>
                      <w:highlight w:val="none"/>
                      <w:lang w:eastAsia="zh-CN"/>
                    </w:rPr>
                    <w:t>m</w:t>
                  </w:r>
                  <w:r>
                    <w:rPr>
                      <w:rFonts w:hint="eastAsia" w:cs="Times New Roman"/>
                      <w:color w:val="auto"/>
                      <w:sz w:val="21"/>
                      <w:highlight w:val="none"/>
                      <w:vertAlign w:val="superscript"/>
                      <w:lang w:eastAsia="zh-CN"/>
                    </w:rPr>
                    <w:t>3</w:t>
                  </w:r>
                  <w:r>
                    <w:rPr>
                      <w:rFonts w:hint="eastAsia" w:cs="Times New Roman"/>
                      <w:color w:val="auto"/>
                      <w:sz w:val="21"/>
                      <w:highlight w:val="none"/>
                      <w:vertAlign w:val="baseline"/>
                      <w:lang w:val="en-US" w:eastAsia="zh-CN"/>
                    </w:rPr>
                    <w:t>临时沉砂池</w:t>
                  </w:r>
                </w:p>
              </w:tc>
              <w:tc>
                <w:tcPr>
                  <w:tcW w:w="643" w:type="dxa"/>
                  <w:vAlign w:val="center"/>
                </w:tcPr>
                <w:p w14:paraId="0A0C79F1">
                  <w:pPr>
                    <w:snapToGrid/>
                    <w:spacing w:line="240" w:lineRule="auto"/>
                    <w:ind w:firstLine="0" w:firstLineChars="0"/>
                    <w:jc w:val="center"/>
                    <w:rPr>
                      <w:rFonts w:hint="eastAsia" w:eastAsia="宋体" w:cs="Times New Roman"/>
                      <w:color w:val="auto"/>
                      <w:sz w:val="21"/>
                      <w:highlight w:val="none"/>
                      <w:lang w:eastAsia="zh-CN"/>
                    </w:rPr>
                  </w:pPr>
                  <w:r>
                    <w:rPr>
                      <w:rFonts w:cs="Times New Roman"/>
                      <w:color w:val="auto"/>
                      <w:sz w:val="21"/>
                      <w:highlight w:val="none"/>
                    </w:rPr>
                    <w:t>0.</w:t>
                  </w:r>
                  <w:r>
                    <w:rPr>
                      <w:rFonts w:hint="eastAsia" w:cs="Times New Roman"/>
                      <w:color w:val="auto"/>
                      <w:sz w:val="21"/>
                      <w:highlight w:val="none"/>
                      <w:lang w:val="en-US" w:eastAsia="zh-CN"/>
                    </w:rPr>
                    <w:t>1</w:t>
                  </w:r>
                </w:p>
              </w:tc>
              <w:tc>
                <w:tcPr>
                  <w:tcW w:w="1302" w:type="dxa"/>
                  <w:vAlign w:val="center"/>
                </w:tcPr>
                <w:p w14:paraId="5B1A94C2">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w:t>
                  </w:r>
                </w:p>
              </w:tc>
            </w:tr>
            <w:tr w14:paraId="55AE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491" w:type="dxa"/>
                  <w:vAlign w:val="center"/>
                </w:tcPr>
                <w:p w14:paraId="1D3A0625">
                  <w:pPr>
                    <w:snapToGrid/>
                    <w:spacing w:line="240" w:lineRule="auto"/>
                    <w:ind w:firstLine="0" w:firstLineChars="0"/>
                    <w:jc w:val="center"/>
                    <w:rPr>
                      <w:rFonts w:cs="Times New Roman"/>
                      <w:color w:val="auto"/>
                      <w:sz w:val="21"/>
                      <w:highlight w:val="none"/>
                    </w:rPr>
                  </w:pPr>
                  <w:r>
                    <w:rPr>
                      <w:rFonts w:cs="Times New Roman"/>
                      <w:color w:val="auto"/>
                      <w:sz w:val="21"/>
                      <w:highlight w:val="none"/>
                    </w:rPr>
                    <w:t>噪声</w:t>
                  </w:r>
                </w:p>
              </w:tc>
              <w:tc>
                <w:tcPr>
                  <w:tcW w:w="1900" w:type="dxa"/>
                  <w:vAlign w:val="center"/>
                </w:tcPr>
                <w:p w14:paraId="6171482B">
                  <w:pPr>
                    <w:snapToGrid/>
                    <w:spacing w:line="240" w:lineRule="auto"/>
                    <w:ind w:firstLine="0" w:firstLineChars="0"/>
                    <w:jc w:val="center"/>
                    <w:rPr>
                      <w:rFonts w:cs="Times New Roman"/>
                      <w:color w:val="auto"/>
                      <w:sz w:val="21"/>
                      <w:highlight w:val="none"/>
                    </w:rPr>
                  </w:pPr>
                  <w:r>
                    <w:rPr>
                      <w:rFonts w:cs="Times New Roman"/>
                      <w:color w:val="auto"/>
                      <w:sz w:val="21"/>
                      <w:highlight w:val="none"/>
                    </w:rPr>
                    <w:t>施工噪声</w:t>
                  </w:r>
                </w:p>
              </w:tc>
              <w:tc>
                <w:tcPr>
                  <w:tcW w:w="3582" w:type="dxa"/>
                  <w:vAlign w:val="center"/>
                </w:tcPr>
                <w:p w14:paraId="54E333B6">
                  <w:pPr>
                    <w:snapToGrid/>
                    <w:spacing w:line="240" w:lineRule="auto"/>
                    <w:ind w:firstLine="0" w:firstLineChars="0"/>
                    <w:jc w:val="center"/>
                    <w:rPr>
                      <w:rFonts w:cs="Times New Roman"/>
                      <w:color w:val="auto"/>
                      <w:sz w:val="21"/>
                      <w:highlight w:val="none"/>
                      <w:lang w:eastAsia="zh-CN"/>
                    </w:rPr>
                  </w:pPr>
                  <w:r>
                    <w:rPr>
                      <w:rFonts w:cs="Times New Roman"/>
                      <w:color w:val="auto"/>
                      <w:sz w:val="21"/>
                      <w:highlight w:val="none"/>
                      <w:lang w:eastAsia="zh-CN"/>
                    </w:rPr>
                    <w:t>选用低噪设备、基础减震等措施</w:t>
                  </w:r>
                </w:p>
              </w:tc>
              <w:tc>
                <w:tcPr>
                  <w:tcW w:w="643" w:type="dxa"/>
                  <w:vAlign w:val="center"/>
                </w:tcPr>
                <w:p w14:paraId="31C83AD7">
                  <w:pPr>
                    <w:snapToGrid/>
                    <w:spacing w:line="240" w:lineRule="auto"/>
                    <w:ind w:firstLine="0" w:firstLineChars="0"/>
                    <w:jc w:val="center"/>
                    <w:rPr>
                      <w:rFonts w:cs="Times New Roman"/>
                      <w:color w:val="auto"/>
                      <w:sz w:val="21"/>
                      <w:highlight w:val="none"/>
                    </w:rPr>
                  </w:pPr>
                  <w:r>
                    <w:rPr>
                      <w:rFonts w:cs="Times New Roman"/>
                      <w:color w:val="auto"/>
                      <w:sz w:val="21"/>
                      <w:highlight w:val="none"/>
                    </w:rPr>
                    <w:t>0.5</w:t>
                  </w:r>
                </w:p>
              </w:tc>
              <w:tc>
                <w:tcPr>
                  <w:tcW w:w="1302" w:type="dxa"/>
                  <w:vAlign w:val="center"/>
                </w:tcPr>
                <w:p w14:paraId="4BA74A85">
                  <w:pPr>
                    <w:snapToGrid/>
                    <w:spacing w:line="240" w:lineRule="auto"/>
                    <w:ind w:firstLine="0" w:firstLineChars="0"/>
                    <w:jc w:val="center"/>
                    <w:rPr>
                      <w:rFonts w:cs="Times New Roman"/>
                      <w:color w:val="auto"/>
                      <w:sz w:val="21"/>
                      <w:highlight w:val="none"/>
                    </w:rPr>
                  </w:pPr>
                </w:p>
              </w:tc>
            </w:tr>
            <w:tr w14:paraId="679C2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491" w:type="dxa"/>
                  <w:vMerge w:val="restart"/>
                  <w:vAlign w:val="center"/>
                </w:tcPr>
                <w:p w14:paraId="053F7D4B">
                  <w:pPr>
                    <w:snapToGrid/>
                    <w:spacing w:line="240" w:lineRule="auto"/>
                    <w:ind w:firstLine="0" w:firstLineChars="0"/>
                    <w:jc w:val="center"/>
                    <w:rPr>
                      <w:rFonts w:cs="Times New Roman"/>
                      <w:color w:val="auto"/>
                      <w:sz w:val="21"/>
                      <w:highlight w:val="none"/>
                    </w:rPr>
                  </w:pPr>
                  <w:r>
                    <w:rPr>
                      <w:rFonts w:cs="Times New Roman"/>
                      <w:color w:val="auto"/>
                      <w:sz w:val="21"/>
                      <w:highlight w:val="none"/>
                    </w:rPr>
                    <w:t>固废</w:t>
                  </w:r>
                </w:p>
              </w:tc>
              <w:tc>
                <w:tcPr>
                  <w:tcW w:w="1900" w:type="dxa"/>
                  <w:vAlign w:val="center"/>
                </w:tcPr>
                <w:p w14:paraId="465E6947">
                  <w:pPr>
                    <w:snapToGrid/>
                    <w:spacing w:line="240" w:lineRule="auto"/>
                    <w:ind w:firstLine="0" w:firstLineChars="0"/>
                    <w:jc w:val="center"/>
                    <w:rPr>
                      <w:rFonts w:cs="Times New Roman"/>
                      <w:color w:val="auto"/>
                      <w:sz w:val="21"/>
                      <w:highlight w:val="none"/>
                    </w:rPr>
                  </w:pPr>
                  <w:r>
                    <w:rPr>
                      <w:rFonts w:cs="Times New Roman"/>
                      <w:color w:val="auto"/>
                      <w:sz w:val="21"/>
                      <w:highlight w:val="none"/>
                    </w:rPr>
                    <w:t>建筑垃圾</w:t>
                  </w:r>
                </w:p>
              </w:tc>
              <w:tc>
                <w:tcPr>
                  <w:tcW w:w="3582" w:type="dxa"/>
                  <w:vAlign w:val="center"/>
                </w:tcPr>
                <w:p w14:paraId="16DE0566">
                  <w:pPr>
                    <w:snapToGrid/>
                    <w:spacing w:line="240" w:lineRule="auto"/>
                    <w:ind w:firstLine="0" w:firstLineChars="0"/>
                    <w:jc w:val="center"/>
                    <w:rPr>
                      <w:rFonts w:hint="default" w:cs="Times New Roman"/>
                      <w:color w:val="auto"/>
                      <w:sz w:val="21"/>
                      <w:highlight w:val="none"/>
                      <w:lang w:val="en-US" w:eastAsia="zh-CN"/>
                    </w:rPr>
                  </w:pPr>
                  <w:r>
                    <w:rPr>
                      <w:rFonts w:cs="Times New Roman"/>
                      <w:color w:val="auto"/>
                      <w:sz w:val="21"/>
                      <w:highlight w:val="none"/>
                      <w:lang w:eastAsia="zh-CN"/>
                    </w:rPr>
                    <w:t>分类收集，可回收利用的回收利用，不可回收利用的清运</w:t>
                  </w:r>
                  <w:r>
                    <w:rPr>
                      <w:rFonts w:hint="eastAsia" w:cs="Times New Roman"/>
                      <w:color w:val="auto"/>
                      <w:sz w:val="21"/>
                      <w:highlight w:val="none"/>
                      <w:lang w:val="en-US" w:eastAsia="zh-CN"/>
                    </w:rPr>
                    <w:t>至村镇建筑垃圾收集点处理</w:t>
                  </w:r>
                </w:p>
              </w:tc>
              <w:tc>
                <w:tcPr>
                  <w:tcW w:w="643" w:type="dxa"/>
                  <w:vAlign w:val="center"/>
                </w:tcPr>
                <w:p w14:paraId="2A82B2D7">
                  <w:pPr>
                    <w:snapToGrid/>
                    <w:spacing w:line="240" w:lineRule="auto"/>
                    <w:ind w:firstLine="0" w:firstLineChars="0"/>
                    <w:jc w:val="center"/>
                    <w:rPr>
                      <w:rFonts w:cs="Times New Roman"/>
                      <w:color w:val="auto"/>
                      <w:sz w:val="21"/>
                      <w:highlight w:val="none"/>
                    </w:rPr>
                  </w:pPr>
                  <w:r>
                    <w:rPr>
                      <w:rFonts w:cs="Times New Roman"/>
                      <w:color w:val="auto"/>
                      <w:sz w:val="21"/>
                      <w:highlight w:val="none"/>
                    </w:rPr>
                    <w:t>2</w:t>
                  </w:r>
                </w:p>
              </w:tc>
              <w:tc>
                <w:tcPr>
                  <w:tcW w:w="1302" w:type="dxa"/>
                  <w:vAlign w:val="center"/>
                </w:tcPr>
                <w:p w14:paraId="2263E092">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w:t>
                  </w:r>
                </w:p>
              </w:tc>
            </w:tr>
            <w:tr w14:paraId="20D4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491" w:type="dxa"/>
                  <w:vMerge w:val="continue"/>
                  <w:vAlign w:val="center"/>
                </w:tcPr>
                <w:p w14:paraId="0D504FEB">
                  <w:pPr>
                    <w:snapToGrid/>
                    <w:spacing w:line="240" w:lineRule="auto"/>
                    <w:ind w:firstLine="0" w:firstLineChars="0"/>
                    <w:jc w:val="center"/>
                    <w:rPr>
                      <w:rFonts w:cs="Times New Roman"/>
                      <w:color w:val="auto"/>
                      <w:sz w:val="21"/>
                      <w:highlight w:val="none"/>
                    </w:rPr>
                  </w:pPr>
                </w:p>
              </w:tc>
              <w:tc>
                <w:tcPr>
                  <w:tcW w:w="1900" w:type="dxa"/>
                  <w:vAlign w:val="center"/>
                </w:tcPr>
                <w:p w14:paraId="0D7BE8F9">
                  <w:pPr>
                    <w:snapToGrid/>
                    <w:spacing w:line="240" w:lineRule="auto"/>
                    <w:ind w:firstLine="0" w:firstLineChars="0"/>
                    <w:jc w:val="center"/>
                    <w:rPr>
                      <w:rFonts w:cs="Times New Roman"/>
                      <w:color w:val="auto"/>
                      <w:sz w:val="21"/>
                      <w:highlight w:val="none"/>
                    </w:rPr>
                  </w:pPr>
                  <w:r>
                    <w:rPr>
                      <w:rFonts w:cs="Times New Roman"/>
                      <w:color w:val="auto"/>
                      <w:sz w:val="21"/>
                      <w:highlight w:val="none"/>
                    </w:rPr>
                    <w:t>生活垃圾</w:t>
                  </w:r>
                </w:p>
              </w:tc>
              <w:tc>
                <w:tcPr>
                  <w:tcW w:w="3582" w:type="dxa"/>
                  <w:vAlign w:val="center"/>
                </w:tcPr>
                <w:p w14:paraId="3E85A4F2">
                  <w:pPr>
                    <w:snapToGrid/>
                    <w:spacing w:line="240" w:lineRule="auto"/>
                    <w:ind w:firstLine="0" w:firstLineChars="0"/>
                    <w:jc w:val="center"/>
                    <w:rPr>
                      <w:rFonts w:cs="Times New Roman"/>
                      <w:color w:val="auto"/>
                      <w:sz w:val="21"/>
                      <w:highlight w:val="none"/>
                    </w:rPr>
                  </w:pPr>
                  <w:r>
                    <w:rPr>
                      <w:rFonts w:cs="Times New Roman"/>
                      <w:color w:val="auto"/>
                      <w:sz w:val="21"/>
                      <w:highlight w:val="none"/>
                    </w:rPr>
                    <w:t>垃圾桶</w:t>
                  </w:r>
                </w:p>
              </w:tc>
              <w:tc>
                <w:tcPr>
                  <w:tcW w:w="643" w:type="dxa"/>
                  <w:vAlign w:val="center"/>
                </w:tcPr>
                <w:p w14:paraId="398789A8">
                  <w:pPr>
                    <w:snapToGrid/>
                    <w:spacing w:line="240" w:lineRule="auto"/>
                    <w:ind w:firstLine="0" w:firstLineChars="0"/>
                    <w:jc w:val="center"/>
                    <w:rPr>
                      <w:rFonts w:cs="Times New Roman"/>
                      <w:color w:val="auto"/>
                      <w:sz w:val="21"/>
                      <w:highlight w:val="none"/>
                    </w:rPr>
                  </w:pPr>
                  <w:r>
                    <w:rPr>
                      <w:rFonts w:cs="Times New Roman"/>
                      <w:color w:val="auto"/>
                      <w:sz w:val="21"/>
                      <w:highlight w:val="none"/>
                    </w:rPr>
                    <w:t>0.05</w:t>
                  </w:r>
                </w:p>
              </w:tc>
              <w:tc>
                <w:tcPr>
                  <w:tcW w:w="1302" w:type="dxa"/>
                  <w:vAlign w:val="center"/>
                </w:tcPr>
                <w:p w14:paraId="48EAF1D0">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w:t>
                  </w:r>
                </w:p>
              </w:tc>
            </w:tr>
            <w:tr w14:paraId="4B56A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491" w:type="dxa"/>
                  <w:vAlign w:val="center"/>
                </w:tcPr>
                <w:p w14:paraId="2596EA34">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生态</w:t>
                  </w:r>
                </w:p>
              </w:tc>
              <w:tc>
                <w:tcPr>
                  <w:tcW w:w="1900" w:type="dxa"/>
                  <w:vAlign w:val="center"/>
                </w:tcPr>
                <w:p w14:paraId="53D5FAC3">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生态破坏</w:t>
                  </w:r>
                </w:p>
              </w:tc>
              <w:tc>
                <w:tcPr>
                  <w:tcW w:w="3582" w:type="dxa"/>
                  <w:vAlign w:val="center"/>
                </w:tcPr>
                <w:p w14:paraId="3AF5702A">
                  <w:pPr>
                    <w:snapToGrid/>
                    <w:spacing w:line="240" w:lineRule="auto"/>
                    <w:ind w:firstLine="0" w:firstLineChars="0"/>
                    <w:jc w:val="center"/>
                    <w:rPr>
                      <w:rFonts w:hint="default" w:eastAsia="宋体" w:cs="Times New Roman"/>
                      <w:color w:val="auto"/>
                      <w:sz w:val="21"/>
                      <w:highlight w:val="none"/>
                      <w:lang w:val="en-US" w:eastAsia="zh-CN"/>
                    </w:rPr>
                  </w:pPr>
                  <w:r>
                    <w:rPr>
                      <w:rFonts w:hint="eastAsia" w:cs="Times New Roman"/>
                      <w:color w:val="auto"/>
                      <w:sz w:val="21"/>
                      <w:highlight w:val="none"/>
                      <w:lang w:val="en-US" w:eastAsia="zh-CN"/>
                    </w:rPr>
                    <w:t>设施工边界围栏、立生态保护警示牌</w:t>
                  </w:r>
                </w:p>
              </w:tc>
              <w:tc>
                <w:tcPr>
                  <w:tcW w:w="643" w:type="dxa"/>
                  <w:vAlign w:val="center"/>
                </w:tcPr>
                <w:p w14:paraId="63E2B9AD">
                  <w:pPr>
                    <w:snapToGrid/>
                    <w:spacing w:line="240" w:lineRule="auto"/>
                    <w:ind w:firstLine="0" w:firstLineChars="0"/>
                    <w:jc w:val="center"/>
                    <w:rPr>
                      <w:rFonts w:hint="default" w:eastAsia="宋体" w:cs="Times New Roman"/>
                      <w:color w:val="auto"/>
                      <w:sz w:val="21"/>
                      <w:highlight w:val="none"/>
                      <w:lang w:val="en-US" w:eastAsia="zh-CN"/>
                    </w:rPr>
                  </w:pPr>
                  <w:r>
                    <w:rPr>
                      <w:rFonts w:hint="eastAsia" w:cs="Times New Roman"/>
                      <w:color w:val="auto"/>
                      <w:sz w:val="21"/>
                      <w:highlight w:val="none"/>
                      <w:lang w:val="en-US" w:eastAsia="zh-CN"/>
                    </w:rPr>
                    <w:t>2</w:t>
                  </w:r>
                </w:p>
              </w:tc>
              <w:tc>
                <w:tcPr>
                  <w:tcW w:w="1302" w:type="dxa"/>
                  <w:vAlign w:val="center"/>
                </w:tcPr>
                <w:p w14:paraId="025B0F18">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w:t>
                  </w:r>
                </w:p>
              </w:tc>
            </w:tr>
            <w:tr w14:paraId="16B2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5973" w:type="dxa"/>
                  <w:gridSpan w:val="3"/>
                  <w:vAlign w:val="center"/>
                </w:tcPr>
                <w:p w14:paraId="2CFADC63">
                  <w:pPr>
                    <w:snapToGrid/>
                    <w:spacing w:line="240" w:lineRule="auto"/>
                    <w:ind w:firstLine="0" w:firstLineChars="0"/>
                    <w:jc w:val="center"/>
                    <w:rPr>
                      <w:rFonts w:cs="Times New Roman"/>
                      <w:b/>
                      <w:bCs/>
                      <w:color w:val="auto"/>
                      <w:sz w:val="21"/>
                      <w:highlight w:val="none"/>
                    </w:rPr>
                  </w:pPr>
                  <w:r>
                    <w:rPr>
                      <w:rFonts w:cs="Times New Roman"/>
                      <w:b/>
                      <w:bCs/>
                      <w:color w:val="auto"/>
                      <w:sz w:val="21"/>
                      <w:highlight w:val="none"/>
                    </w:rPr>
                    <w:t>小计</w:t>
                  </w:r>
                </w:p>
              </w:tc>
              <w:tc>
                <w:tcPr>
                  <w:tcW w:w="1945" w:type="dxa"/>
                  <w:gridSpan w:val="2"/>
                  <w:vAlign w:val="center"/>
                </w:tcPr>
                <w:p w14:paraId="302E0298">
                  <w:pPr>
                    <w:snapToGrid/>
                    <w:spacing w:line="240" w:lineRule="auto"/>
                    <w:ind w:firstLine="0" w:firstLineChars="0"/>
                    <w:jc w:val="center"/>
                    <w:rPr>
                      <w:rFonts w:hint="default" w:eastAsia="宋体" w:cs="Times New Roman"/>
                      <w:b/>
                      <w:bCs/>
                      <w:color w:val="auto"/>
                      <w:sz w:val="21"/>
                      <w:highlight w:val="none"/>
                      <w:lang w:val="en-US" w:eastAsia="zh-CN"/>
                    </w:rPr>
                  </w:pPr>
                  <w:r>
                    <w:rPr>
                      <w:rFonts w:hint="eastAsia" w:cs="Times New Roman"/>
                      <w:b/>
                      <w:bCs/>
                      <w:color w:val="auto"/>
                      <w:sz w:val="21"/>
                      <w:highlight w:val="none"/>
                      <w:lang w:val="en-US" w:eastAsia="zh-CN"/>
                    </w:rPr>
                    <w:t>6.65</w:t>
                  </w:r>
                </w:p>
              </w:tc>
            </w:tr>
            <w:tr w14:paraId="169A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7918" w:type="dxa"/>
                  <w:gridSpan w:val="5"/>
                  <w:vAlign w:val="center"/>
                </w:tcPr>
                <w:p w14:paraId="133F41D0">
                  <w:pPr>
                    <w:snapToGrid/>
                    <w:spacing w:line="240" w:lineRule="auto"/>
                    <w:ind w:firstLine="0" w:firstLineChars="0"/>
                    <w:jc w:val="center"/>
                    <w:rPr>
                      <w:rFonts w:cs="Times New Roman"/>
                      <w:color w:val="auto"/>
                      <w:sz w:val="21"/>
                      <w:highlight w:val="none"/>
                    </w:rPr>
                  </w:pPr>
                  <w:r>
                    <w:rPr>
                      <w:rFonts w:cs="Times New Roman"/>
                      <w:b/>
                      <w:bCs/>
                      <w:color w:val="auto"/>
                      <w:sz w:val="21"/>
                      <w:highlight w:val="none"/>
                    </w:rPr>
                    <w:t>运营期</w:t>
                  </w:r>
                </w:p>
              </w:tc>
            </w:tr>
            <w:tr w14:paraId="72B4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4" w:hRule="atLeast"/>
                <w:jc w:val="center"/>
              </w:trPr>
              <w:tc>
                <w:tcPr>
                  <w:tcW w:w="491" w:type="dxa"/>
                  <w:vMerge w:val="restart"/>
                  <w:vAlign w:val="center"/>
                </w:tcPr>
                <w:p w14:paraId="3CA9E692">
                  <w:pPr>
                    <w:snapToGrid/>
                    <w:spacing w:line="240" w:lineRule="auto"/>
                    <w:ind w:firstLine="0" w:firstLineChars="0"/>
                    <w:jc w:val="center"/>
                    <w:rPr>
                      <w:rFonts w:cs="Times New Roman"/>
                      <w:color w:val="auto"/>
                      <w:sz w:val="21"/>
                      <w:highlight w:val="none"/>
                    </w:rPr>
                  </w:pPr>
                  <w:r>
                    <w:rPr>
                      <w:rFonts w:cs="Times New Roman"/>
                      <w:color w:val="auto"/>
                      <w:sz w:val="21"/>
                      <w:highlight w:val="none"/>
                    </w:rPr>
                    <w:t>废气</w:t>
                  </w:r>
                </w:p>
              </w:tc>
              <w:tc>
                <w:tcPr>
                  <w:tcW w:w="1900" w:type="dxa"/>
                  <w:vAlign w:val="center"/>
                </w:tcPr>
                <w:p w14:paraId="0C270623">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雾炮机</w:t>
                  </w:r>
                </w:p>
              </w:tc>
              <w:tc>
                <w:tcPr>
                  <w:tcW w:w="3582" w:type="dxa"/>
                  <w:vAlign w:val="center"/>
                </w:tcPr>
                <w:p w14:paraId="58C1044D">
                  <w:pPr>
                    <w:snapToGrid/>
                    <w:spacing w:line="240" w:lineRule="auto"/>
                    <w:ind w:firstLine="0" w:firstLineChars="0"/>
                    <w:jc w:val="center"/>
                    <w:rPr>
                      <w:rFonts w:hint="default" w:eastAsia="宋体" w:cs="Times New Roman"/>
                      <w:color w:val="auto"/>
                      <w:sz w:val="21"/>
                      <w:highlight w:val="none"/>
                      <w:lang w:val="en-US" w:eastAsia="zh-CN"/>
                    </w:rPr>
                  </w:pPr>
                  <w:r>
                    <w:rPr>
                      <w:rFonts w:hint="eastAsia" w:cs="Times New Roman"/>
                      <w:color w:val="auto"/>
                      <w:sz w:val="21"/>
                      <w:highlight w:val="none"/>
                      <w:lang w:val="en-US" w:eastAsia="zh-CN"/>
                    </w:rPr>
                    <w:t>1台</w:t>
                  </w:r>
                </w:p>
              </w:tc>
              <w:tc>
                <w:tcPr>
                  <w:tcW w:w="643" w:type="dxa"/>
                  <w:vAlign w:val="center"/>
                </w:tcPr>
                <w:p w14:paraId="380E7939">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2</w:t>
                  </w:r>
                </w:p>
              </w:tc>
              <w:tc>
                <w:tcPr>
                  <w:tcW w:w="1302" w:type="dxa"/>
                  <w:vAlign w:val="center"/>
                </w:tcPr>
                <w:p w14:paraId="3DD09F24">
                  <w:pPr>
                    <w:snapToGrid/>
                    <w:spacing w:line="240" w:lineRule="auto"/>
                    <w:ind w:firstLine="0" w:firstLineChars="0"/>
                    <w:jc w:val="center"/>
                    <w:rPr>
                      <w:rFonts w:hint="default" w:eastAsia="宋体" w:cs="Times New Roman"/>
                      <w:color w:val="auto"/>
                      <w:sz w:val="21"/>
                      <w:highlight w:val="none"/>
                      <w:lang w:val="en-US" w:eastAsia="zh-CN"/>
                    </w:rPr>
                  </w:pPr>
                  <w:r>
                    <w:rPr>
                      <w:rFonts w:hint="eastAsia" w:cs="Times New Roman"/>
                      <w:color w:val="auto"/>
                      <w:sz w:val="21"/>
                      <w:highlight w:val="none"/>
                      <w:lang w:val="en-US" w:eastAsia="zh-CN"/>
                    </w:rPr>
                    <w:t>露天开采区扬尘</w:t>
                  </w:r>
                </w:p>
              </w:tc>
            </w:tr>
            <w:tr w14:paraId="55D2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491" w:type="dxa"/>
                  <w:vMerge w:val="continue"/>
                  <w:vAlign w:val="center"/>
                </w:tcPr>
                <w:p w14:paraId="41A3A89D">
                  <w:pPr>
                    <w:snapToGrid/>
                    <w:spacing w:line="240" w:lineRule="auto"/>
                    <w:ind w:firstLine="0" w:firstLineChars="0"/>
                    <w:jc w:val="center"/>
                    <w:rPr>
                      <w:rFonts w:cs="Times New Roman"/>
                      <w:color w:val="auto"/>
                      <w:sz w:val="21"/>
                      <w:highlight w:val="none"/>
                    </w:rPr>
                  </w:pPr>
                </w:p>
              </w:tc>
              <w:tc>
                <w:tcPr>
                  <w:tcW w:w="1900" w:type="dxa"/>
                  <w:vAlign w:val="center"/>
                </w:tcPr>
                <w:p w14:paraId="2238DC4C">
                  <w:pPr>
                    <w:snapToGrid/>
                    <w:spacing w:line="240" w:lineRule="auto"/>
                    <w:ind w:firstLine="0" w:firstLineChars="0"/>
                    <w:jc w:val="center"/>
                    <w:rPr>
                      <w:rFonts w:cs="Times New Roman"/>
                      <w:color w:val="auto"/>
                      <w:sz w:val="21"/>
                      <w:highlight w:val="none"/>
                    </w:rPr>
                  </w:pPr>
                  <w:r>
                    <w:rPr>
                      <w:rFonts w:cs="Times New Roman"/>
                      <w:color w:val="auto"/>
                      <w:sz w:val="21"/>
                      <w:highlight w:val="none"/>
                    </w:rPr>
                    <w:t>洒水车</w:t>
                  </w:r>
                </w:p>
              </w:tc>
              <w:tc>
                <w:tcPr>
                  <w:tcW w:w="3582" w:type="dxa"/>
                  <w:vAlign w:val="center"/>
                </w:tcPr>
                <w:p w14:paraId="5A217E5D">
                  <w:pPr>
                    <w:snapToGrid/>
                    <w:spacing w:line="240" w:lineRule="auto"/>
                    <w:ind w:firstLine="0" w:firstLineChars="0"/>
                    <w:jc w:val="center"/>
                    <w:rPr>
                      <w:rFonts w:cs="Times New Roman"/>
                      <w:color w:val="auto"/>
                      <w:sz w:val="21"/>
                      <w:highlight w:val="none"/>
                    </w:rPr>
                  </w:pPr>
                  <w:r>
                    <w:rPr>
                      <w:rFonts w:cs="Times New Roman"/>
                      <w:color w:val="auto"/>
                      <w:sz w:val="21"/>
                      <w:highlight w:val="none"/>
                    </w:rPr>
                    <w:t>1 辆</w:t>
                  </w:r>
                </w:p>
              </w:tc>
              <w:tc>
                <w:tcPr>
                  <w:tcW w:w="643" w:type="dxa"/>
                  <w:vAlign w:val="center"/>
                </w:tcPr>
                <w:p w14:paraId="5B98516A">
                  <w:pPr>
                    <w:snapToGrid/>
                    <w:spacing w:line="240" w:lineRule="auto"/>
                    <w:ind w:firstLine="0" w:firstLineChars="0"/>
                    <w:jc w:val="center"/>
                    <w:rPr>
                      <w:rFonts w:cs="Times New Roman"/>
                      <w:color w:val="auto"/>
                      <w:sz w:val="21"/>
                      <w:highlight w:val="none"/>
                    </w:rPr>
                  </w:pPr>
                  <w:r>
                    <w:rPr>
                      <w:rFonts w:cs="Times New Roman"/>
                      <w:color w:val="auto"/>
                      <w:sz w:val="21"/>
                      <w:highlight w:val="none"/>
                    </w:rPr>
                    <w:t>8</w:t>
                  </w:r>
                </w:p>
              </w:tc>
              <w:tc>
                <w:tcPr>
                  <w:tcW w:w="1302" w:type="dxa"/>
                  <w:vAlign w:val="center"/>
                </w:tcPr>
                <w:p w14:paraId="64D612E2">
                  <w:pPr>
                    <w:snapToGrid/>
                    <w:spacing w:line="240" w:lineRule="auto"/>
                    <w:ind w:firstLine="0" w:firstLineChars="0"/>
                    <w:jc w:val="center"/>
                    <w:rPr>
                      <w:rFonts w:cs="Times New Roman"/>
                      <w:color w:val="auto"/>
                      <w:sz w:val="21"/>
                      <w:highlight w:val="none"/>
                    </w:rPr>
                  </w:pPr>
                  <w:r>
                    <w:rPr>
                      <w:rFonts w:cs="Times New Roman"/>
                      <w:color w:val="auto"/>
                      <w:sz w:val="21"/>
                      <w:highlight w:val="none"/>
                    </w:rPr>
                    <w:t>运输道路降尘</w:t>
                  </w:r>
                </w:p>
              </w:tc>
            </w:tr>
            <w:tr w14:paraId="74D4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atLeast"/>
                <w:jc w:val="center"/>
              </w:trPr>
              <w:tc>
                <w:tcPr>
                  <w:tcW w:w="491" w:type="dxa"/>
                  <w:vMerge w:val="continue"/>
                  <w:vAlign w:val="center"/>
                </w:tcPr>
                <w:p w14:paraId="3E3127A9">
                  <w:pPr>
                    <w:snapToGrid/>
                    <w:spacing w:line="240" w:lineRule="auto"/>
                    <w:ind w:firstLine="0" w:firstLineChars="0"/>
                    <w:jc w:val="center"/>
                    <w:rPr>
                      <w:rFonts w:cs="Times New Roman"/>
                      <w:color w:val="auto"/>
                      <w:sz w:val="21"/>
                      <w:highlight w:val="none"/>
                    </w:rPr>
                  </w:pPr>
                </w:p>
              </w:tc>
              <w:tc>
                <w:tcPr>
                  <w:tcW w:w="1900" w:type="dxa"/>
                  <w:vAlign w:val="center"/>
                </w:tcPr>
                <w:p w14:paraId="0F26F7E3">
                  <w:pPr>
                    <w:snapToGrid/>
                    <w:spacing w:line="240" w:lineRule="auto"/>
                    <w:ind w:firstLine="0" w:firstLineChars="0"/>
                    <w:jc w:val="center"/>
                    <w:rPr>
                      <w:rFonts w:cs="Times New Roman"/>
                      <w:color w:val="auto"/>
                      <w:sz w:val="21"/>
                      <w:highlight w:val="none"/>
                      <w:lang w:eastAsia="zh-CN"/>
                    </w:rPr>
                  </w:pPr>
                  <w:r>
                    <w:rPr>
                      <w:rFonts w:hint="eastAsia" w:cs="Times New Roman"/>
                      <w:color w:val="auto"/>
                      <w:sz w:val="21"/>
                      <w:highlight w:val="none"/>
                      <w:lang w:eastAsia="zh-CN"/>
                    </w:rPr>
                    <w:t>破碎站</w:t>
                  </w:r>
                  <w:r>
                    <w:rPr>
                      <w:rFonts w:cs="Times New Roman"/>
                      <w:color w:val="auto"/>
                      <w:sz w:val="21"/>
                      <w:highlight w:val="none"/>
                      <w:lang w:eastAsia="zh-CN"/>
                    </w:rPr>
                    <w:t>彩钢瓦封闭</w:t>
                  </w:r>
                  <w:r>
                    <w:rPr>
                      <w:rFonts w:hint="eastAsia" w:cs="Times New Roman"/>
                      <w:color w:val="auto"/>
                      <w:sz w:val="21"/>
                      <w:highlight w:val="none"/>
                      <w:lang w:eastAsia="zh-CN"/>
                    </w:rPr>
                    <w:t>破碎站</w:t>
                  </w:r>
                  <w:r>
                    <w:rPr>
                      <w:rFonts w:cs="Times New Roman"/>
                      <w:color w:val="auto"/>
                      <w:sz w:val="21"/>
                      <w:highlight w:val="none"/>
                      <w:lang w:eastAsia="zh-CN"/>
                    </w:rPr>
                    <w:t>，采用引风管负压收集+脉冲布袋除尘器和</w:t>
                  </w:r>
                  <w:r>
                    <w:rPr>
                      <w:rFonts w:hint="eastAsia" w:cs="Times New Roman"/>
                      <w:color w:val="auto"/>
                      <w:sz w:val="21"/>
                      <w:highlight w:val="none"/>
                      <w:lang w:eastAsia="zh-CN"/>
                    </w:rPr>
                    <w:t>1</w:t>
                  </w:r>
                  <w:r>
                    <w:rPr>
                      <w:rFonts w:hint="eastAsia" w:cs="Times New Roman"/>
                      <w:color w:val="auto"/>
                      <w:sz w:val="21"/>
                      <w:highlight w:val="none"/>
                      <w:lang w:val="en-US" w:eastAsia="zh-CN"/>
                    </w:rPr>
                    <w:t>5</w:t>
                  </w:r>
                  <w:r>
                    <w:rPr>
                      <w:rFonts w:hint="eastAsia" w:cs="Times New Roman"/>
                      <w:color w:val="auto"/>
                      <w:sz w:val="21"/>
                      <w:highlight w:val="none"/>
                      <w:lang w:eastAsia="zh-CN"/>
                    </w:rPr>
                    <w:t>m</w:t>
                  </w:r>
                  <w:r>
                    <w:rPr>
                      <w:rFonts w:cs="Times New Roman"/>
                      <w:color w:val="auto"/>
                      <w:sz w:val="21"/>
                      <w:highlight w:val="none"/>
                      <w:lang w:eastAsia="zh-CN"/>
                    </w:rPr>
                    <w:t>排气筒</w:t>
                  </w:r>
                </w:p>
              </w:tc>
              <w:tc>
                <w:tcPr>
                  <w:tcW w:w="3582" w:type="dxa"/>
                  <w:vAlign w:val="center"/>
                </w:tcPr>
                <w:p w14:paraId="40606887">
                  <w:pPr>
                    <w:snapToGrid/>
                    <w:spacing w:line="240" w:lineRule="auto"/>
                    <w:ind w:firstLine="0" w:firstLineChars="0"/>
                    <w:jc w:val="center"/>
                    <w:rPr>
                      <w:rFonts w:cs="Times New Roman"/>
                      <w:color w:val="auto"/>
                      <w:sz w:val="21"/>
                      <w:highlight w:val="none"/>
                      <w:lang w:eastAsia="zh-CN"/>
                    </w:rPr>
                  </w:pPr>
                  <w:r>
                    <w:rPr>
                      <w:rFonts w:cs="Times New Roman"/>
                      <w:color w:val="auto"/>
                      <w:sz w:val="21"/>
                      <w:highlight w:val="none"/>
                      <w:lang w:eastAsia="zh-CN"/>
                    </w:rPr>
                    <w:t>共设置引风管负压收集+脉冲布袋除尘器和</w:t>
                  </w:r>
                  <w:r>
                    <w:rPr>
                      <w:rFonts w:hint="eastAsia" w:cs="Times New Roman"/>
                      <w:color w:val="auto"/>
                      <w:sz w:val="21"/>
                      <w:highlight w:val="none"/>
                      <w:lang w:val="en-US" w:eastAsia="zh-CN"/>
                    </w:rPr>
                    <w:t>15</w:t>
                  </w:r>
                  <w:r>
                    <w:rPr>
                      <w:rFonts w:hint="eastAsia" w:cs="Times New Roman"/>
                      <w:color w:val="auto"/>
                      <w:sz w:val="21"/>
                      <w:highlight w:val="none"/>
                      <w:lang w:eastAsia="zh-CN"/>
                    </w:rPr>
                    <w:t>m</w:t>
                  </w:r>
                  <w:r>
                    <w:rPr>
                      <w:rFonts w:cs="Times New Roman"/>
                      <w:color w:val="auto"/>
                      <w:sz w:val="21"/>
                      <w:highlight w:val="none"/>
                      <w:lang w:eastAsia="zh-CN"/>
                    </w:rPr>
                    <w:t>排气筒1根、彩钢瓦封闭</w:t>
                  </w:r>
                  <w:r>
                    <w:rPr>
                      <w:rFonts w:hint="eastAsia" w:cs="Times New Roman"/>
                      <w:color w:val="auto"/>
                      <w:sz w:val="21"/>
                      <w:highlight w:val="none"/>
                      <w:lang w:eastAsia="zh-CN"/>
                    </w:rPr>
                    <w:t>破碎站</w:t>
                  </w:r>
                </w:p>
              </w:tc>
              <w:tc>
                <w:tcPr>
                  <w:tcW w:w="643" w:type="dxa"/>
                  <w:vAlign w:val="center"/>
                </w:tcPr>
                <w:p w14:paraId="1E2580BF">
                  <w:pPr>
                    <w:snapToGrid/>
                    <w:spacing w:line="240" w:lineRule="auto"/>
                    <w:ind w:firstLine="0" w:firstLineChars="0"/>
                    <w:jc w:val="center"/>
                    <w:rPr>
                      <w:rFonts w:hint="eastAsia" w:eastAsia="宋体" w:cs="Times New Roman"/>
                      <w:color w:val="auto"/>
                      <w:sz w:val="21"/>
                      <w:highlight w:val="none"/>
                      <w:lang w:eastAsia="zh-CN"/>
                    </w:rPr>
                  </w:pPr>
                  <w:r>
                    <w:rPr>
                      <w:rFonts w:cs="Times New Roman"/>
                      <w:color w:val="auto"/>
                      <w:sz w:val="21"/>
                      <w:highlight w:val="none"/>
                    </w:rPr>
                    <w:t>2</w:t>
                  </w:r>
                  <w:r>
                    <w:rPr>
                      <w:rFonts w:hint="eastAsia" w:cs="Times New Roman"/>
                      <w:color w:val="auto"/>
                      <w:sz w:val="21"/>
                      <w:highlight w:val="none"/>
                      <w:lang w:val="en-US" w:eastAsia="zh-CN"/>
                    </w:rPr>
                    <w:t>0</w:t>
                  </w:r>
                </w:p>
              </w:tc>
              <w:tc>
                <w:tcPr>
                  <w:tcW w:w="1302" w:type="dxa"/>
                  <w:vAlign w:val="center"/>
                </w:tcPr>
                <w:p w14:paraId="16052423">
                  <w:pPr>
                    <w:snapToGrid/>
                    <w:spacing w:line="240" w:lineRule="auto"/>
                    <w:ind w:firstLine="0" w:firstLineChars="0"/>
                    <w:jc w:val="center"/>
                    <w:rPr>
                      <w:rFonts w:cs="Times New Roman"/>
                      <w:color w:val="auto"/>
                      <w:sz w:val="21"/>
                      <w:highlight w:val="none"/>
                    </w:rPr>
                  </w:pPr>
                  <w:r>
                    <w:rPr>
                      <w:rFonts w:cs="Times New Roman"/>
                      <w:color w:val="auto"/>
                      <w:sz w:val="21"/>
                      <w:highlight w:val="none"/>
                    </w:rPr>
                    <w:t>破碎、筛分粉 尘处理</w:t>
                  </w:r>
                </w:p>
              </w:tc>
            </w:tr>
            <w:tr w14:paraId="4198F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9" w:hRule="atLeast"/>
                <w:jc w:val="center"/>
              </w:trPr>
              <w:tc>
                <w:tcPr>
                  <w:tcW w:w="491" w:type="dxa"/>
                  <w:vMerge w:val="continue"/>
                  <w:vAlign w:val="center"/>
                </w:tcPr>
                <w:p w14:paraId="7CDF45C0">
                  <w:pPr>
                    <w:snapToGrid/>
                    <w:spacing w:line="240" w:lineRule="auto"/>
                    <w:ind w:firstLine="0" w:firstLineChars="0"/>
                    <w:jc w:val="center"/>
                    <w:rPr>
                      <w:rFonts w:cs="Times New Roman"/>
                      <w:color w:val="auto"/>
                      <w:sz w:val="21"/>
                      <w:highlight w:val="none"/>
                    </w:rPr>
                  </w:pPr>
                </w:p>
              </w:tc>
              <w:tc>
                <w:tcPr>
                  <w:tcW w:w="1900" w:type="dxa"/>
                  <w:vAlign w:val="center"/>
                </w:tcPr>
                <w:p w14:paraId="5C2B93F2">
                  <w:pPr>
                    <w:snapToGrid/>
                    <w:spacing w:line="240" w:lineRule="auto"/>
                    <w:ind w:firstLine="0" w:firstLineChars="0"/>
                    <w:jc w:val="center"/>
                    <w:rPr>
                      <w:rFonts w:cs="Times New Roman"/>
                      <w:color w:val="auto"/>
                      <w:sz w:val="21"/>
                      <w:highlight w:val="none"/>
                      <w:lang w:eastAsia="zh-CN"/>
                    </w:rPr>
                  </w:pPr>
                  <w:r>
                    <w:rPr>
                      <w:rFonts w:cs="Times New Roman"/>
                      <w:color w:val="auto"/>
                      <w:sz w:val="21"/>
                      <w:highlight w:val="none"/>
                      <w:lang w:eastAsia="zh-CN"/>
                    </w:rPr>
                    <w:t>在矿石破碎筛分点配置喷淋洒水装置</w:t>
                  </w:r>
                </w:p>
              </w:tc>
              <w:tc>
                <w:tcPr>
                  <w:tcW w:w="3582" w:type="dxa"/>
                  <w:vAlign w:val="center"/>
                </w:tcPr>
                <w:p w14:paraId="5B98F938">
                  <w:pPr>
                    <w:snapToGrid/>
                    <w:spacing w:line="240" w:lineRule="auto"/>
                    <w:ind w:firstLine="0" w:firstLineChars="0"/>
                    <w:jc w:val="center"/>
                    <w:rPr>
                      <w:rFonts w:cs="Times New Roman"/>
                      <w:color w:val="auto"/>
                      <w:sz w:val="21"/>
                      <w:highlight w:val="none"/>
                    </w:rPr>
                  </w:pPr>
                  <w:r>
                    <w:rPr>
                      <w:rFonts w:hint="eastAsia" w:cs="Times New Roman"/>
                      <w:color w:val="auto"/>
                      <w:sz w:val="21"/>
                      <w:highlight w:val="none"/>
                      <w:lang w:val="en-US" w:eastAsia="zh-CN"/>
                    </w:rPr>
                    <w:t>5</w:t>
                  </w:r>
                  <w:r>
                    <w:rPr>
                      <w:rFonts w:cs="Times New Roman"/>
                      <w:color w:val="auto"/>
                      <w:sz w:val="21"/>
                      <w:highlight w:val="none"/>
                    </w:rPr>
                    <w:t xml:space="preserve"> 套</w:t>
                  </w:r>
                </w:p>
              </w:tc>
              <w:tc>
                <w:tcPr>
                  <w:tcW w:w="643" w:type="dxa"/>
                  <w:vAlign w:val="center"/>
                </w:tcPr>
                <w:p w14:paraId="5E3F728E">
                  <w:pPr>
                    <w:snapToGrid/>
                    <w:spacing w:line="240" w:lineRule="auto"/>
                    <w:ind w:firstLine="0" w:firstLineChars="0"/>
                    <w:jc w:val="center"/>
                    <w:rPr>
                      <w:rFonts w:hint="eastAsia" w:eastAsia="宋体" w:cs="Times New Roman"/>
                      <w:color w:val="auto"/>
                      <w:sz w:val="21"/>
                      <w:highlight w:val="none"/>
                      <w:lang w:eastAsia="zh-CN"/>
                    </w:rPr>
                  </w:pPr>
                  <w:r>
                    <w:rPr>
                      <w:rFonts w:hint="eastAsia" w:cs="Times New Roman"/>
                      <w:color w:val="auto"/>
                      <w:sz w:val="21"/>
                      <w:highlight w:val="none"/>
                      <w:lang w:val="en-US" w:eastAsia="zh-CN"/>
                    </w:rPr>
                    <w:t>5</w:t>
                  </w:r>
                </w:p>
              </w:tc>
              <w:tc>
                <w:tcPr>
                  <w:tcW w:w="1302" w:type="dxa"/>
                  <w:vAlign w:val="center"/>
                </w:tcPr>
                <w:p w14:paraId="5F2BE85F">
                  <w:pPr>
                    <w:snapToGrid/>
                    <w:spacing w:line="240" w:lineRule="auto"/>
                    <w:ind w:firstLine="0" w:firstLineChars="0"/>
                    <w:jc w:val="center"/>
                    <w:rPr>
                      <w:rFonts w:cs="Times New Roman"/>
                      <w:color w:val="auto"/>
                      <w:sz w:val="21"/>
                      <w:highlight w:val="none"/>
                    </w:rPr>
                  </w:pPr>
                  <w:r>
                    <w:rPr>
                      <w:rFonts w:cs="Times New Roman"/>
                      <w:color w:val="auto"/>
                      <w:sz w:val="21"/>
                      <w:highlight w:val="none"/>
                    </w:rPr>
                    <w:t>破碎筛分粉尘</w:t>
                  </w:r>
                </w:p>
              </w:tc>
            </w:tr>
            <w:tr w14:paraId="0BD4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6" w:hRule="atLeast"/>
                <w:jc w:val="center"/>
              </w:trPr>
              <w:tc>
                <w:tcPr>
                  <w:tcW w:w="491" w:type="dxa"/>
                  <w:vMerge w:val="continue"/>
                  <w:vAlign w:val="center"/>
                </w:tcPr>
                <w:p w14:paraId="5CADA7F9">
                  <w:pPr>
                    <w:snapToGrid/>
                    <w:spacing w:line="240" w:lineRule="auto"/>
                    <w:ind w:firstLine="0" w:firstLineChars="0"/>
                    <w:jc w:val="center"/>
                    <w:rPr>
                      <w:rFonts w:cs="Times New Roman"/>
                      <w:color w:val="auto"/>
                      <w:sz w:val="21"/>
                      <w:highlight w:val="none"/>
                    </w:rPr>
                  </w:pPr>
                </w:p>
              </w:tc>
              <w:tc>
                <w:tcPr>
                  <w:tcW w:w="1900" w:type="dxa"/>
                  <w:vAlign w:val="center"/>
                </w:tcPr>
                <w:p w14:paraId="22D9DC93">
                  <w:pPr>
                    <w:snapToGrid/>
                    <w:spacing w:line="240" w:lineRule="auto"/>
                    <w:ind w:firstLine="0" w:firstLineChars="0"/>
                    <w:jc w:val="center"/>
                    <w:rPr>
                      <w:rFonts w:hint="default" w:cs="Times New Roman"/>
                      <w:color w:val="auto"/>
                      <w:sz w:val="21"/>
                      <w:highlight w:val="none"/>
                      <w:lang w:val="en-US" w:eastAsia="zh-CN"/>
                    </w:rPr>
                  </w:pPr>
                  <w:r>
                    <w:rPr>
                      <w:rFonts w:hint="eastAsia" w:cs="Times New Roman"/>
                      <w:color w:val="auto"/>
                      <w:sz w:val="21"/>
                      <w:highlight w:val="none"/>
                      <w:lang w:val="en-US" w:eastAsia="zh-CN"/>
                    </w:rPr>
                    <w:t>砂料堆场</w:t>
                  </w:r>
                  <w:r>
                    <w:rPr>
                      <w:rFonts w:cs="Times New Roman"/>
                      <w:color w:val="auto"/>
                      <w:sz w:val="21"/>
                      <w:highlight w:val="none"/>
                      <w:lang w:eastAsia="zh-CN"/>
                    </w:rPr>
                    <w:t>预留进出口并增加门帘、设置顶棚、</w:t>
                  </w:r>
                  <w:r>
                    <w:rPr>
                      <w:rFonts w:hint="eastAsia" w:cs="Times New Roman"/>
                      <w:color w:val="auto"/>
                      <w:sz w:val="21"/>
                      <w:highlight w:val="none"/>
                      <w:lang w:eastAsia="zh-CN"/>
                    </w:rPr>
                    <w:t>三面围挡，</w:t>
                  </w:r>
                  <w:r>
                    <w:rPr>
                      <w:rFonts w:hint="eastAsia" w:cs="Times New Roman"/>
                      <w:color w:val="auto"/>
                      <w:sz w:val="21"/>
                      <w:highlight w:val="none"/>
                      <w:lang w:val="en-US" w:eastAsia="zh-CN"/>
                    </w:rPr>
                    <w:t>厂内设</w:t>
                  </w:r>
                  <w:r>
                    <w:rPr>
                      <w:rFonts w:cs="Times New Roman"/>
                      <w:color w:val="auto"/>
                      <w:sz w:val="21"/>
                      <w:highlight w:val="none"/>
                      <w:lang w:eastAsia="zh-CN"/>
                    </w:rPr>
                    <w:t>自动喷淋洒水降尘</w:t>
                  </w:r>
                  <w:r>
                    <w:rPr>
                      <w:rFonts w:hint="eastAsia" w:cs="Times New Roman"/>
                      <w:color w:val="auto"/>
                      <w:sz w:val="21"/>
                      <w:highlight w:val="none"/>
                      <w:lang w:val="en-US" w:eastAsia="zh-CN"/>
                    </w:rPr>
                    <w:t>装置</w:t>
                  </w:r>
                </w:p>
              </w:tc>
              <w:tc>
                <w:tcPr>
                  <w:tcW w:w="3582" w:type="dxa"/>
                  <w:vAlign w:val="center"/>
                </w:tcPr>
                <w:p w14:paraId="53D7888D">
                  <w:pPr>
                    <w:snapToGrid/>
                    <w:spacing w:line="240" w:lineRule="auto"/>
                    <w:ind w:firstLine="0" w:firstLineChars="0"/>
                    <w:jc w:val="center"/>
                    <w:rPr>
                      <w:rFonts w:cs="Times New Roman"/>
                      <w:color w:val="auto"/>
                      <w:sz w:val="21"/>
                      <w:highlight w:val="none"/>
                      <w:lang w:eastAsia="zh-CN"/>
                    </w:rPr>
                  </w:pPr>
                  <w:r>
                    <w:rPr>
                      <w:rFonts w:cs="Times New Roman"/>
                      <w:color w:val="auto"/>
                      <w:sz w:val="21"/>
                      <w:highlight w:val="none"/>
                      <w:lang w:eastAsia="zh-CN"/>
                    </w:rPr>
                    <w:t>封闭厂房（预留进出口并增加门帘、设置顶棚、三面</w:t>
                  </w:r>
                  <w:r>
                    <w:rPr>
                      <w:rFonts w:hint="eastAsia" w:cs="Times New Roman"/>
                      <w:color w:val="auto"/>
                      <w:sz w:val="21"/>
                      <w:highlight w:val="none"/>
                      <w:lang w:eastAsia="zh-CN"/>
                    </w:rPr>
                    <w:t>围挡</w:t>
                  </w:r>
                  <w:r>
                    <w:rPr>
                      <w:rFonts w:cs="Times New Roman"/>
                      <w:color w:val="auto"/>
                      <w:sz w:val="21"/>
                      <w:highlight w:val="none"/>
                      <w:lang w:eastAsia="zh-CN"/>
                    </w:rPr>
                    <w:t>）、</w:t>
                  </w:r>
                  <w:r>
                    <w:rPr>
                      <w:rFonts w:hint="eastAsia" w:cs="Times New Roman"/>
                      <w:color w:val="auto"/>
                      <w:sz w:val="21"/>
                      <w:highlight w:val="none"/>
                      <w:lang w:val="en-US" w:eastAsia="zh-CN"/>
                    </w:rPr>
                    <w:t>2</w:t>
                  </w:r>
                  <w:r>
                    <w:rPr>
                      <w:rFonts w:cs="Times New Roman"/>
                      <w:color w:val="auto"/>
                      <w:sz w:val="21"/>
                      <w:highlight w:val="none"/>
                      <w:lang w:eastAsia="zh-CN"/>
                    </w:rPr>
                    <w:t>套自动喷淋洒水降尘</w:t>
                  </w:r>
                </w:p>
              </w:tc>
              <w:tc>
                <w:tcPr>
                  <w:tcW w:w="643" w:type="dxa"/>
                  <w:vAlign w:val="center"/>
                </w:tcPr>
                <w:p w14:paraId="2E923C35">
                  <w:pPr>
                    <w:snapToGrid/>
                    <w:spacing w:line="240" w:lineRule="auto"/>
                    <w:ind w:firstLine="0" w:firstLineChars="0"/>
                    <w:jc w:val="center"/>
                    <w:rPr>
                      <w:rFonts w:cs="Times New Roman"/>
                      <w:color w:val="auto"/>
                      <w:sz w:val="21"/>
                      <w:highlight w:val="none"/>
                      <w:lang w:eastAsia="zh-CN"/>
                    </w:rPr>
                  </w:pPr>
                  <w:r>
                    <w:rPr>
                      <w:rFonts w:cs="Times New Roman"/>
                      <w:color w:val="auto"/>
                      <w:sz w:val="21"/>
                      <w:highlight w:val="none"/>
                    </w:rPr>
                    <w:t>1</w:t>
                  </w:r>
                  <w:r>
                    <w:rPr>
                      <w:rFonts w:hint="eastAsia" w:cs="Times New Roman"/>
                      <w:color w:val="auto"/>
                      <w:sz w:val="21"/>
                      <w:highlight w:val="none"/>
                      <w:lang w:eastAsia="zh-CN"/>
                    </w:rPr>
                    <w:t>5</w:t>
                  </w:r>
                </w:p>
              </w:tc>
              <w:tc>
                <w:tcPr>
                  <w:tcW w:w="1302" w:type="dxa"/>
                  <w:vAlign w:val="center"/>
                </w:tcPr>
                <w:p w14:paraId="520124DB">
                  <w:pPr>
                    <w:snapToGrid/>
                    <w:spacing w:line="240" w:lineRule="auto"/>
                    <w:ind w:firstLine="0" w:firstLineChars="0"/>
                    <w:jc w:val="center"/>
                    <w:rPr>
                      <w:rFonts w:cs="Times New Roman"/>
                      <w:color w:val="auto"/>
                      <w:sz w:val="21"/>
                      <w:highlight w:val="none"/>
                    </w:rPr>
                  </w:pPr>
                  <w:r>
                    <w:rPr>
                      <w:rFonts w:hint="eastAsia" w:cs="Times New Roman"/>
                      <w:color w:val="auto"/>
                      <w:sz w:val="21"/>
                      <w:highlight w:val="none"/>
                      <w:lang w:val="en-US" w:eastAsia="zh-CN"/>
                    </w:rPr>
                    <w:t>砂料堆场</w:t>
                  </w:r>
                  <w:r>
                    <w:rPr>
                      <w:rFonts w:cs="Times New Roman"/>
                      <w:color w:val="auto"/>
                      <w:sz w:val="21"/>
                      <w:highlight w:val="none"/>
                    </w:rPr>
                    <w:t>扬尘</w:t>
                  </w:r>
                </w:p>
              </w:tc>
            </w:tr>
            <w:tr w14:paraId="2652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9" w:hRule="atLeast"/>
                <w:jc w:val="center"/>
              </w:trPr>
              <w:tc>
                <w:tcPr>
                  <w:tcW w:w="491" w:type="dxa"/>
                  <w:vMerge w:val="continue"/>
                  <w:vAlign w:val="center"/>
                </w:tcPr>
                <w:p w14:paraId="4007DD12">
                  <w:pPr>
                    <w:snapToGrid/>
                    <w:spacing w:line="240" w:lineRule="auto"/>
                    <w:ind w:firstLine="0" w:firstLineChars="0"/>
                    <w:jc w:val="center"/>
                    <w:rPr>
                      <w:rFonts w:cs="Times New Roman"/>
                      <w:color w:val="auto"/>
                      <w:sz w:val="21"/>
                      <w:highlight w:val="none"/>
                    </w:rPr>
                  </w:pPr>
                </w:p>
              </w:tc>
              <w:tc>
                <w:tcPr>
                  <w:tcW w:w="1900" w:type="dxa"/>
                  <w:vAlign w:val="center"/>
                </w:tcPr>
                <w:p w14:paraId="43F1DC7A">
                  <w:pPr>
                    <w:snapToGrid/>
                    <w:spacing w:line="240" w:lineRule="auto"/>
                    <w:ind w:firstLine="0" w:firstLineChars="0"/>
                    <w:jc w:val="center"/>
                    <w:rPr>
                      <w:rFonts w:cs="Times New Roman"/>
                      <w:color w:val="auto"/>
                      <w:sz w:val="21"/>
                      <w:highlight w:val="none"/>
                    </w:rPr>
                  </w:pPr>
                  <w:r>
                    <w:rPr>
                      <w:rFonts w:hint="eastAsia" w:cs="Times New Roman"/>
                      <w:color w:val="auto"/>
                      <w:sz w:val="21"/>
                      <w:highlight w:val="none"/>
                    </w:rPr>
                    <w:t>运输皮带除尘系统</w:t>
                  </w:r>
                </w:p>
              </w:tc>
              <w:tc>
                <w:tcPr>
                  <w:tcW w:w="3582" w:type="dxa"/>
                  <w:vAlign w:val="center"/>
                </w:tcPr>
                <w:p w14:paraId="27F844F9">
                  <w:pPr>
                    <w:snapToGrid/>
                    <w:spacing w:line="240" w:lineRule="auto"/>
                    <w:ind w:firstLine="0" w:firstLineChars="0"/>
                    <w:jc w:val="center"/>
                    <w:rPr>
                      <w:rFonts w:cs="Times New Roman"/>
                      <w:color w:val="auto"/>
                      <w:sz w:val="21"/>
                      <w:highlight w:val="none"/>
                      <w:lang w:eastAsia="zh-CN"/>
                    </w:rPr>
                  </w:pPr>
                  <w:r>
                    <w:rPr>
                      <w:rFonts w:cs="Times New Roman"/>
                      <w:color w:val="auto"/>
                      <w:sz w:val="21"/>
                      <w:highlight w:val="none"/>
                      <w:lang w:eastAsia="zh-CN"/>
                    </w:rPr>
                    <w:t>皮带运输系统廊道采用半圆形彩钢瓦进行封闭。</w:t>
                  </w:r>
                </w:p>
              </w:tc>
              <w:tc>
                <w:tcPr>
                  <w:tcW w:w="643" w:type="dxa"/>
                  <w:vAlign w:val="center"/>
                </w:tcPr>
                <w:p w14:paraId="4B4D5ADC">
                  <w:pPr>
                    <w:snapToGrid/>
                    <w:spacing w:line="240" w:lineRule="auto"/>
                    <w:ind w:firstLine="0" w:firstLineChars="0"/>
                    <w:jc w:val="center"/>
                    <w:rPr>
                      <w:rFonts w:cs="Times New Roman"/>
                      <w:color w:val="auto"/>
                      <w:sz w:val="21"/>
                      <w:highlight w:val="none"/>
                      <w:lang w:eastAsia="zh-CN"/>
                    </w:rPr>
                  </w:pPr>
                  <w:r>
                    <w:rPr>
                      <w:rFonts w:hint="eastAsia" w:cs="Times New Roman"/>
                      <w:color w:val="auto"/>
                      <w:sz w:val="21"/>
                      <w:highlight w:val="none"/>
                      <w:lang w:eastAsia="zh-CN"/>
                    </w:rPr>
                    <w:t>2</w:t>
                  </w:r>
                </w:p>
              </w:tc>
              <w:tc>
                <w:tcPr>
                  <w:tcW w:w="1302" w:type="dxa"/>
                  <w:vAlign w:val="center"/>
                </w:tcPr>
                <w:p w14:paraId="59944CCC">
                  <w:pPr>
                    <w:snapToGrid/>
                    <w:spacing w:line="240" w:lineRule="auto"/>
                    <w:ind w:firstLine="0" w:firstLineChars="0"/>
                    <w:jc w:val="center"/>
                    <w:rPr>
                      <w:rFonts w:cs="Times New Roman"/>
                      <w:color w:val="auto"/>
                      <w:sz w:val="21"/>
                      <w:highlight w:val="none"/>
                      <w:lang w:eastAsia="zh-CN"/>
                    </w:rPr>
                  </w:pPr>
                  <w:r>
                    <w:rPr>
                      <w:rFonts w:cs="Times New Roman"/>
                      <w:color w:val="auto"/>
                      <w:sz w:val="21"/>
                      <w:highlight w:val="none"/>
                    </w:rPr>
                    <w:t>运输皮带</w:t>
                  </w:r>
                  <w:r>
                    <w:rPr>
                      <w:rFonts w:hint="eastAsia" w:cs="Times New Roman"/>
                      <w:color w:val="auto"/>
                      <w:sz w:val="21"/>
                      <w:highlight w:val="none"/>
                      <w:lang w:eastAsia="zh-CN"/>
                    </w:rPr>
                    <w:t>粉尘</w:t>
                  </w:r>
                </w:p>
              </w:tc>
            </w:tr>
            <w:tr w14:paraId="5ED2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9" w:hRule="atLeast"/>
                <w:jc w:val="center"/>
              </w:trPr>
              <w:tc>
                <w:tcPr>
                  <w:tcW w:w="491" w:type="dxa"/>
                  <w:vMerge w:val="continue"/>
                  <w:vAlign w:val="center"/>
                </w:tcPr>
                <w:p w14:paraId="77072665">
                  <w:pPr>
                    <w:snapToGrid/>
                    <w:spacing w:line="240" w:lineRule="auto"/>
                    <w:ind w:firstLine="0" w:firstLineChars="0"/>
                    <w:jc w:val="center"/>
                    <w:rPr>
                      <w:rFonts w:cs="Times New Roman"/>
                      <w:color w:val="auto"/>
                      <w:sz w:val="21"/>
                      <w:highlight w:val="none"/>
                    </w:rPr>
                  </w:pPr>
                </w:p>
              </w:tc>
              <w:tc>
                <w:tcPr>
                  <w:tcW w:w="1900" w:type="dxa"/>
                  <w:vAlign w:val="center"/>
                </w:tcPr>
                <w:p w14:paraId="412A58D2">
                  <w:pPr>
                    <w:snapToGrid/>
                    <w:spacing w:line="240" w:lineRule="auto"/>
                    <w:ind w:firstLine="0" w:firstLineChars="0"/>
                    <w:jc w:val="center"/>
                    <w:rPr>
                      <w:rFonts w:cs="Times New Roman"/>
                      <w:color w:val="auto"/>
                      <w:sz w:val="21"/>
                      <w:highlight w:val="none"/>
                    </w:rPr>
                  </w:pPr>
                  <w:r>
                    <w:rPr>
                      <w:rFonts w:cs="Times New Roman"/>
                      <w:color w:val="auto"/>
                      <w:sz w:val="21"/>
                      <w:highlight w:val="none"/>
                    </w:rPr>
                    <w:t>运输车辆遮盖篷布</w:t>
                  </w:r>
                </w:p>
              </w:tc>
              <w:tc>
                <w:tcPr>
                  <w:tcW w:w="3582" w:type="dxa"/>
                  <w:vAlign w:val="center"/>
                </w:tcPr>
                <w:p w14:paraId="57C16CCC">
                  <w:pPr>
                    <w:snapToGrid/>
                    <w:spacing w:line="240" w:lineRule="auto"/>
                    <w:ind w:firstLine="0" w:firstLineChars="0"/>
                    <w:jc w:val="center"/>
                    <w:rPr>
                      <w:rFonts w:cs="Times New Roman"/>
                      <w:color w:val="auto"/>
                      <w:sz w:val="21"/>
                      <w:highlight w:val="none"/>
                      <w:lang w:eastAsia="zh-CN"/>
                    </w:rPr>
                  </w:pPr>
                  <w:r>
                    <w:rPr>
                      <w:rFonts w:cs="Times New Roman"/>
                      <w:color w:val="auto"/>
                      <w:sz w:val="21"/>
                      <w:highlight w:val="none"/>
                      <w:lang w:eastAsia="zh-CN"/>
                    </w:rPr>
                    <w:t>若干，每辆运输车在运输时均配备遮盖篷布</w:t>
                  </w:r>
                </w:p>
              </w:tc>
              <w:tc>
                <w:tcPr>
                  <w:tcW w:w="643" w:type="dxa"/>
                  <w:vAlign w:val="center"/>
                </w:tcPr>
                <w:p w14:paraId="3B52C76A">
                  <w:pPr>
                    <w:snapToGrid/>
                    <w:spacing w:line="240" w:lineRule="auto"/>
                    <w:ind w:firstLine="0" w:firstLineChars="0"/>
                    <w:jc w:val="center"/>
                    <w:rPr>
                      <w:rFonts w:cs="Times New Roman"/>
                      <w:color w:val="auto"/>
                      <w:sz w:val="21"/>
                      <w:highlight w:val="none"/>
                    </w:rPr>
                  </w:pPr>
                  <w:r>
                    <w:rPr>
                      <w:rFonts w:cs="Times New Roman"/>
                      <w:color w:val="auto"/>
                      <w:sz w:val="21"/>
                      <w:highlight w:val="none"/>
                    </w:rPr>
                    <w:t>5</w:t>
                  </w:r>
                </w:p>
              </w:tc>
              <w:tc>
                <w:tcPr>
                  <w:tcW w:w="1302" w:type="dxa"/>
                  <w:vAlign w:val="center"/>
                </w:tcPr>
                <w:p w14:paraId="7D1AA863">
                  <w:pPr>
                    <w:snapToGrid/>
                    <w:spacing w:line="240" w:lineRule="auto"/>
                    <w:ind w:firstLine="0" w:firstLineChars="0"/>
                    <w:jc w:val="center"/>
                    <w:rPr>
                      <w:rFonts w:cs="Times New Roman"/>
                      <w:color w:val="auto"/>
                      <w:sz w:val="21"/>
                      <w:highlight w:val="none"/>
                    </w:rPr>
                  </w:pPr>
                  <w:r>
                    <w:rPr>
                      <w:rFonts w:cs="Times New Roman"/>
                      <w:color w:val="auto"/>
                      <w:sz w:val="21"/>
                      <w:highlight w:val="none"/>
                    </w:rPr>
                    <w:t>运输物料扬尘处理</w:t>
                  </w:r>
                </w:p>
              </w:tc>
            </w:tr>
            <w:tr w14:paraId="78CB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9" w:hRule="atLeast"/>
                <w:jc w:val="center"/>
              </w:trPr>
              <w:tc>
                <w:tcPr>
                  <w:tcW w:w="491" w:type="dxa"/>
                  <w:vMerge w:val="continue"/>
                  <w:vAlign w:val="center"/>
                </w:tcPr>
                <w:p w14:paraId="7FDF1824">
                  <w:pPr>
                    <w:snapToGrid/>
                    <w:spacing w:line="240" w:lineRule="auto"/>
                    <w:ind w:firstLine="0" w:firstLineChars="0"/>
                    <w:jc w:val="center"/>
                    <w:rPr>
                      <w:rFonts w:cs="Times New Roman"/>
                      <w:color w:val="auto"/>
                      <w:sz w:val="21"/>
                      <w:highlight w:val="none"/>
                    </w:rPr>
                  </w:pPr>
                </w:p>
              </w:tc>
              <w:tc>
                <w:tcPr>
                  <w:tcW w:w="1900" w:type="dxa"/>
                  <w:vAlign w:val="center"/>
                </w:tcPr>
                <w:p w14:paraId="0F4BE85C">
                  <w:pPr>
                    <w:snapToGrid/>
                    <w:spacing w:line="240" w:lineRule="auto"/>
                    <w:ind w:firstLine="0" w:firstLineChars="0"/>
                    <w:jc w:val="center"/>
                    <w:rPr>
                      <w:rFonts w:cs="Times New Roman"/>
                      <w:color w:val="auto"/>
                      <w:sz w:val="21"/>
                      <w:highlight w:val="none"/>
                    </w:rPr>
                  </w:pPr>
                  <w:r>
                    <w:rPr>
                      <w:rFonts w:hint="eastAsia" w:cs="Times New Roman"/>
                      <w:color w:val="auto"/>
                      <w:sz w:val="21"/>
                      <w:highlight w:val="none"/>
                    </w:rPr>
                    <w:t>油烟净化器</w:t>
                  </w:r>
                </w:p>
              </w:tc>
              <w:tc>
                <w:tcPr>
                  <w:tcW w:w="3582" w:type="dxa"/>
                  <w:vAlign w:val="center"/>
                </w:tcPr>
                <w:p w14:paraId="44FAA80B">
                  <w:pPr>
                    <w:snapToGrid/>
                    <w:spacing w:line="240" w:lineRule="auto"/>
                    <w:ind w:firstLine="0" w:firstLineChars="0"/>
                    <w:jc w:val="center"/>
                    <w:rPr>
                      <w:rFonts w:cs="Times New Roman"/>
                      <w:color w:val="auto"/>
                      <w:sz w:val="21"/>
                      <w:highlight w:val="none"/>
                      <w:lang w:eastAsia="zh-CN"/>
                    </w:rPr>
                  </w:pPr>
                  <w:r>
                    <w:rPr>
                      <w:rFonts w:hint="eastAsia" w:cs="Times New Roman"/>
                      <w:color w:val="auto"/>
                      <w:sz w:val="21"/>
                      <w:highlight w:val="none"/>
                      <w:lang w:eastAsia="zh-CN"/>
                    </w:rPr>
                    <w:t>1</w:t>
                  </w:r>
                  <w:r>
                    <w:rPr>
                      <w:rFonts w:cs="Times New Roman"/>
                      <w:color w:val="auto"/>
                      <w:sz w:val="21"/>
                      <w:highlight w:val="none"/>
                      <w:lang w:eastAsia="zh-CN"/>
                    </w:rPr>
                    <w:t>台，风量2000m</w:t>
                  </w:r>
                  <w:r>
                    <w:rPr>
                      <w:rFonts w:cs="Times New Roman"/>
                      <w:color w:val="auto"/>
                      <w:sz w:val="21"/>
                      <w:highlight w:val="none"/>
                      <w:vertAlign w:val="superscript"/>
                      <w:lang w:eastAsia="zh-CN"/>
                    </w:rPr>
                    <w:t>3</w:t>
                  </w:r>
                  <w:r>
                    <w:rPr>
                      <w:rFonts w:cs="Times New Roman"/>
                      <w:color w:val="auto"/>
                      <w:sz w:val="21"/>
                      <w:highlight w:val="none"/>
                      <w:lang w:eastAsia="zh-CN"/>
                    </w:rPr>
                    <w:t>/h，油烟净化效率不低于</w:t>
                  </w:r>
                  <w:r>
                    <w:rPr>
                      <w:rFonts w:hint="eastAsia" w:cs="Times New Roman"/>
                      <w:color w:val="auto"/>
                      <w:sz w:val="21"/>
                      <w:highlight w:val="none"/>
                      <w:lang w:val="en-US" w:eastAsia="zh-CN"/>
                    </w:rPr>
                    <w:t>60</w:t>
                  </w:r>
                  <w:r>
                    <w:rPr>
                      <w:rFonts w:cs="Times New Roman"/>
                      <w:color w:val="auto"/>
                      <w:sz w:val="21"/>
                      <w:highlight w:val="none"/>
                      <w:lang w:eastAsia="zh-CN"/>
                    </w:rPr>
                    <w:t>%</w:t>
                  </w:r>
                  <w:r>
                    <w:rPr>
                      <w:rFonts w:hint="eastAsia" w:cs="Times New Roman"/>
                      <w:color w:val="auto"/>
                      <w:sz w:val="21"/>
                      <w:highlight w:val="none"/>
                      <w:lang w:eastAsia="zh-CN"/>
                    </w:rPr>
                    <w:t>。</w:t>
                  </w:r>
                </w:p>
              </w:tc>
              <w:tc>
                <w:tcPr>
                  <w:tcW w:w="643" w:type="dxa"/>
                  <w:vAlign w:val="center"/>
                </w:tcPr>
                <w:p w14:paraId="13050EC2">
                  <w:pPr>
                    <w:snapToGrid/>
                    <w:spacing w:line="240" w:lineRule="auto"/>
                    <w:ind w:firstLine="0" w:firstLineChars="0"/>
                    <w:jc w:val="center"/>
                    <w:rPr>
                      <w:rFonts w:hint="default" w:cs="Times New Roman"/>
                      <w:color w:val="auto"/>
                      <w:sz w:val="21"/>
                      <w:highlight w:val="none"/>
                      <w:lang w:val="en-US" w:eastAsia="zh-CN"/>
                    </w:rPr>
                  </w:pPr>
                  <w:r>
                    <w:rPr>
                      <w:rFonts w:hint="eastAsia" w:cs="Times New Roman"/>
                      <w:color w:val="auto"/>
                      <w:sz w:val="21"/>
                      <w:highlight w:val="none"/>
                      <w:lang w:val="en-US" w:eastAsia="zh-CN"/>
                    </w:rPr>
                    <w:t>1</w:t>
                  </w:r>
                </w:p>
              </w:tc>
              <w:tc>
                <w:tcPr>
                  <w:tcW w:w="1302" w:type="dxa"/>
                  <w:vAlign w:val="center"/>
                </w:tcPr>
                <w:p w14:paraId="5CF321A9">
                  <w:pPr>
                    <w:snapToGrid/>
                    <w:spacing w:line="240" w:lineRule="auto"/>
                    <w:ind w:firstLine="0" w:firstLineChars="0"/>
                    <w:jc w:val="center"/>
                    <w:rPr>
                      <w:rFonts w:cs="Times New Roman"/>
                      <w:color w:val="auto"/>
                      <w:sz w:val="21"/>
                      <w:highlight w:val="none"/>
                      <w:lang w:eastAsia="zh-CN"/>
                    </w:rPr>
                  </w:pPr>
                  <w:r>
                    <w:rPr>
                      <w:rFonts w:hint="eastAsia" w:cs="Times New Roman"/>
                      <w:color w:val="auto"/>
                      <w:sz w:val="21"/>
                      <w:highlight w:val="none"/>
                      <w:lang w:eastAsia="zh-CN"/>
                    </w:rPr>
                    <w:t>食堂油烟</w:t>
                  </w:r>
                </w:p>
              </w:tc>
            </w:tr>
            <w:tr w14:paraId="721A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491" w:type="dxa"/>
                  <w:vMerge w:val="restart"/>
                  <w:vAlign w:val="center"/>
                </w:tcPr>
                <w:p w14:paraId="2606764E">
                  <w:pPr>
                    <w:snapToGrid/>
                    <w:spacing w:line="240" w:lineRule="auto"/>
                    <w:ind w:firstLine="0" w:firstLineChars="0"/>
                    <w:jc w:val="center"/>
                    <w:rPr>
                      <w:rFonts w:cs="Times New Roman"/>
                      <w:color w:val="auto"/>
                      <w:sz w:val="21"/>
                      <w:highlight w:val="none"/>
                    </w:rPr>
                  </w:pPr>
                  <w:r>
                    <w:rPr>
                      <w:rFonts w:cs="Times New Roman"/>
                      <w:color w:val="auto"/>
                      <w:sz w:val="21"/>
                      <w:highlight w:val="none"/>
                    </w:rPr>
                    <w:t>废水</w:t>
                  </w:r>
                </w:p>
              </w:tc>
              <w:tc>
                <w:tcPr>
                  <w:tcW w:w="1900" w:type="dxa"/>
                  <w:vAlign w:val="center"/>
                </w:tcPr>
                <w:p w14:paraId="20B60D72">
                  <w:pPr>
                    <w:snapToGrid/>
                    <w:spacing w:line="240" w:lineRule="auto"/>
                    <w:ind w:firstLine="0" w:firstLineChars="0"/>
                    <w:jc w:val="center"/>
                    <w:rPr>
                      <w:rFonts w:cs="Times New Roman"/>
                      <w:color w:val="auto"/>
                      <w:sz w:val="21"/>
                      <w:highlight w:val="none"/>
                    </w:rPr>
                  </w:pPr>
                  <w:r>
                    <w:rPr>
                      <w:rFonts w:hint="eastAsia" w:cs="Times New Roman"/>
                      <w:color w:val="auto"/>
                      <w:sz w:val="21"/>
                      <w:highlight w:val="none"/>
                      <w:lang w:eastAsia="zh-CN"/>
                    </w:rPr>
                    <w:t>办公生活区</w:t>
                  </w:r>
                  <w:r>
                    <w:rPr>
                      <w:rFonts w:cs="Times New Roman"/>
                      <w:color w:val="auto"/>
                      <w:sz w:val="21"/>
                      <w:highlight w:val="none"/>
                    </w:rPr>
                    <w:t>化粪池</w:t>
                  </w:r>
                </w:p>
              </w:tc>
              <w:tc>
                <w:tcPr>
                  <w:tcW w:w="3582" w:type="dxa"/>
                  <w:vAlign w:val="center"/>
                </w:tcPr>
                <w:p w14:paraId="5926D59F">
                  <w:pPr>
                    <w:snapToGrid/>
                    <w:spacing w:line="240" w:lineRule="auto"/>
                    <w:ind w:firstLine="0" w:firstLineChars="0"/>
                    <w:jc w:val="center"/>
                    <w:rPr>
                      <w:rFonts w:cs="Times New Roman"/>
                      <w:color w:val="auto"/>
                      <w:sz w:val="21"/>
                      <w:highlight w:val="none"/>
                    </w:rPr>
                  </w:pPr>
                  <w:r>
                    <w:rPr>
                      <w:rFonts w:cs="Times New Roman"/>
                      <w:color w:val="auto"/>
                      <w:sz w:val="21"/>
                      <w:highlight w:val="none"/>
                    </w:rPr>
                    <w:t>1 个，容积为</w:t>
                  </w:r>
                  <w:r>
                    <w:rPr>
                      <w:rFonts w:hint="eastAsia" w:cs="Times New Roman"/>
                      <w:color w:val="auto"/>
                      <w:sz w:val="21"/>
                      <w:highlight w:val="none"/>
                      <w:lang w:val="en-US" w:eastAsia="zh-CN"/>
                    </w:rPr>
                    <w:t>5</w:t>
                  </w:r>
                  <w:r>
                    <w:rPr>
                      <w:rFonts w:hint="eastAsia" w:cs="Times New Roman"/>
                      <w:color w:val="auto"/>
                      <w:sz w:val="21"/>
                      <w:highlight w:val="none"/>
                      <w:lang w:eastAsia="zh-CN"/>
                    </w:rPr>
                    <w:t>m</w:t>
                  </w:r>
                  <w:r>
                    <w:rPr>
                      <w:rFonts w:hint="eastAsia" w:cs="Times New Roman"/>
                      <w:color w:val="auto"/>
                      <w:sz w:val="21"/>
                      <w:highlight w:val="none"/>
                      <w:vertAlign w:val="superscript"/>
                      <w:lang w:eastAsia="zh-CN"/>
                    </w:rPr>
                    <w:t>3</w:t>
                  </w:r>
                </w:p>
              </w:tc>
              <w:tc>
                <w:tcPr>
                  <w:tcW w:w="643" w:type="dxa"/>
                  <w:vAlign w:val="center"/>
                </w:tcPr>
                <w:p w14:paraId="19DE3B14">
                  <w:pPr>
                    <w:snapToGrid/>
                    <w:spacing w:line="240" w:lineRule="auto"/>
                    <w:ind w:firstLine="0" w:firstLineChars="0"/>
                    <w:jc w:val="center"/>
                    <w:rPr>
                      <w:rFonts w:cs="Times New Roman"/>
                      <w:color w:val="auto"/>
                      <w:sz w:val="21"/>
                      <w:highlight w:val="none"/>
                    </w:rPr>
                  </w:pPr>
                  <w:r>
                    <w:rPr>
                      <w:rFonts w:cs="Times New Roman"/>
                      <w:color w:val="auto"/>
                      <w:sz w:val="21"/>
                      <w:highlight w:val="none"/>
                    </w:rPr>
                    <w:t>2</w:t>
                  </w:r>
                </w:p>
              </w:tc>
              <w:tc>
                <w:tcPr>
                  <w:tcW w:w="1302" w:type="dxa"/>
                  <w:vAlign w:val="center"/>
                </w:tcPr>
                <w:p w14:paraId="45ECC8EF">
                  <w:pPr>
                    <w:snapToGrid/>
                    <w:spacing w:line="240" w:lineRule="auto"/>
                    <w:ind w:firstLine="0" w:firstLineChars="0"/>
                    <w:jc w:val="center"/>
                    <w:rPr>
                      <w:rFonts w:cs="Times New Roman"/>
                      <w:color w:val="auto"/>
                      <w:sz w:val="21"/>
                      <w:highlight w:val="none"/>
                    </w:rPr>
                  </w:pPr>
                  <w:r>
                    <w:rPr>
                      <w:rFonts w:cs="Times New Roman"/>
                      <w:color w:val="auto"/>
                      <w:sz w:val="21"/>
                      <w:highlight w:val="none"/>
                    </w:rPr>
                    <w:t>生活污水</w:t>
                  </w:r>
                </w:p>
              </w:tc>
            </w:tr>
            <w:tr w14:paraId="471F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491" w:type="dxa"/>
                  <w:vMerge w:val="continue"/>
                  <w:vAlign w:val="center"/>
                </w:tcPr>
                <w:p w14:paraId="6378995D">
                  <w:pPr>
                    <w:snapToGrid/>
                    <w:spacing w:line="240" w:lineRule="auto"/>
                    <w:ind w:firstLine="0" w:firstLineChars="0"/>
                    <w:jc w:val="center"/>
                    <w:rPr>
                      <w:rFonts w:cs="Times New Roman"/>
                      <w:color w:val="auto"/>
                      <w:sz w:val="21"/>
                      <w:highlight w:val="none"/>
                    </w:rPr>
                  </w:pPr>
                </w:p>
              </w:tc>
              <w:tc>
                <w:tcPr>
                  <w:tcW w:w="1900" w:type="dxa"/>
                  <w:vAlign w:val="center"/>
                </w:tcPr>
                <w:p w14:paraId="0CA193E4">
                  <w:pPr>
                    <w:snapToGrid/>
                    <w:spacing w:line="240" w:lineRule="auto"/>
                    <w:ind w:firstLine="0" w:firstLineChars="0"/>
                    <w:jc w:val="center"/>
                    <w:rPr>
                      <w:rFonts w:cs="Times New Roman"/>
                      <w:color w:val="auto"/>
                      <w:sz w:val="21"/>
                      <w:highlight w:val="none"/>
                    </w:rPr>
                  </w:pPr>
                  <w:r>
                    <w:rPr>
                      <w:rFonts w:cs="Times New Roman"/>
                      <w:color w:val="auto"/>
                      <w:sz w:val="21"/>
                      <w:highlight w:val="none"/>
                    </w:rPr>
                    <w:t>食堂隔油池</w:t>
                  </w:r>
                </w:p>
              </w:tc>
              <w:tc>
                <w:tcPr>
                  <w:tcW w:w="3582" w:type="dxa"/>
                  <w:vAlign w:val="center"/>
                </w:tcPr>
                <w:p w14:paraId="229460E7">
                  <w:pPr>
                    <w:snapToGrid/>
                    <w:spacing w:line="240" w:lineRule="auto"/>
                    <w:ind w:firstLine="0" w:firstLineChars="0"/>
                    <w:jc w:val="center"/>
                    <w:rPr>
                      <w:rFonts w:cs="Times New Roman"/>
                      <w:color w:val="auto"/>
                      <w:sz w:val="21"/>
                      <w:highlight w:val="none"/>
                    </w:rPr>
                  </w:pPr>
                  <w:r>
                    <w:rPr>
                      <w:rFonts w:cs="Times New Roman"/>
                      <w:color w:val="auto"/>
                      <w:sz w:val="21"/>
                      <w:highlight w:val="none"/>
                    </w:rPr>
                    <w:t>1 个，容积为</w:t>
                  </w:r>
                  <w:r>
                    <w:rPr>
                      <w:rFonts w:hint="eastAsia" w:cs="Times New Roman"/>
                      <w:color w:val="auto"/>
                      <w:sz w:val="21"/>
                      <w:highlight w:val="none"/>
                      <w:lang w:val="en-US" w:eastAsia="zh-CN"/>
                    </w:rPr>
                    <w:t>0.5</w:t>
                  </w:r>
                  <w:r>
                    <w:rPr>
                      <w:rFonts w:hint="eastAsia" w:cs="Times New Roman"/>
                      <w:color w:val="auto"/>
                      <w:sz w:val="21"/>
                      <w:highlight w:val="none"/>
                      <w:lang w:eastAsia="zh-CN"/>
                    </w:rPr>
                    <w:t>m</w:t>
                  </w:r>
                  <w:r>
                    <w:rPr>
                      <w:rFonts w:hint="eastAsia" w:cs="Times New Roman"/>
                      <w:color w:val="auto"/>
                      <w:sz w:val="21"/>
                      <w:highlight w:val="none"/>
                      <w:vertAlign w:val="superscript"/>
                      <w:lang w:eastAsia="zh-CN"/>
                    </w:rPr>
                    <w:t>3</w:t>
                  </w:r>
                </w:p>
              </w:tc>
              <w:tc>
                <w:tcPr>
                  <w:tcW w:w="643" w:type="dxa"/>
                  <w:vAlign w:val="center"/>
                </w:tcPr>
                <w:p w14:paraId="0B4F41E4">
                  <w:pPr>
                    <w:snapToGrid/>
                    <w:spacing w:line="240" w:lineRule="auto"/>
                    <w:ind w:firstLine="0" w:firstLineChars="0"/>
                    <w:jc w:val="center"/>
                    <w:rPr>
                      <w:rFonts w:hint="eastAsia" w:eastAsia="宋体" w:cs="Times New Roman"/>
                      <w:color w:val="auto"/>
                      <w:sz w:val="21"/>
                      <w:highlight w:val="none"/>
                      <w:lang w:eastAsia="zh-CN"/>
                    </w:rPr>
                  </w:pPr>
                  <w:r>
                    <w:rPr>
                      <w:rFonts w:cs="Times New Roman"/>
                      <w:color w:val="auto"/>
                      <w:sz w:val="21"/>
                      <w:highlight w:val="none"/>
                    </w:rPr>
                    <w:t>0.</w:t>
                  </w:r>
                  <w:r>
                    <w:rPr>
                      <w:rFonts w:hint="eastAsia" w:cs="Times New Roman"/>
                      <w:color w:val="auto"/>
                      <w:sz w:val="21"/>
                      <w:highlight w:val="none"/>
                      <w:lang w:val="en-US" w:eastAsia="zh-CN"/>
                    </w:rPr>
                    <w:t>2</w:t>
                  </w:r>
                </w:p>
              </w:tc>
              <w:tc>
                <w:tcPr>
                  <w:tcW w:w="1302" w:type="dxa"/>
                  <w:vAlign w:val="center"/>
                </w:tcPr>
                <w:p w14:paraId="1D860E1F">
                  <w:pPr>
                    <w:snapToGrid/>
                    <w:spacing w:line="240" w:lineRule="auto"/>
                    <w:ind w:firstLine="0" w:firstLineChars="0"/>
                    <w:jc w:val="center"/>
                    <w:rPr>
                      <w:rFonts w:cs="Times New Roman"/>
                      <w:color w:val="auto"/>
                      <w:sz w:val="21"/>
                      <w:highlight w:val="none"/>
                    </w:rPr>
                  </w:pPr>
                  <w:r>
                    <w:rPr>
                      <w:rFonts w:cs="Times New Roman"/>
                      <w:color w:val="auto"/>
                      <w:sz w:val="21"/>
                      <w:highlight w:val="none"/>
                    </w:rPr>
                    <w:t>食堂废水</w:t>
                  </w:r>
                </w:p>
              </w:tc>
            </w:tr>
            <w:tr w14:paraId="1039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491" w:type="dxa"/>
                  <w:vMerge w:val="continue"/>
                  <w:vAlign w:val="center"/>
                </w:tcPr>
                <w:p w14:paraId="13493D92">
                  <w:pPr>
                    <w:snapToGrid/>
                    <w:spacing w:line="240" w:lineRule="auto"/>
                    <w:ind w:firstLine="0" w:firstLineChars="0"/>
                    <w:jc w:val="center"/>
                    <w:rPr>
                      <w:rFonts w:cs="Times New Roman"/>
                      <w:color w:val="auto"/>
                      <w:sz w:val="21"/>
                      <w:highlight w:val="none"/>
                    </w:rPr>
                  </w:pPr>
                </w:p>
              </w:tc>
              <w:tc>
                <w:tcPr>
                  <w:tcW w:w="1900" w:type="dxa"/>
                  <w:vAlign w:val="center"/>
                </w:tcPr>
                <w:p w14:paraId="6D5C6793">
                  <w:pPr>
                    <w:snapToGrid/>
                    <w:spacing w:line="240" w:lineRule="auto"/>
                    <w:ind w:firstLine="0" w:firstLineChars="0"/>
                    <w:jc w:val="center"/>
                    <w:rPr>
                      <w:rFonts w:hint="default" w:eastAsia="宋体" w:cs="Times New Roman"/>
                      <w:color w:val="auto"/>
                      <w:sz w:val="21"/>
                      <w:highlight w:val="none"/>
                      <w:lang w:val="en-US" w:eastAsia="zh-CN"/>
                    </w:rPr>
                  </w:pPr>
                  <w:r>
                    <w:rPr>
                      <w:rFonts w:hint="eastAsia" w:cs="Times New Roman"/>
                      <w:color w:val="auto"/>
                      <w:sz w:val="21"/>
                      <w:highlight w:val="none"/>
                      <w:lang w:val="en-US" w:eastAsia="zh-CN"/>
                    </w:rPr>
                    <w:t>车辆清洗池</w:t>
                  </w:r>
                </w:p>
              </w:tc>
              <w:tc>
                <w:tcPr>
                  <w:tcW w:w="3582" w:type="dxa"/>
                  <w:vAlign w:val="center"/>
                </w:tcPr>
                <w:p w14:paraId="2FD53B83">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1个，</w:t>
                  </w:r>
                  <w:r>
                    <w:rPr>
                      <w:rFonts w:cs="Times New Roman"/>
                      <w:color w:val="auto"/>
                      <w:sz w:val="21"/>
                      <w:highlight w:val="none"/>
                    </w:rPr>
                    <w:t>容积为</w:t>
                  </w:r>
                  <w:r>
                    <w:rPr>
                      <w:rFonts w:hint="eastAsia" w:cs="Times New Roman"/>
                      <w:color w:val="auto"/>
                      <w:sz w:val="21"/>
                      <w:highlight w:val="none"/>
                      <w:lang w:val="en-US" w:eastAsia="zh-CN"/>
                    </w:rPr>
                    <w:t>5</w:t>
                  </w:r>
                  <w:r>
                    <w:rPr>
                      <w:rFonts w:hint="eastAsia" w:cs="Times New Roman"/>
                      <w:color w:val="auto"/>
                      <w:sz w:val="21"/>
                      <w:highlight w:val="none"/>
                      <w:lang w:eastAsia="zh-CN"/>
                    </w:rPr>
                    <w:t>m</w:t>
                  </w:r>
                  <w:r>
                    <w:rPr>
                      <w:rFonts w:hint="eastAsia" w:cs="Times New Roman"/>
                      <w:color w:val="auto"/>
                      <w:sz w:val="21"/>
                      <w:highlight w:val="none"/>
                      <w:vertAlign w:val="superscript"/>
                      <w:lang w:eastAsia="zh-CN"/>
                    </w:rPr>
                    <w:t>3</w:t>
                  </w:r>
                </w:p>
              </w:tc>
              <w:tc>
                <w:tcPr>
                  <w:tcW w:w="643" w:type="dxa"/>
                  <w:vAlign w:val="center"/>
                </w:tcPr>
                <w:p w14:paraId="52397CE3">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1</w:t>
                  </w:r>
                </w:p>
              </w:tc>
              <w:tc>
                <w:tcPr>
                  <w:tcW w:w="1302" w:type="dxa"/>
                  <w:vAlign w:val="center"/>
                </w:tcPr>
                <w:p w14:paraId="6B2573B3">
                  <w:pPr>
                    <w:snapToGrid/>
                    <w:spacing w:line="240" w:lineRule="auto"/>
                    <w:ind w:firstLine="0" w:firstLineChars="0"/>
                    <w:jc w:val="center"/>
                    <w:rPr>
                      <w:rFonts w:hint="default" w:eastAsia="宋体" w:cs="Times New Roman"/>
                      <w:color w:val="auto"/>
                      <w:sz w:val="21"/>
                      <w:highlight w:val="none"/>
                      <w:lang w:val="en-US" w:eastAsia="zh-CN"/>
                    </w:rPr>
                  </w:pPr>
                  <w:r>
                    <w:rPr>
                      <w:rFonts w:hint="eastAsia" w:cs="Times New Roman"/>
                      <w:color w:val="auto"/>
                      <w:sz w:val="21"/>
                      <w:highlight w:val="none"/>
                      <w:lang w:val="en-US" w:eastAsia="zh-CN"/>
                    </w:rPr>
                    <w:t>车辆清洗废水</w:t>
                  </w:r>
                </w:p>
              </w:tc>
            </w:tr>
            <w:tr w14:paraId="3A12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91" w:type="dxa"/>
                  <w:vMerge w:val="continue"/>
                  <w:vAlign w:val="center"/>
                </w:tcPr>
                <w:p w14:paraId="5C4D860B">
                  <w:pPr>
                    <w:snapToGrid/>
                    <w:spacing w:line="240" w:lineRule="auto"/>
                    <w:ind w:firstLine="0" w:firstLineChars="0"/>
                    <w:jc w:val="center"/>
                    <w:rPr>
                      <w:rFonts w:cs="Times New Roman"/>
                      <w:color w:val="auto"/>
                      <w:sz w:val="21"/>
                      <w:highlight w:val="none"/>
                    </w:rPr>
                  </w:pPr>
                </w:p>
              </w:tc>
              <w:tc>
                <w:tcPr>
                  <w:tcW w:w="1900" w:type="dxa"/>
                  <w:vAlign w:val="center"/>
                </w:tcPr>
                <w:p w14:paraId="2892A7F7">
                  <w:pPr>
                    <w:snapToGrid/>
                    <w:spacing w:line="240" w:lineRule="auto"/>
                    <w:ind w:firstLine="0" w:firstLineChars="0"/>
                    <w:jc w:val="center"/>
                    <w:rPr>
                      <w:rFonts w:hint="eastAsia" w:eastAsia="宋体" w:cs="Times New Roman"/>
                      <w:color w:val="auto"/>
                      <w:sz w:val="21"/>
                      <w:highlight w:val="none"/>
                      <w:lang w:eastAsia="zh-CN"/>
                    </w:rPr>
                  </w:pPr>
                  <w:r>
                    <w:rPr>
                      <w:rFonts w:hint="eastAsia" w:cs="Times New Roman"/>
                      <w:color w:val="auto"/>
                      <w:sz w:val="21"/>
                      <w:highlight w:val="none"/>
                      <w:lang w:eastAsia="zh-CN"/>
                    </w:rPr>
                    <w:t>沉砂池</w:t>
                  </w:r>
                </w:p>
              </w:tc>
              <w:tc>
                <w:tcPr>
                  <w:tcW w:w="3582" w:type="dxa"/>
                  <w:vAlign w:val="center"/>
                </w:tcPr>
                <w:p w14:paraId="4620EECC">
                  <w:pPr>
                    <w:snapToGrid/>
                    <w:spacing w:line="240" w:lineRule="auto"/>
                    <w:ind w:firstLine="0" w:firstLineChars="0"/>
                    <w:jc w:val="center"/>
                    <w:rPr>
                      <w:rFonts w:cs="Times New Roman"/>
                      <w:color w:val="auto"/>
                      <w:sz w:val="21"/>
                      <w:highlight w:val="none"/>
                      <w:lang w:eastAsia="zh-CN"/>
                    </w:rPr>
                  </w:pPr>
                  <w:r>
                    <w:rPr>
                      <w:rFonts w:hint="default" w:ascii="Times New Roman" w:hAnsi="Times New Roman" w:eastAsia="宋体" w:cs="Times New Roman"/>
                      <w:snapToGrid/>
                      <w:color w:val="auto"/>
                      <w:sz w:val="21"/>
                      <w:highlight w:val="none"/>
                      <w:lang w:eastAsia="zh-CN"/>
                    </w:rPr>
                    <w:t>项目运行期间在露天</w:t>
                  </w:r>
                  <w:r>
                    <w:rPr>
                      <w:rFonts w:hint="eastAsia" w:cs="Times New Roman"/>
                      <w:snapToGrid/>
                      <w:color w:val="auto"/>
                      <w:sz w:val="21"/>
                      <w:highlight w:val="none"/>
                      <w:lang w:val="en-US" w:eastAsia="zh-CN"/>
                    </w:rPr>
                    <w:t>开</w:t>
                  </w:r>
                  <w:r>
                    <w:rPr>
                      <w:rFonts w:hint="default" w:ascii="Times New Roman" w:hAnsi="Times New Roman" w:eastAsia="宋体" w:cs="Times New Roman"/>
                      <w:snapToGrid/>
                      <w:color w:val="auto"/>
                      <w:sz w:val="21"/>
                      <w:highlight w:val="none"/>
                      <w:lang w:eastAsia="zh-CN"/>
                    </w:rPr>
                    <w:t>采区低处设置 1 个</w:t>
                  </w:r>
                  <w:r>
                    <w:rPr>
                      <w:rFonts w:hint="eastAsia" w:cs="Times New Roman"/>
                      <w:snapToGrid/>
                      <w:color w:val="auto"/>
                      <w:sz w:val="21"/>
                      <w:highlight w:val="none"/>
                      <w:lang w:eastAsia="zh-CN"/>
                    </w:rPr>
                    <w:t>沉砂池</w:t>
                  </w:r>
                  <w:r>
                    <w:rPr>
                      <w:rFonts w:hint="default" w:ascii="Times New Roman" w:hAnsi="Times New Roman" w:eastAsia="宋体" w:cs="Times New Roman"/>
                      <w:snapToGrid/>
                      <w:color w:val="auto"/>
                      <w:sz w:val="21"/>
                      <w:highlight w:val="none"/>
                      <w:lang w:eastAsia="zh-CN"/>
                    </w:rPr>
                    <w:t>，容积为</w:t>
                  </w:r>
                  <w:r>
                    <w:rPr>
                      <w:rFonts w:hint="eastAsia" w:cs="Times New Roman"/>
                      <w:snapToGrid/>
                      <w:color w:val="auto"/>
                      <w:sz w:val="21"/>
                      <w:highlight w:val="none"/>
                      <w:lang w:val="en-US" w:eastAsia="zh-CN"/>
                    </w:rPr>
                    <w:t>205m</w:t>
                  </w:r>
                  <w:r>
                    <w:rPr>
                      <w:rFonts w:hint="eastAsia" w:cs="Times New Roman"/>
                      <w:snapToGrid/>
                      <w:color w:val="auto"/>
                      <w:sz w:val="21"/>
                      <w:highlight w:val="none"/>
                      <w:vertAlign w:val="superscript"/>
                      <w:lang w:val="en-US" w:eastAsia="zh-CN"/>
                    </w:rPr>
                    <w:t>3</w:t>
                  </w:r>
                  <w:r>
                    <w:rPr>
                      <w:rFonts w:hint="default" w:ascii="Times New Roman" w:hAnsi="Times New Roman" w:eastAsia="宋体" w:cs="Times New Roman"/>
                      <w:snapToGrid/>
                      <w:color w:val="auto"/>
                      <w:sz w:val="21"/>
                      <w:highlight w:val="none"/>
                      <w:lang w:eastAsia="zh-CN"/>
                    </w:rPr>
                    <w:t xml:space="preserve"> ，处理露天</w:t>
                  </w:r>
                  <w:r>
                    <w:rPr>
                      <w:rFonts w:hint="eastAsia" w:cs="Times New Roman"/>
                      <w:snapToGrid/>
                      <w:color w:val="auto"/>
                      <w:sz w:val="21"/>
                      <w:highlight w:val="none"/>
                      <w:lang w:val="en-US" w:eastAsia="zh-CN"/>
                    </w:rPr>
                    <w:t>开采区淋滤</w:t>
                  </w:r>
                  <w:r>
                    <w:rPr>
                      <w:rFonts w:hint="default" w:ascii="Times New Roman" w:hAnsi="Times New Roman" w:eastAsia="宋体" w:cs="Times New Roman"/>
                      <w:snapToGrid/>
                      <w:color w:val="auto"/>
                      <w:sz w:val="21"/>
                      <w:highlight w:val="none"/>
                      <w:lang w:eastAsia="zh-CN"/>
                    </w:rPr>
                    <w:t>水；</w:t>
                  </w:r>
                  <w:r>
                    <w:rPr>
                      <w:rFonts w:hint="eastAsia" w:cs="Times New Roman"/>
                      <w:snapToGrid/>
                      <w:color w:val="auto"/>
                      <w:sz w:val="21"/>
                      <w:highlight w:val="none"/>
                      <w:lang w:val="en-US" w:eastAsia="zh-CN"/>
                    </w:rPr>
                    <w:t>临时表土堆场低处设置1个容积为6m</w:t>
                  </w:r>
                  <w:r>
                    <w:rPr>
                      <w:rFonts w:hint="eastAsia" w:cs="Times New Roman"/>
                      <w:snapToGrid/>
                      <w:color w:val="auto"/>
                      <w:sz w:val="21"/>
                      <w:highlight w:val="none"/>
                      <w:vertAlign w:val="superscript"/>
                      <w:lang w:val="en-US" w:eastAsia="zh-CN"/>
                    </w:rPr>
                    <w:t>3</w:t>
                  </w:r>
                  <w:r>
                    <w:rPr>
                      <w:rFonts w:hint="eastAsia" w:cs="Times New Roman"/>
                      <w:snapToGrid/>
                      <w:color w:val="auto"/>
                      <w:sz w:val="21"/>
                      <w:highlight w:val="none"/>
                      <w:vertAlign w:val="baseline"/>
                      <w:lang w:val="en-US" w:eastAsia="zh-CN"/>
                    </w:rPr>
                    <w:t>的沉砂池，处理雨天产生淋滤水；</w:t>
                  </w:r>
                  <w:r>
                    <w:rPr>
                      <w:rFonts w:hint="eastAsia" w:cs="Times New Roman"/>
                      <w:snapToGrid/>
                      <w:color w:val="auto"/>
                      <w:sz w:val="21"/>
                      <w:highlight w:val="none"/>
                      <w:lang w:val="en-US" w:eastAsia="zh-CN"/>
                    </w:rPr>
                    <w:t>工业场地区南侧</w:t>
                  </w:r>
                  <w:r>
                    <w:rPr>
                      <w:rFonts w:hint="default" w:ascii="Times New Roman" w:hAnsi="Times New Roman" w:eastAsia="宋体" w:cs="Times New Roman"/>
                      <w:snapToGrid/>
                      <w:color w:val="auto"/>
                      <w:sz w:val="21"/>
                      <w:highlight w:val="none"/>
                      <w:lang w:val="en-US" w:eastAsia="zh-CN"/>
                    </w:rPr>
                    <w:t>设置</w:t>
                  </w:r>
                  <w:r>
                    <w:rPr>
                      <w:rFonts w:hint="eastAsia" w:cs="Times New Roman"/>
                      <w:snapToGrid/>
                      <w:color w:val="auto"/>
                      <w:sz w:val="21"/>
                      <w:highlight w:val="none"/>
                      <w:lang w:val="en-US" w:eastAsia="zh-CN"/>
                    </w:rPr>
                    <w:t>1</w:t>
                  </w:r>
                  <w:r>
                    <w:rPr>
                      <w:rFonts w:hint="default" w:ascii="Times New Roman" w:hAnsi="Times New Roman" w:eastAsia="宋体" w:cs="Times New Roman"/>
                      <w:snapToGrid/>
                      <w:color w:val="auto"/>
                      <w:sz w:val="21"/>
                      <w:highlight w:val="none"/>
                      <w:lang w:val="en-US" w:eastAsia="zh-CN"/>
                    </w:rPr>
                    <w:t>个</w:t>
                  </w:r>
                  <w:r>
                    <w:rPr>
                      <w:rFonts w:hint="eastAsia" w:cs="Times New Roman"/>
                      <w:snapToGrid/>
                      <w:color w:val="auto"/>
                      <w:sz w:val="21"/>
                      <w:highlight w:val="none"/>
                      <w:lang w:val="en-US" w:eastAsia="zh-CN"/>
                    </w:rPr>
                    <w:t>容积82</w:t>
                  </w:r>
                  <w:r>
                    <w:rPr>
                      <w:rFonts w:hint="default" w:ascii="Times New Roman" w:hAnsi="Times New Roman" w:eastAsia="宋体" w:cs="Times New Roman"/>
                      <w:snapToGrid/>
                      <w:color w:val="auto"/>
                      <w:sz w:val="21"/>
                      <w:highlight w:val="none"/>
                      <w:lang w:eastAsia="zh-CN"/>
                    </w:rPr>
                    <w:t>m</w:t>
                  </w:r>
                  <w:r>
                    <w:rPr>
                      <w:rFonts w:hint="default" w:ascii="Times New Roman" w:hAnsi="Times New Roman" w:eastAsia="宋体" w:cs="Times New Roman"/>
                      <w:snapToGrid/>
                      <w:color w:val="auto"/>
                      <w:sz w:val="21"/>
                      <w:highlight w:val="none"/>
                      <w:vertAlign w:val="superscript"/>
                      <w:lang w:eastAsia="zh-CN"/>
                    </w:rPr>
                    <w:t>3</w:t>
                  </w:r>
                  <w:r>
                    <w:rPr>
                      <w:rFonts w:hint="default" w:ascii="Times New Roman" w:hAnsi="Times New Roman" w:eastAsia="宋体" w:cs="Times New Roman"/>
                      <w:snapToGrid/>
                      <w:color w:val="auto"/>
                      <w:sz w:val="21"/>
                      <w:highlight w:val="none"/>
                      <w:lang w:eastAsia="zh-CN"/>
                    </w:rPr>
                    <w:t xml:space="preserve"> </w:t>
                  </w:r>
                  <w:r>
                    <w:rPr>
                      <w:rFonts w:hint="eastAsia" w:cs="Times New Roman"/>
                      <w:snapToGrid/>
                      <w:color w:val="auto"/>
                      <w:sz w:val="21"/>
                      <w:highlight w:val="none"/>
                      <w:lang w:val="en-US" w:eastAsia="zh-CN"/>
                    </w:rPr>
                    <w:t>沉砂池</w:t>
                  </w:r>
                  <w:r>
                    <w:rPr>
                      <w:rFonts w:hint="default" w:ascii="Times New Roman" w:hAnsi="Times New Roman" w:eastAsia="宋体" w:cs="Times New Roman"/>
                      <w:snapToGrid/>
                      <w:color w:val="auto"/>
                      <w:sz w:val="21"/>
                      <w:highlight w:val="none"/>
                      <w:lang w:val="en-US" w:eastAsia="zh-CN"/>
                    </w:rPr>
                    <w:t>，</w:t>
                  </w:r>
                  <w:r>
                    <w:rPr>
                      <w:rFonts w:hint="eastAsia" w:cs="Times New Roman"/>
                      <w:snapToGrid/>
                      <w:color w:val="auto"/>
                      <w:sz w:val="21"/>
                      <w:highlight w:val="none"/>
                      <w:lang w:val="en-US" w:eastAsia="zh-CN"/>
                    </w:rPr>
                    <w:t>收集工业场地区</w:t>
                  </w:r>
                  <w:r>
                    <w:rPr>
                      <w:rFonts w:hint="default" w:ascii="Times New Roman" w:hAnsi="Times New Roman" w:eastAsia="宋体" w:cs="Times New Roman"/>
                      <w:snapToGrid/>
                      <w:color w:val="auto"/>
                      <w:sz w:val="21"/>
                      <w:highlight w:val="none"/>
                      <w:lang w:val="en-US" w:eastAsia="zh-CN"/>
                    </w:rPr>
                    <w:t>初期雨水</w:t>
                  </w:r>
                  <w:r>
                    <w:rPr>
                      <w:rFonts w:hint="eastAsia" w:cs="Times New Roman"/>
                      <w:snapToGrid/>
                      <w:color w:val="auto"/>
                      <w:sz w:val="21"/>
                      <w:highlight w:val="none"/>
                      <w:lang w:val="en-US" w:eastAsia="zh-CN"/>
                    </w:rPr>
                    <w:t>；办公生活区南侧设置1个容积为53</w:t>
                  </w:r>
                  <w:r>
                    <w:rPr>
                      <w:rFonts w:hint="eastAsia" w:cs="Times New Roman"/>
                      <w:snapToGrid/>
                      <w:color w:val="auto"/>
                      <w:sz w:val="21"/>
                      <w:highlight w:val="none"/>
                      <w:vertAlign w:val="baseline"/>
                      <w:lang w:val="en-US" w:eastAsia="zh-CN"/>
                    </w:rPr>
                    <w:t>的沉砂池，收集雨天产生初期雨水</w:t>
                  </w:r>
                  <w:r>
                    <w:rPr>
                      <w:rFonts w:hint="default" w:ascii="Times New Roman" w:hAnsi="Times New Roman" w:eastAsia="宋体" w:cs="Times New Roman"/>
                      <w:snapToGrid/>
                      <w:color w:val="auto"/>
                      <w:sz w:val="21"/>
                      <w:highlight w:val="none"/>
                      <w:lang w:val="en-US" w:eastAsia="zh-CN"/>
                    </w:rPr>
                    <w:t>。</w:t>
                  </w:r>
                  <w:r>
                    <w:rPr>
                      <w:rFonts w:hint="eastAsia" w:cs="Times New Roman"/>
                      <w:snapToGrid/>
                      <w:color w:val="auto"/>
                      <w:sz w:val="21"/>
                      <w:highlight w:val="none"/>
                      <w:lang w:val="en-US" w:eastAsia="zh-CN"/>
                    </w:rPr>
                    <w:t>淋滤水、</w:t>
                  </w:r>
                  <w:r>
                    <w:rPr>
                      <w:rFonts w:hint="default" w:ascii="Times New Roman" w:hAnsi="Times New Roman" w:eastAsia="宋体" w:cs="Times New Roman"/>
                      <w:snapToGrid/>
                      <w:color w:val="auto"/>
                      <w:sz w:val="21"/>
                      <w:highlight w:val="none"/>
                      <w:lang w:eastAsia="zh-CN"/>
                    </w:rPr>
                    <w:t>初期雨水进行收集沉淀处理后回用于项目区洒水降尘，不外排。</w:t>
                  </w:r>
                </w:p>
              </w:tc>
              <w:tc>
                <w:tcPr>
                  <w:tcW w:w="643" w:type="dxa"/>
                  <w:vAlign w:val="center"/>
                </w:tcPr>
                <w:p w14:paraId="71A1029E">
                  <w:pPr>
                    <w:snapToGrid/>
                    <w:spacing w:line="240" w:lineRule="auto"/>
                    <w:ind w:firstLine="0" w:firstLineChars="0"/>
                    <w:jc w:val="center"/>
                    <w:rPr>
                      <w:rFonts w:hint="default" w:cs="Times New Roman"/>
                      <w:color w:val="auto"/>
                      <w:sz w:val="21"/>
                      <w:highlight w:val="none"/>
                      <w:lang w:val="en-US" w:eastAsia="zh-CN"/>
                    </w:rPr>
                  </w:pPr>
                  <w:r>
                    <w:rPr>
                      <w:rFonts w:hint="eastAsia" w:cs="Times New Roman"/>
                      <w:color w:val="auto"/>
                      <w:sz w:val="21"/>
                      <w:highlight w:val="none"/>
                      <w:lang w:val="en-US" w:eastAsia="zh-CN"/>
                    </w:rPr>
                    <w:t>20</w:t>
                  </w:r>
                </w:p>
              </w:tc>
              <w:tc>
                <w:tcPr>
                  <w:tcW w:w="1302" w:type="dxa"/>
                  <w:vAlign w:val="center"/>
                </w:tcPr>
                <w:p w14:paraId="647C69D7">
                  <w:pPr>
                    <w:snapToGrid/>
                    <w:spacing w:line="240" w:lineRule="auto"/>
                    <w:ind w:firstLine="0" w:firstLineChars="0"/>
                    <w:jc w:val="center"/>
                    <w:rPr>
                      <w:rFonts w:hint="eastAsia" w:eastAsia="宋体" w:cs="Times New Roman"/>
                      <w:color w:val="auto"/>
                      <w:sz w:val="21"/>
                      <w:highlight w:val="none"/>
                      <w:lang w:eastAsia="zh-CN"/>
                    </w:rPr>
                  </w:pPr>
                  <w:r>
                    <w:rPr>
                      <w:rFonts w:hint="eastAsia" w:cs="Times New Roman"/>
                      <w:color w:val="auto"/>
                      <w:sz w:val="21"/>
                      <w:highlight w:val="none"/>
                      <w:lang w:val="en-US" w:eastAsia="zh-CN"/>
                    </w:rPr>
                    <w:t>淋滤水、</w:t>
                  </w:r>
                  <w:r>
                    <w:rPr>
                      <w:rFonts w:hint="eastAsia" w:cs="Times New Roman"/>
                      <w:color w:val="auto"/>
                      <w:sz w:val="21"/>
                      <w:highlight w:val="none"/>
                      <w:lang w:eastAsia="zh-CN"/>
                    </w:rPr>
                    <w:t>初期雨水</w:t>
                  </w:r>
                </w:p>
              </w:tc>
            </w:tr>
            <w:tr w14:paraId="2E94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07" w:hRule="atLeast"/>
                <w:jc w:val="center"/>
              </w:trPr>
              <w:tc>
                <w:tcPr>
                  <w:tcW w:w="491" w:type="dxa"/>
                  <w:vMerge w:val="continue"/>
                  <w:vAlign w:val="center"/>
                </w:tcPr>
                <w:p w14:paraId="26AB92C7">
                  <w:pPr>
                    <w:snapToGrid/>
                    <w:spacing w:line="240" w:lineRule="auto"/>
                    <w:ind w:firstLine="0" w:firstLineChars="0"/>
                    <w:jc w:val="center"/>
                    <w:rPr>
                      <w:rFonts w:cs="Times New Roman"/>
                      <w:color w:val="auto"/>
                      <w:sz w:val="21"/>
                      <w:highlight w:val="none"/>
                    </w:rPr>
                  </w:pPr>
                </w:p>
              </w:tc>
              <w:tc>
                <w:tcPr>
                  <w:tcW w:w="1900" w:type="dxa"/>
                  <w:vAlign w:val="center"/>
                </w:tcPr>
                <w:p w14:paraId="6E42E57D">
                  <w:pPr>
                    <w:snapToGrid/>
                    <w:spacing w:line="240" w:lineRule="auto"/>
                    <w:ind w:firstLine="0" w:firstLineChars="0"/>
                    <w:jc w:val="center"/>
                    <w:rPr>
                      <w:rFonts w:cs="Times New Roman"/>
                      <w:color w:val="auto"/>
                      <w:sz w:val="21"/>
                      <w:highlight w:val="none"/>
                    </w:rPr>
                  </w:pPr>
                  <w:r>
                    <w:rPr>
                      <w:rFonts w:cs="Times New Roman"/>
                      <w:color w:val="auto"/>
                      <w:sz w:val="21"/>
                      <w:highlight w:val="none"/>
                    </w:rPr>
                    <w:t>截排水沟</w:t>
                  </w:r>
                </w:p>
              </w:tc>
              <w:tc>
                <w:tcPr>
                  <w:tcW w:w="3582" w:type="dxa"/>
                  <w:vAlign w:val="center"/>
                </w:tcPr>
                <w:p w14:paraId="3799F24D">
                  <w:pPr>
                    <w:snapToGrid/>
                    <w:spacing w:line="240" w:lineRule="auto"/>
                    <w:ind w:firstLine="0" w:firstLineChars="0"/>
                    <w:jc w:val="center"/>
                    <w:rPr>
                      <w:rFonts w:cs="Times New Roman"/>
                      <w:color w:val="auto"/>
                      <w:sz w:val="21"/>
                      <w:highlight w:val="none"/>
                    </w:rPr>
                  </w:pPr>
                  <w:r>
                    <w:rPr>
                      <w:rFonts w:cs="Times New Roman"/>
                      <w:color w:val="auto"/>
                      <w:sz w:val="21"/>
                      <w:highlight w:val="none"/>
                      <w:lang w:eastAsia="zh-CN"/>
                    </w:rPr>
                    <w:t>项目区内设置雨污分流排水系统；项目在</w:t>
                  </w:r>
                  <w:r>
                    <w:rPr>
                      <w:rFonts w:hint="eastAsia" w:cs="Times New Roman"/>
                      <w:color w:val="auto"/>
                      <w:sz w:val="21"/>
                      <w:highlight w:val="none"/>
                      <w:lang w:eastAsia="zh-CN"/>
                    </w:rPr>
                    <w:t>露天开采区</w:t>
                  </w:r>
                  <w:r>
                    <w:rPr>
                      <w:rFonts w:cs="Times New Roman"/>
                      <w:color w:val="auto"/>
                      <w:sz w:val="21"/>
                      <w:highlight w:val="none"/>
                      <w:lang w:eastAsia="zh-CN"/>
                    </w:rPr>
                    <w:t>、运输道路、</w:t>
                  </w:r>
                  <w:r>
                    <w:rPr>
                      <w:rFonts w:hint="eastAsia" w:cs="Times New Roman"/>
                      <w:color w:val="auto"/>
                      <w:sz w:val="21"/>
                      <w:highlight w:val="none"/>
                      <w:lang w:val="en-US" w:eastAsia="zh-CN"/>
                    </w:rPr>
                    <w:t>工业场地区</w:t>
                  </w:r>
                  <w:r>
                    <w:rPr>
                      <w:rFonts w:cs="Times New Roman"/>
                      <w:color w:val="auto"/>
                      <w:sz w:val="21"/>
                      <w:highlight w:val="none"/>
                      <w:lang w:eastAsia="zh-CN"/>
                    </w:rPr>
                    <w:t>设置排水沟，排水沟末端连接</w:t>
                  </w:r>
                  <w:r>
                    <w:rPr>
                      <w:rFonts w:hint="eastAsia" w:cs="Times New Roman"/>
                      <w:color w:val="auto"/>
                      <w:sz w:val="21"/>
                      <w:highlight w:val="none"/>
                      <w:lang w:eastAsia="zh-CN"/>
                    </w:rPr>
                    <w:t>沉砂池</w:t>
                  </w:r>
                  <w:r>
                    <w:rPr>
                      <w:rFonts w:cs="Times New Roman"/>
                      <w:color w:val="auto"/>
                      <w:sz w:val="21"/>
                      <w:highlight w:val="none"/>
                      <w:lang w:eastAsia="zh-CN"/>
                    </w:rPr>
                    <w:t>，雨水经</w:t>
                  </w:r>
                  <w:r>
                    <w:rPr>
                      <w:rFonts w:hint="eastAsia" w:cs="Times New Roman"/>
                      <w:color w:val="auto"/>
                      <w:sz w:val="21"/>
                      <w:highlight w:val="none"/>
                      <w:lang w:eastAsia="zh-CN"/>
                    </w:rPr>
                    <w:t>沉砂池</w:t>
                  </w:r>
                  <w:r>
                    <w:rPr>
                      <w:rFonts w:cs="Times New Roman"/>
                      <w:color w:val="auto"/>
                      <w:sz w:val="21"/>
                      <w:highlight w:val="none"/>
                      <w:lang w:eastAsia="zh-CN"/>
                    </w:rPr>
                    <w:t>沉淀处理后回用厂区洒水降尘。</w:t>
                  </w:r>
                  <w:r>
                    <w:rPr>
                      <w:rFonts w:cs="Times New Roman"/>
                      <w:color w:val="auto"/>
                      <w:sz w:val="21"/>
                      <w:highlight w:val="none"/>
                    </w:rPr>
                    <w:t>总长约</w:t>
                  </w:r>
                  <w:r>
                    <w:rPr>
                      <w:rFonts w:hint="eastAsia" w:cs="Times New Roman"/>
                      <w:color w:val="auto"/>
                      <w:sz w:val="21"/>
                      <w:highlight w:val="none"/>
                      <w:lang w:val="en-US" w:eastAsia="zh-CN"/>
                    </w:rPr>
                    <w:t>1388</w:t>
                  </w:r>
                  <w:r>
                    <w:rPr>
                      <w:rFonts w:cs="Times New Roman"/>
                      <w:color w:val="auto"/>
                      <w:sz w:val="21"/>
                      <w:highlight w:val="none"/>
                    </w:rPr>
                    <w:t xml:space="preserve">m </w:t>
                  </w:r>
                </w:p>
              </w:tc>
              <w:tc>
                <w:tcPr>
                  <w:tcW w:w="643" w:type="dxa"/>
                  <w:vAlign w:val="center"/>
                </w:tcPr>
                <w:p w14:paraId="4757751C">
                  <w:pPr>
                    <w:snapToGrid/>
                    <w:spacing w:line="240" w:lineRule="auto"/>
                    <w:ind w:firstLine="0" w:firstLineChars="0"/>
                    <w:jc w:val="center"/>
                    <w:rPr>
                      <w:rFonts w:cs="Times New Roman"/>
                      <w:color w:val="auto"/>
                      <w:sz w:val="21"/>
                      <w:highlight w:val="none"/>
                      <w:lang w:eastAsia="zh-CN"/>
                    </w:rPr>
                  </w:pPr>
                  <w:r>
                    <w:rPr>
                      <w:rFonts w:hint="eastAsia" w:cs="Times New Roman"/>
                      <w:color w:val="auto"/>
                      <w:sz w:val="21"/>
                      <w:highlight w:val="none"/>
                      <w:lang w:val="en-US" w:eastAsia="zh-CN"/>
                    </w:rPr>
                    <w:t>5</w:t>
                  </w:r>
                </w:p>
              </w:tc>
              <w:tc>
                <w:tcPr>
                  <w:tcW w:w="1302" w:type="dxa"/>
                  <w:vAlign w:val="center"/>
                </w:tcPr>
                <w:p w14:paraId="4AE78058">
                  <w:pPr>
                    <w:snapToGrid/>
                    <w:spacing w:line="240" w:lineRule="auto"/>
                    <w:ind w:firstLine="0" w:firstLineChars="0"/>
                    <w:jc w:val="center"/>
                    <w:rPr>
                      <w:rFonts w:cs="Times New Roman"/>
                      <w:color w:val="auto"/>
                      <w:sz w:val="21"/>
                      <w:highlight w:val="none"/>
                    </w:rPr>
                  </w:pPr>
                  <w:r>
                    <w:rPr>
                      <w:rFonts w:hint="eastAsia" w:cs="Times New Roman"/>
                      <w:color w:val="auto"/>
                      <w:sz w:val="21"/>
                      <w:highlight w:val="none"/>
                      <w:lang w:val="en-US" w:eastAsia="zh-CN"/>
                    </w:rPr>
                    <w:t>淋滤水、初期</w:t>
                  </w:r>
                  <w:r>
                    <w:rPr>
                      <w:rFonts w:cs="Times New Roman"/>
                      <w:color w:val="auto"/>
                      <w:sz w:val="21"/>
                      <w:highlight w:val="none"/>
                    </w:rPr>
                    <w:t>雨水</w:t>
                  </w:r>
                </w:p>
              </w:tc>
            </w:tr>
            <w:tr w14:paraId="4F27A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jc w:val="center"/>
              </w:trPr>
              <w:tc>
                <w:tcPr>
                  <w:tcW w:w="491" w:type="dxa"/>
                  <w:vAlign w:val="center"/>
                </w:tcPr>
                <w:p w14:paraId="24391348">
                  <w:pPr>
                    <w:snapToGrid/>
                    <w:spacing w:line="240" w:lineRule="auto"/>
                    <w:ind w:firstLine="0" w:firstLineChars="0"/>
                    <w:jc w:val="center"/>
                    <w:rPr>
                      <w:rFonts w:cs="Times New Roman"/>
                      <w:color w:val="auto"/>
                      <w:sz w:val="21"/>
                      <w:highlight w:val="none"/>
                    </w:rPr>
                  </w:pPr>
                  <w:r>
                    <w:rPr>
                      <w:rFonts w:cs="Times New Roman"/>
                      <w:color w:val="auto"/>
                      <w:sz w:val="21"/>
                      <w:highlight w:val="none"/>
                    </w:rPr>
                    <w:t>噪声</w:t>
                  </w:r>
                </w:p>
              </w:tc>
              <w:tc>
                <w:tcPr>
                  <w:tcW w:w="1900" w:type="dxa"/>
                  <w:vAlign w:val="center"/>
                </w:tcPr>
                <w:p w14:paraId="02E62BA3">
                  <w:pPr>
                    <w:snapToGrid/>
                    <w:spacing w:line="240" w:lineRule="auto"/>
                    <w:ind w:firstLine="0" w:firstLineChars="0"/>
                    <w:jc w:val="center"/>
                    <w:rPr>
                      <w:rFonts w:cs="Times New Roman"/>
                      <w:color w:val="auto"/>
                      <w:sz w:val="21"/>
                      <w:highlight w:val="none"/>
                    </w:rPr>
                  </w:pPr>
                  <w:r>
                    <w:rPr>
                      <w:rFonts w:cs="Times New Roman"/>
                      <w:color w:val="auto"/>
                      <w:sz w:val="21"/>
                      <w:highlight w:val="none"/>
                    </w:rPr>
                    <w:t>机械设备降噪</w:t>
                  </w:r>
                </w:p>
              </w:tc>
              <w:tc>
                <w:tcPr>
                  <w:tcW w:w="3582" w:type="dxa"/>
                  <w:vAlign w:val="center"/>
                </w:tcPr>
                <w:p w14:paraId="11925FCF">
                  <w:pPr>
                    <w:snapToGrid/>
                    <w:spacing w:line="240" w:lineRule="auto"/>
                    <w:ind w:firstLine="0" w:firstLineChars="0"/>
                    <w:jc w:val="center"/>
                    <w:rPr>
                      <w:rFonts w:cs="Times New Roman"/>
                      <w:color w:val="auto"/>
                      <w:sz w:val="21"/>
                      <w:highlight w:val="none"/>
                      <w:lang w:eastAsia="zh-CN"/>
                    </w:rPr>
                  </w:pPr>
                  <w:r>
                    <w:rPr>
                      <w:rFonts w:ascii="Times New Roman" w:hAnsi="Times New Roman" w:cs="Times New Roman"/>
                      <w:color w:val="auto"/>
                      <w:sz w:val="21"/>
                      <w:szCs w:val="21"/>
                      <w:highlight w:val="none"/>
                    </w:rPr>
                    <w:t>选用低噪设备、基础减震等措施</w:t>
                  </w:r>
                </w:p>
              </w:tc>
              <w:tc>
                <w:tcPr>
                  <w:tcW w:w="643" w:type="dxa"/>
                  <w:vAlign w:val="center"/>
                </w:tcPr>
                <w:p w14:paraId="7EFC73F9">
                  <w:pPr>
                    <w:snapToGrid/>
                    <w:spacing w:line="240" w:lineRule="auto"/>
                    <w:ind w:firstLine="0" w:firstLineChars="0"/>
                    <w:jc w:val="center"/>
                    <w:rPr>
                      <w:rFonts w:hint="default" w:eastAsia="宋体" w:cs="Times New Roman"/>
                      <w:color w:val="auto"/>
                      <w:sz w:val="21"/>
                      <w:highlight w:val="none"/>
                      <w:lang w:val="en-US" w:eastAsia="zh-CN"/>
                    </w:rPr>
                  </w:pPr>
                  <w:r>
                    <w:rPr>
                      <w:rFonts w:hint="eastAsia" w:cs="Times New Roman"/>
                      <w:color w:val="auto"/>
                      <w:sz w:val="21"/>
                      <w:highlight w:val="none"/>
                      <w:lang w:val="en-US" w:eastAsia="zh-CN"/>
                    </w:rPr>
                    <w:t>0.5</w:t>
                  </w:r>
                </w:p>
              </w:tc>
              <w:tc>
                <w:tcPr>
                  <w:tcW w:w="1302" w:type="dxa"/>
                  <w:vAlign w:val="center"/>
                </w:tcPr>
                <w:p w14:paraId="49A211AC">
                  <w:pPr>
                    <w:snapToGrid/>
                    <w:spacing w:line="240" w:lineRule="auto"/>
                    <w:ind w:firstLine="0" w:firstLineChars="0"/>
                    <w:jc w:val="center"/>
                    <w:rPr>
                      <w:rFonts w:cs="Times New Roman"/>
                      <w:color w:val="auto"/>
                      <w:sz w:val="21"/>
                      <w:highlight w:val="none"/>
                    </w:rPr>
                  </w:pPr>
                  <w:r>
                    <w:rPr>
                      <w:rFonts w:cs="Times New Roman"/>
                      <w:color w:val="auto"/>
                      <w:sz w:val="21"/>
                      <w:highlight w:val="none"/>
                    </w:rPr>
                    <w:t>噪声</w:t>
                  </w:r>
                </w:p>
              </w:tc>
            </w:tr>
            <w:tr w14:paraId="5691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491" w:type="dxa"/>
                  <w:vMerge w:val="restart"/>
                  <w:vAlign w:val="center"/>
                </w:tcPr>
                <w:p w14:paraId="3D7A0A4E">
                  <w:pPr>
                    <w:snapToGrid/>
                    <w:spacing w:line="240" w:lineRule="auto"/>
                    <w:ind w:firstLine="0" w:firstLineChars="0"/>
                    <w:jc w:val="center"/>
                    <w:rPr>
                      <w:rFonts w:cs="Times New Roman"/>
                      <w:color w:val="auto"/>
                      <w:sz w:val="21"/>
                      <w:highlight w:val="none"/>
                    </w:rPr>
                  </w:pPr>
                  <w:r>
                    <w:rPr>
                      <w:rFonts w:cs="Times New Roman"/>
                      <w:color w:val="auto"/>
                      <w:sz w:val="21"/>
                      <w:highlight w:val="none"/>
                    </w:rPr>
                    <w:t>固废</w:t>
                  </w:r>
                </w:p>
              </w:tc>
              <w:tc>
                <w:tcPr>
                  <w:tcW w:w="1900" w:type="dxa"/>
                  <w:vAlign w:val="center"/>
                </w:tcPr>
                <w:p w14:paraId="7C3E2D1A">
                  <w:pPr>
                    <w:snapToGrid/>
                    <w:spacing w:line="240" w:lineRule="auto"/>
                    <w:ind w:firstLine="0" w:firstLineChars="0"/>
                    <w:jc w:val="center"/>
                    <w:rPr>
                      <w:rFonts w:cs="Times New Roman"/>
                      <w:color w:val="auto"/>
                      <w:sz w:val="21"/>
                      <w:highlight w:val="none"/>
                    </w:rPr>
                  </w:pPr>
                  <w:r>
                    <w:rPr>
                      <w:rFonts w:cs="Times New Roman"/>
                      <w:color w:val="auto"/>
                      <w:sz w:val="21"/>
                      <w:highlight w:val="none"/>
                    </w:rPr>
                    <w:t>生活垃圾收集桶</w:t>
                  </w:r>
                </w:p>
              </w:tc>
              <w:tc>
                <w:tcPr>
                  <w:tcW w:w="3582" w:type="dxa"/>
                  <w:vAlign w:val="center"/>
                </w:tcPr>
                <w:p w14:paraId="02CBA139">
                  <w:pPr>
                    <w:snapToGrid/>
                    <w:spacing w:line="240" w:lineRule="auto"/>
                    <w:ind w:firstLine="0" w:firstLineChars="0"/>
                    <w:jc w:val="center"/>
                    <w:rPr>
                      <w:rFonts w:cs="Times New Roman"/>
                      <w:color w:val="auto"/>
                      <w:sz w:val="21"/>
                      <w:highlight w:val="none"/>
                    </w:rPr>
                  </w:pPr>
                  <w:r>
                    <w:rPr>
                      <w:rFonts w:cs="Times New Roman"/>
                      <w:color w:val="auto"/>
                      <w:sz w:val="21"/>
                      <w:highlight w:val="none"/>
                    </w:rPr>
                    <w:t>3 个</w:t>
                  </w:r>
                </w:p>
              </w:tc>
              <w:tc>
                <w:tcPr>
                  <w:tcW w:w="643" w:type="dxa"/>
                  <w:vAlign w:val="center"/>
                </w:tcPr>
                <w:p w14:paraId="56C46017">
                  <w:pPr>
                    <w:snapToGrid/>
                    <w:spacing w:line="240" w:lineRule="auto"/>
                    <w:ind w:firstLine="0" w:firstLineChars="0"/>
                    <w:jc w:val="center"/>
                    <w:rPr>
                      <w:rFonts w:hint="eastAsia" w:eastAsia="宋体" w:cs="Times New Roman"/>
                      <w:color w:val="auto"/>
                      <w:sz w:val="21"/>
                      <w:highlight w:val="none"/>
                      <w:lang w:val="en-US" w:eastAsia="zh-CN"/>
                    </w:rPr>
                  </w:pPr>
                  <w:r>
                    <w:rPr>
                      <w:rFonts w:cs="Times New Roman"/>
                      <w:color w:val="auto"/>
                      <w:sz w:val="21"/>
                      <w:highlight w:val="none"/>
                    </w:rPr>
                    <w:t>0.</w:t>
                  </w:r>
                  <w:r>
                    <w:rPr>
                      <w:rFonts w:hint="eastAsia" w:cs="Times New Roman"/>
                      <w:color w:val="auto"/>
                      <w:sz w:val="21"/>
                      <w:highlight w:val="none"/>
                      <w:lang w:val="en-US" w:eastAsia="zh-CN"/>
                    </w:rPr>
                    <w:t>1</w:t>
                  </w:r>
                </w:p>
              </w:tc>
              <w:tc>
                <w:tcPr>
                  <w:tcW w:w="1302" w:type="dxa"/>
                  <w:vAlign w:val="center"/>
                </w:tcPr>
                <w:p w14:paraId="4111B605">
                  <w:pPr>
                    <w:snapToGrid/>
                    <w:spacing w:line="240" w:lineRule="auto"/>
                    <w:ind w:firstLine="0" w:firstLineChars="0"/>
                    <w:jc w:val="center"/>
                    <w:rPr>
                      <w:rFonts w:cs="Times New Roman"/>
                      <w:color w:val="auto"/>
                      <w:sz w:val="21"/>
                      <w:highlight w:val="none"/>
                    </w:rPr>
                  </w:pPr>
                  <w:r>
                    <w:rPr>
                      <w:rFonts w:cs="Times New Roman"/>
                      <w:color w:val="auto"/>
                      <w:sz w:val="21"/>
                      <w:highlight w:val="none"/>
                    </w:rPr>
                    <w:t xml:space="preserve">生活垃圾收集 </w:t>
                  </w:r>
                </w:p>
              </w:tc>
            </w:tr>
            <w:tr w14:paraId="630B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3" w:hRule="atLeast"/>
                <w:jc w:val="center"/>
              </w:trPr>
              <w:tc>
                <w:tcPr>
                  <w:tcW w:w="491" w:type="dxa"/>
                  <w:vMerge w:val="continue"/>
                  <w:vAlign w:val="center"/>
                </w:tcPr>
                <w:p w14:paraId="0F48A86B">
                  <w:pPr>
                    <w:snapToGrid/>
                    <w:spacing w:line="240" w:lineRule="auto"/>
                    <w:ind w:firstLine="0" w:firstLineChars="0"/>
                    <w:jc w:val="center"/>
                    <w:rPr>
                      <w:rFonts w:cs="Times New Roman"/>
                      <w:color w:val="auto"/>
                      <w:sz w:val="21"/>
                      <w:highlight w:val="none"/>
                    </w:rPr>
                  </w:pPr>
                </w:p>
              </w:tc>
              <w:tc>
                <w:tcPr>
                  <w:tcW w:w="1900" w:type="dxa"/>
                  <w:vAlign w:val="center"/>
                </w:tcPr>
                <w:p w14:paraId="1E7AE293">
                  <w:pPr>
                    <w:snapToGrid/>
                    <w:spacing w:line="240" w:lineRule="auto"/>
                    <w:ind w:firstLine="0" w:firstLineChars="0"/>
                    <w:jc w:val="center"/>
                    <w:rPr>
                      <w:rFonts w:cs="Times New Roman"/>
                      <w:color w:val="auto"/>
                      <w:sz w:val="21"/>
                      <w:highlight w:val="none"/>
                      <w:lang w:eastAsia="zh-CN"/>
                    </w:rPr>
                  </w:pPr>
                  <w:r>
                    <w:rPr>
                      <w:rFonts w:cs="Times New Roman"/>
                      <w:color w:val="auto"/>
                      <w:sz w:val="21"/>
                      <w:highlight w:val="none"/>
                      <w:lang w:eastAsia="zh-CN"/>
                    </w:rPr>
                    <w:t xml:space="preserve">机械废弃油污处置措施 </w:t>
                  </w:r>
                </w:p>
              </w:tc>
              <w:tc>
                <w:tcPr>
                  <w:tcW w:w="3582" w:type="dxa"/>
                  <w:vAlign w:val="center"/>
                </w:tcPr>
                <w:p w14:paraId="28A61045">
                  <w:pPr>
                    <w:snapToGrid/>
                    <w:spacing w:line="240" w:lineRule="auto"/>
                    <w:ind w:firstLine="0" w:firstLineChars="0"/>
                    <w:jc w:val="center"/>
                    <w:rPr>
                      <w:rFonts w:cs="Times New Roman"/>
                      <w:color w:val="auto"/>
                      <w:sz w:val="21"/>
                      <w:highlight w:val="none"/>
                      <w:lang w:eastAsia="zh-CN"/>
                    </w:rPr>
                  </w:pPr>
                  <w:r>
                    <w:rPr>
                      <w:rFonts w:cs="Times New Roman"/>
                      <w:color w:val="auto"/>
                      <w:sz w:val="21"/>
                      <w:highlight w:val="none"/>
                      <w:lang w:eastAsia="zh-CN"/>
                    </w:rPr>
                    <w:t>油污收集桶2个，</w:t>
                  </w:r>
                  <w:r>
                    <w:rPr>
                      <w:rFonts w:hint="eastAsia" w:cs="Times New Roman"/>
                      <w:color w:val="auto"/>
                      <w:sz w:val="21"/>
                      <w:highlight w:val="none"/>
                      <w:lang w:eastAsia="zh-CN"/>
                    </w:rPr>
                    <w:t>危险废物贮存间</w:t>
                  </w:r>
                  <w:r>
                    <w:rPr>
                      <w:rFonts w:hint="eastAsia" w:cs="Times New Roman"/>
                      <w:color w:val="auto"/>
                      <w:sz w:val="21"/>
                      <w:highlight w:val="none"/>
                      <w:lang w:val="en-US" w:eastAsia="zh-CN"/>
                    </w:rPr>
                    <w:t>5</w:t>
                  </w:r>
                  <w:r>
                    <w:rPr>
                      <w:rFonts w:cs="Times New Roman"/>
                      <w:color w:val="auto"/>
                      <w:sz w:val="21"/>
                      <w:highlight w:val="none"/>
                      <w:lang w:eastAsia="zh-CN"/>
                    </w:rPr>
                    <w:t>m</w:t>
                  </w:r>
                  <w:r>
                    <w:rPr>
                      <w:rFonts w:cs="Times New Roman"/>
                      <w:color w:val="auto"/>
                      <w:sz w:val="21"/>
                      <w:highlight w:val="none"/>
                      <w:vertAlign w:val="superscript"/>
                      <w:lang w:eastAsia="zh-CN"/>
                    </w:rPr>
                    <w:t xml:space="preserve">2 </w:t>
                  </w:r>
                  <w:r>
                    <w:rPr>
                      <w:rFonts w:cs="Times New Roman"/>
                      <w:color w:val="auto"/>
                      <w:sz w:val="21"/>
                      <w:highlight w:val="none"/>
                      <w:lang w:eastAsia="zh-CN"/>
                    </w:rPr>
                    <w:t>，经收集暂存后，委托有资质单位处置</w:t>
                  </w:r>
                </w:p>
              </w:tc>
              <w:tc>
                <w:tcPr>
                  <w:tcW w:w="643" w:type="dxa"/>
                  <w:vAlign w:val="center"/>
                </w:tcPr>
                <w:p w14:paraId="3B736C88">
                  <w:pPr>
                    <w:snapToGrid/>
                    <w:spacing w:line="240" w:lineRule="auto"/>
                    <w:ind w:firstLine="0" w:firstLineChars="0"/>
                    <w:jc w:val="center"/>
                    <w:rPr>
                      <w:rFonts w:hint="eastAsia" w:eastAsia="宋体" w:cs="Times New Roman"/>
                      <w:color w:val="auto"/>
                      <w:sz w:val="21"/>
                      <w:highlight w:val="none"/>
                      <w:lang w:eastAsia="zh-CN"/>
                    </w:rPr>
                  </w:pPr>
                  <w:r>
                    <w:rPr>
                      <w:rFonts w:hint="eastAsia" w:cs="Times New Roman"/>
                      <w:color w:val="auto"/>
                      <w:sz w:val="21"/>
                      <w:highlight w:val="none"/>
                      <w:lang w:val="en-US" w:eastAsia="zh-CN"/>
                    </w:rPr>
                    <w:t>2</w:t>
                  </w:r>
                </w:p>
              </w:tc>
              <w:tc>
                <w:tcPr>
                  <w:tcW w:w="1302" w:type="dxa"/>
                  <w:vAlign w:val="center"/>
                </w:tcPr>
                <w:p w14:paraId="70F94F05">
                  <w:pPr>
                    <w:snapToGrid/>
                    <w:spacing w:line="240" w:lineRule="auto"/>
                    <w:ind w:firstLine="0" w:firstLineChars="0"/>
                    <w:jc w:val="center"/>
                    <w:rPr>
                      <w:rFonts w:hint="default" w:eastAsia="宋体" w:cs="Times New Roman"/>
                      <w:color w:val="auto"/>
                      <w:sz w:val="21"/>
                      <w:highlight w:val="none"/>
                      <w:lang w:val="en-US" w:eastAsia="zh-CN"/>
                    </w:rPr>
                  </w:pPr>
                  <w:r>
                    <w:rPr>
                      <w:rFonts w:hint="eastAsia" w:cs="Times New Roman"/>
                      <w:color w:val="auto"/>
                      <w:sz w:val="21"/>
                      <w:highlight w:val="none"/>
                      <w:lang w:val="en-US" w:eastAsia="zh-CN"/>
                    </w:rPr>
                    <w:t>废机油</w:t>
                  </w:r>
                </w:p>
              </w:tc>
            </w:tr>
            <w:tr w14:paraId="1DBA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9" w:hRule="atLeast"/>
                <w:jc w:val="center"/>
              </w:trPr>
              <w:tc>
                <w:tcPr>
                  <w:tcW w:w="491" w:type="dxa"/>
                  <w:vAlign w:val="center"/>
                </w:tcPr>
                <w:p w14:paraId="034870E0">
                  <w:pPr>
                    <w:snapToGrid/>
                    <w:spacing w:line="240" w:lineRule="auto"/>
                    <w:ind w:firstLine="0" w:firstLineChars="0"/>
                    <w:jc w:val="center"/>
                    <w:rPr>
                      <w:rFonts w:cs="Times New Roman"/>
                      <w:color w:val="auto"/>
                      <w:sz w:val="21"/>
                      <w:highlight w:val="none"/>
                    </w:rPr>
                  </w:pPr>
                  <w:r>
                    <w:rPr>
                      <w:rFonts w:cs="Times New Roman"/>
                      <w:color w:val="auto"/>
                      <w:sz w:val="21"/>
                      <w:highlight w:val="none"/>
                    </w:rPr>
                    <w:t>环境 管理</w:t>
                  </w:r>
                </w:p>
              </w:tc>
              <w:tc>
                <w:tcPr>
                  <w:tcW w:w="5482" w:type="dxa"/>
                  <w:gridSpan w:val="2"/>
                  <w:vAlign w:val="center"/>
                </w:tcPr>
                <w:p w14:paraId="047E0C04">
                  <w:pPr>
                    <w:pStyle w:val="25"/>
                    <w:spacing w:before="0" w:beforeAutospacing="0" w:after="0" w:afterAutospacing="0"/>
                    <w:ind w:firstLine="0" w:firstLineChars="0"/>
                    <w:jc w:val="center"/>
                    <w:rPr>
                      <w:rFonts w:cs="Times New Roman"/>
                      <w:color w:val="auto"/>
                      <w:sz w:val="21"/>
                      <w:highlight w:val="none"/>
                      <w:lang w:eastAsia="zh-CN"/>
                    </w:rPr>
                  </w:pPr>
                  <w:r>
                    <w:rPr>
                      <w:rFonts w:ascii="Times New Roman" w:hAnsi="Times New Roman" w:cs="Times New Roman"/>
                      <w:color w:val="auto"/>
                      <w:sz w:val="21"/>
                      <w:szCs w:val="21"/>
                      <w:highlight w:val="none"/>
                    </w:rPr>
                    <w:t>突发环境事件应急预案、环境监测、</w:t>
                  </w:r>
                  <w:r>
                    <w:rPr>
                      <w:rFonts w:cs="Times New Roman"/>
                      <w:color w:val="auto"/>
                      <w:sz w:val="21"/>
                      <w:highlight w:val="none"/>
                      <w:lang w:eastAsia="zh-CN"/>
                    </w:rPr>
                    <w:t>竣工环境保护验收</w:t>
                  </w:r>
                  <w:r>
                    <w:rPr>
                      <w:rFonts w:ascii="Times New Roman" w:hAnsi="Times New Roman" w:cs="Times New Roman"/>
                      <w:color w:val="auto"/>
                      <w:sz w:val="21"/>
                      <w:szCs w:val="21"/>
                      <w:highlight w:val="none"/>
                    </w:rPr>
                    <w:t>等</w:t>
                  </w:r>
                </w:p>
              </w:tc>
              <w:tc>
                <w:tcPr>
                  <w:tcW w:w="643" w:type="dxa"/>
                  <w:vAlign w:val="center"/>
                </w:tcPr>
                <w:p w14:paraId="4294F456">
                  <w:pPr>
                    <w:spacing w:line="240" w:lineRule="auto"/>
                    <w:ind w:firstLine="0" w:firstLineChars="0"/>
                    <w:jc w:val="center"/>
                    <w:rPr>
                      <w:rFonts w:hint="eastAsia" w:eastAsia="宋体" w:cs="Times New Roman"/>
                      <w:color w:val="auto"/>
                      <w:sz w:val="21"/>
                      <w:highlight w:val="none"/>
                      <w:lang w:eastAsia="zh-CN"/>
                    </w:rPr>
                  </w:pPr>
                  <w:r>
                    <w:rPr>
                      <w:rFonts w:hint="eastAsia"/>
                      <w:color w:val="auto"/>
                      <w:kern w:val="0"/>
                      <w:sz w:val="21"/>
                      <w:szCs w:val="21"/>
                      <w:highlight w:val="none"/>
                      <w:lang w:val="en-US" w:eastAsia="zh-CN"/>
                    </w:rPr>
                    <w:t>8</w:t>
                  </w:r>
                </w:p>
              </w:tc>
              <w:tc>
                <w:tcPr>
                  <w:tcW w:w="1302" w:type="dxa"/>
                  <w:vAlign w:val="center"/>
                </w:tcPr>
                <w:p w14:paraId="4F0E2A0E">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w:t>
                  </w:r>
                </w:p>
              </w:tc>
            </w:tr>
            <w:tr w14:paraId="4435C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9" w:hRule="atLeast"/>
                <w:jc w:val="center"/>
              </w:trPr>
              <w:tc>
                <w:tcPr>
                  <w:tcW w:w="491" w:type="dxa"/>
                  <w:vAlign w:val="center"/>
                </w:tcPr>
                <w:p w14:paraId="34617C49">
                  <w:pPr>
                    <w:snapToGrid/>
                    <w:spacing w:line="240" w:lineRule="auto"/>
                    <w:ind w:firstLine="0" w:firstLineChars="0"/>
                    <w:jc w:val="center"/>
                    <w:rPr>
                      <w:rFonts w:cs="Times New Roman"/>
                      <w:color w:val="auto"/>
                      <w:sz w:val="21"/>
                      <w:highlight w:val="none"/>
                    </w:rPr>
                  </w:pPr>
                  <w:r>
                    <w:rPr>
                      <w:rFonts w:cs="Times New Roman"/>
                      <w:color w:val="auto"/>
                      <w:sz w:val="21"/>
                      <w:highlight w:val="none"/>
                    </w:rPr>
                    <w:t>环境 监测</w:t>
                  </w:r>
                </w:p>
              </w:tc>
              <w:tc>
                <w:tcPr>
                  <w:tcW w:w="5482" w:type="dxa"/>
                  <w:gridSpan w:val="2"/>
                  <w:vAlign w:val="center"/>
                </w:tcPr>
                <w:p w14:paraId="25D8ECAC">
                  <w:pPr>
                    <w:snapToGrid/>
                    <w:spacing w:line="240" w:lineRule="auto"/>
                    <w:ind w:firstLine="0" w:firstLineChars="0"/>
                    <w:jc w:val="center"/>
                    <w:rPr>
                      <w:rFonts w:cs="Times New Roman"/>
                      <w:color w:val="auto"/>
                      <w:sz w:val="21"/>
                      <w:highlight w:val="none"/>
                    </w:rPr>
                  </w:pPr>
                  <w:r>
                    <w:rPr>
                      <w:rFonts w:cs="Times New Roman"/>
                      <w:color w:val="auto"/>
                      <w:sz w:val="21"/>
                      <w:highlight w:val="none"/>
                    </w:rPr>
                    <w:t>运营期委托监测</w:t>
                  </w:r>
                </w:p>
              </w:tc>
              <w:tc>
                <w:tcPr>
                  <w:tcW w:w="643" w:type="dxa"/>
                  <w:vAlign w:val="center"/>
                </w:tcPr>
                <w:p w14:paraId="79B355F5">
                  <w:pPr>
                    <w:snapToGrid/>
                    <w:spacing w:line="240" w:lineRule="auto"/>
                    <w:ind w:firstLine="0" w:firstLineChars="0"/>
                    <w:jc w:val="center"/>
                    <w:rPr>
                      <w:rFonts w:cs="Times New Roman"/>
                      <w:color w:val="auto"/>
                      <w:sz w:val="21"/>
                      <w:highlight w:val="none"/>
                    </w:rPr>
                  </w:pPr>
                  <w:r>
                    <w:rPr>
                      <w:rFonts w:cs="Times New Roman"/>
                      <w:color w:val="auto"/>
                      <w:sz w:val="21"/>
                      <w:highlight w:val="none"/>
                    </w:rPr>
                    <w:t>5</w:t>
                  </w:r>
                </w:p>
              </w:tc>
              <w:tc>
                <w:tcPr>
                  <w:tcW w:w="1302" w:type="dxa"/>
                  <w:vAlign w:val="center"/>
                </w:tcPr>
                <w:p w14:paraId="0CAAEB6C">
                  <w:pPr>
                    <w:snapToGrid/>
                    <w:spacing w:line="240" w:lineRule="auto"/>
                    <w:ind w:firstLine="0" w:firstLineChars="0"/>
                    <w:jc w:val="center"/>
                    <w:rPr>
                      <w:rFonts w:hint="eastAsia" w:eastAsia="宋体" w:cs="Times New Roman"/>
                      <w:color w:val="auto"/>
                      <w:sz w:val="21"/>
                      <w:highlight w:val="none"/>
                      <w:lang w:val="en-US" w:eastAsia="zh-CN"/>
                    </w:rPr>
                  </w:pPr>
                  <w:r>
                    <w:rPr>
                      <w:rFonts w:hint="eastAsia" w:cs="Times New Roman"/>
                      <w:color w:val="auto"/>
                      <w:sz w:val="21"/>
                      <w:highlight w:val="none"/>
                      <w:lang w:val="en-US" w:eastAsia="zh-CN"/>
                    </w:rPr>
                    <w:t>/</w:t>
                  </w:r>
                </w:p>
              </w:tc>
            </w:tr>
            <w:tr w14:paraId="50370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491" w:type="dxa"/>
                  <w:vAlign w:val="center"/>
                </w:tcPr>
                <w:p w14:paraId="3EA8178A">
                  <w:pPr>
                    <w:snapToGrid/>
                    <w:spacing w:line="240" w:lineRule="auto"/>
                    <w:ind w:firstLine="0" w:firstLineChars="0"/>
                    <w:jc w:val="center"/>
                    <w:rPr>
                      <w:rFonts w:cs="Times New Roman"/>
                      <w:color w:val="auto"/>
                      <w:sz w:val="21"/>
                      <w:highlight w:val="none"/>
                    </w:rPr>
                  </w:pPr>
                  <w:r>
                    <w:rPr>
                      <w:rFonts w:cs="Times New Roman"/>
                      <w:color w:val="auto"/>
                      <w:sz w:val="21"/>
                      <w:highlight w:val="none"/>
                    </w:rPr>
                    <w:t>生态</w:t>
                  </w:r>
                </w:p>
              </w:tc>
              <w:tc>
                <w:tcPr>
                  <w:tcW w:w="5482" w:type="dxa"/>
                  <w:gridSpan w:val="2"/>
                  <w:vAlign w:val="center"/>
                </w:tcPr>
                <w:p w14:paraId="6BE5E8C5">
                  <w:pPr>
                    <w:snapToGrid/>
                    <w:spacing w:line="240" w:lineRule="auto"/>
                    <w:ind w:firstLine="0" w:firstLineChars="0"/>
                    <w:jc w:val="center"/>
                    <w:rPr>
                      <w:rFonts w:hint="eastAsia" w:eastAsia="宋体" w:cs="Times New Roman"/>
                      <w:color w:val="auto"/>
                      <w:sz w:val="21"/>
                      <w:highlight w:val="none"/>
                      <w:lang w:val="en-US" w:eastAsia="zh-CN"/>
                    </w:rPr>
                  </w:pPr>
                  <w:r>
                    <w:rPr>
                      <w:rFonts w:hint="eastAsia" w:ascii="Times New Roman" w:hAnsi="Times New Roman" w:cs="Times New Roman"/>
                      <w:color w:val="auto"/>
                      <w:sz w:val="21"/>
                      <w:szCs w:val="21"/>
                      <w:highlight w:val="none"/>
                    </w:rPr>
                    <w:t>严格按照水土保持方案和矿山环境恢复治理及土地复垦方案</w:t>
                  </w:r>
                  <w:r>
                    <w:rPr>
                      <w:rFonts w:hint="eastAsia" w:ascii="Times New Roman" w:hAnsi="Times New Roman" w:cs="Times New Roman"/>
                      <w:color w:val="auto"/>
                      <w:sz w:val="21"/>
                      <w:szCs w:val="21"/>
                      <w:highlight w:val="none"/>
                      <w:lang w:val="en-US" w:eastAsia="zh-CN"/>
                    </w:rPr>
                    <w:t>执行</w:t>
                  </w:r>
                </w:p>
              </w:tc>
              <w:tc>
                <w:tcPr>
                  <w:tcW w:w="643" w:type="dxa"/>
                  <w:vAlign w:val="center"/>
                </w:tcPr>
                <w:p w14:paraId="1ABFCCE4">
                  <w:pPr>
                    <w:snapToGrid/>
                    <w:spacing w:line="240" w:lineRule="auto"/>
                    <w:ind w:firstLine="0" w:firstLineChars="0"/>
                    <w:jc w:val="center"/>
                    <w:rPr>
                      <w:rFonts w:cs="Times New Roman"/>
                      <w:color w:val="auto"/>
                      <w:sz w:val="21"/>
                      <w:highlight w:val="none"/>
                    </w:rPr>
                  </w:pPr>
                  <w:r>
                    <w:rPr>
                      <w:rFonts w:cs="Times New Roman"/>
                      <w:color w:val="auto"/>
                      <w:sz w:val="21"/>
                      <w:highlight w:val="none"/>
                    </w:rPr>
                    <w:t>不计入</w:t>
                  </w:r>
                </w:p>
              </w:tc>
              <w:tc>
                <w:tcPr>
                  <w:tcW w:w="1302" w:type="dxa"/>
                  <w:vAlign w:val="center"/>
                </w:tcPr>
                <w:p w14:paraId="4E5B77A5">
                  <w:pPr>
                    <w:snapToGrid/>
                    <w:spacing w:line="240" w:lineRule="auto"/>
                    <w:ind w:firstLine="0" w:firstLineChars="0"/>
                    <w:jc w:val="center"/>
                    <w:rPr>
                      <w:rFonts w:hint="eastAsia" w:eastAsia="宋体" w:cs="Times New Roman"/>
                      <w:color w:val="auto"/>
                      <w:sz w:val="21"/>
                      <w:highlight w:val="none"/>
                      <w:lang w:eastAsia="zh-CN"/>
                    </w:rPr>
                  </w:pPr>
                  <w:r>
                    <w:rPr>
                      <w:rFonts w:hint="eastAsia" w:cs="Times New Roman"/>
                      <w:color w:val="auto"/>
                      <w:sz w:val="21"/>
                      <w:highlight w:val="none"/>
                      <w:lang w:val="en-US" w:eastAsia="zh-CN"/>
                    </w:rPr>
                    <w:t>植被恢复</w:t>
                  </w:r>
                </w:p>
              </w:tc>
            </w:tr>
            <w:tr w14:paraId="1467E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9" w:hRule="atLeast"/>
                <w:jc w:val="center"/>
              </w:trPr>
              <w:tc>
                <w:tcPr>
                  <w:tcW w:w="5973" w:type="dxa"/>
                  <w:gridSpan w:val="3"/>
                  <w:vAlign w:val="center"/>
                </w:tcPr>
                <w:p w14:paraId="6CAE9B53">
                  <w:pPr>
                    <w:snapToGrid/>
                    <w:spacing w:line="240" w:lineRule="auto"/>
                    <w:ind w:firstLine="0" w:firstLineChars="0"/>
                    <w:jc w:val="center"/>
                    <w:rPr>
                      <w:rFonts w:cs="Times New Roman"/>
                      <w:b/>
                      <w:bCs/>
                      <w:color w:val="auto"/>
                      <w:sz w:val="21"/>
                      <w:highlight w:val="none"/>
                    </w:rPr>
                  </w:pPr>
                  <w:r>
                    <w:rPr>
                      <w:rFonts w:hint="eastAsia" w:cs="Times New Roman"/>
                      <w:b/>
                      <w:bCs/>
                      <w:color w:val="auto"/>
                      <w:sz w:val="21"/>
                      <w:highlight w:val="none"/>
                      <w:lang w:eastAsia="zh-CN"/>
                    </w:rPr>
                    <w:t>小计</w:t>
                  </w:r>
                </w:p>
              </w:tc>
              <w:tc>
                <w:tcPr>
                  <w:tcW w:w="1945" w:type="dxa"/>
                  <w:gridSpan w:val="2"/>
                  <w:vAlign w:val="center"/>
                </w:tcPr>
                <w:p w14:paraId="1CEDC0CB">
                  <w:pPr>
                    <w:snapToGrid/>
                    <w:spacing w:line="240" w:lineRule="auto"/>
                    <w:ind w:firstLine="0" w:firstLineChars="0"/>
                    <w:jc w:val="center"/>
                    <w:rPr>
                      <w:rFonts w:cs="Times New Roman"/>
                      <w:color w:val="auto"/>
                      <w:sz w:val="21"/>
                      <w:highlight w:val="none"/>
                    </w:rPr>
                  </w:pPr>
                  <w:r>
                    <w:rPr>
                      <w:rFonts w:hint="eastAsia" w:cs="Times New Roman"/>
                      <w:b/>
                      <w:bCs/>
                      <w:color w:val="auto"/>
                      <w:sz w:val="21"/>
                      <w:highlight w:val="none"/>
                      <w:lang w:val="en-US" w:eastAsia="zh-CN"/>
                    </w:rPr>
                    <w:t>101.8</w:t>
                  </w:r>
                </w:p>
              </w:tc>
            </w:tr>
            <w:tr w14:paraId="44B2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2" w:hRule="atLeast"/>
                <w:jc w:val="center"/>
              </w:trPr>
              <w:tc>
                <w:tcPr>
                  <w:tcW w:w="491" w:type="dxa"/>
                  <w:vAlign w:val="center"/>
                </w:tcPr>
                <w:p w14:paraId="51C8A05D">
                  <w:pPr>
                    <w:snapToGrid/>
                    <w:spacing w:line="240" w:lineRule="auto"/>
                    <w:ind w:firstLine="0" w:firstLineChars="0"/>
                    <w:jc w:val="center"/>
                    <w:rPr>
                      <w:rFonts w:cs="Times New Roman"/>
                      <w:b/>
                      <w:bCs/>
                      <w:color w:val="auto"/>
                      <w:sz w:val="21"/>
                      <w:highlight w:val="none"/>
                      <w:lang w:eastAsia="zh-CN"/>
                    </w:rPr>
                  </w:pPr>
                  <w:r>
                    <w:rPr>
                      <w:rFonts w:hint="eastAsia" w:cs="Times New Roman"/>
                      <w:b/>
                      <w:bCs/>
                      <w:color w:val="auto"/>
                      <w:sz w:val="21"/>
                      <w:highlight w:val="none"/>
                      <w:lang w:eastAsia="zh-CN"/>
                    </w:rPr>
                    <w:t>合计</w:t>
                  </w:r>
                </w:p>
              </w:tc>
              <w:tc>
                <w:tcPr>
                  <w:tcW w:w="5482" w:type="dxa"/>
                  <w:gridSpan w:val="2"/>
                  <w:vAlign w:val="center"/>
                </w:tcPr>
                <w:p w14:paraId="721F932B">
                  <w:pPr>
                    <w:snapToGrid/>
                    <w:spacing w:line="240" w:lineRule="auto"/>
                    <w:ind w:firstLine="0" w:firstLineChars="0"/>
                    <w:jc w:val="center"/>
                    <w:rPr>
                      <w:rFonts w:cs="Times New Roman"/>
                      <w:b/>
                      <w:bCs/>
                      <w:color w:val="auto"/>
                      <w:sz w:val="21"/>
                      <w:highlight w:val="none"/>
                      <w:lang w:eastAsia="zh-CN"/>
                    </w:rPr>
                  </w:pPr>
                  <w:r>
                    <w:rPr>
                      <w:rFonts w:hint="eastAsia" w:cs="Times New Roman"/>
                      <w:b/>
                      <w:bCs/>
                      <w:color w:val="auto"/>
                      <w:sz w:val="21"/>
                      <w:highlight w:val="none"/>
                      <w:lang w:eastAsia="zh-CN"/>
                    </w:rPr>
                    <w:t>——</w:t>
                  </w:r>
                </w:p>
              </w:tc>
              <w:tc>
                <w:tcPr>
                  <w:tcW w:w="1945" w:type="dxa"/>
                  <w:gridSpan w:val="2"/>
                  <w:vAlign w:val="center"/>
                </w:tcPr>
                <w:p w14:paraId="05204572">
                  <w:pPr>
                    <w:snapToGrid/>
                    <w:spacing w:line="240" w:lineRule="auto"/>
                    <w:ind w:firstLine="0" w:firstLineChars="0"/>
                    <w:jc w:val="center"/>
                    <w:rPr>
                      <w:rFonts w:cs="Times New Roman"/>
                      <w:color w:val="auto"/>
                      <w:sz w:val="21"/>
                      <w:highlight w:val="none"/>
                    </w:rPr>
                  </w:pPr>
                  <w:r>
                    <w:rPr>
                      <w:rFonts w:hint="eastAsia" w:cs="Times New Roman"/>
                      <w:b/>
                      <w:bCs/>
                      <w:color w:val="auto"/>
                      <w:sz w:val="21"/>
                      <w:highlight w:val="none"/>
                      <w:lang w:val="en-US" w:eastAsia="zh-CN"/>
                    </w:rPr>
                    <w:t>108.45</w:t>
                  </w:r>
                </w:p>
              </w:tc>
            </w:tr>
          </w:tbl>
          <w:p w14:paraId="1A084BEB">
            <w:pPr>
              <w:pStyle w:val="2"/>
              <w:rPr>
                <w:color w:val="auto"/>
                <w:highlight w:val="none"/>
              </w:rPr>
            </w:pPr>
          </w:p>
        </w:tc>
      </w:tr>
    </w:tbl>
    <w:p w14:paraId="205AF72A">
      <w:pPr>
        <w:pStyle w:val="4"/>
        <w:numPr>
          <w:ilvl w:val="0"/>
          <w:numId w:val="5"/>
        </w:numPr>
        <w:jc w:val="center"/>
        <w:rPr>
          <w:color w:val="auto"/>
          <w:highlight w:val="none"/>
        </w:rPr>
        <w:sectPr>
          <w:pgSz w:w="11906" w:h="16838"/>
          <w:pgMar w:top="1440" w:right="1800" w:bottom="1440" w:left="1800" w:header="851" w:footer="992" w:gutter="0"/>
          <w:pgNumType w:fmt="numberInDash"/>
          <w:cols w:space="720" w:num="1"/>
          <w:docGrid w:type="lines" w:linePitch="312" w:charSpace="0"/>
        </w:sectPr>
      </w:pPr>
    </w:p>
    <w:p w14:paraId="5CC8D887">
      <w:pPr>
        <w:pStyle w:val="4"/>
        <w:jc w:val="center"/>
        <w:rPr>
          <w:color w:val="auto"/>
          <w:highlight w:val="none"/>
        </w:rPr>
      </w:pPr>
      <w:bookmarkStart w:id="42" w:name="_Toc15009"/>
      <w:r>
        <w:rPr>
          <w:color w:val="auto"/>
          <w:highlight w:val="none"/>
        </w:rPr>
        <w:t>六、</w:t>
      </w:r>
      <w:r>
        <w:rPr>
          <w:rFonts w:hint="eastAsia"/>
          <w:color w:val="auto"/>
          <w:highlight w:val="none"/>
        </w:rPr>
        <w:t>生态环境保护措施监督检查清单</w:t>
      </w:r>
      <w:bookmarkEnd w:id="42"/>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575"/>
        <w:gridCol w:w="963"/>
        <w:gridCol w:w="3506"/>
        <w:gridCol w:w="1571"/>
      </w:tblGrid>
      <w:tr w14:paraId="618B62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481" w:type="pct"/>
            <w:vMerge w:val="restart"/>
            <w:tcBorders>
              <w:top w:val="single" w:color="auto" w:sz="12" w:space="0"/>
              <w:bottom w:val="single" w:color="auto" w:sz="4" w:space="0"/>
              <w:right w:val="single" w:color="auto" w:sz="4" w:space="0"/>
              <w:tl2br w:val="single" w:color="auto" w:sz="4" w:space="0"/>
            </w:tcBorders>
            <w:tcMar>
              <w:left w:w="57" w:type="dxa"/>
              <w:right w:w="57" w:type="dxa"/>
            </w:tcMar>
            <w:vAlign w:val="center"/>
          </w:tcPr>
          <w:p w14:paraId="20279DD1">
            <w:pPr>
              <w:adjustRightInd w:val="0"/>
              <w:spacing w:line="240" w:lineRule="auto"/>
              <w:ind w:firstLine="0" w:firstLineChars="0"/>
              <w:jc w:val="right"/>
              <w:rPr>
                <w:b/>
                <w:bCs/>
                <w:color w:val="auto"/>
                <w:sz w:val="21"/>
                <w:szCs w:val="21"/>
                <w:highlight w:val="none"/>
              </w:rPr>
            </w:pPr>
            <w:r>
              <w:rPr>
                <w:b/>
                <w:bCs/>
                <w:color w:val="auto"/>
                <w:sz w:val="21"/>
                <w:szCs w:val="21"/>
                <w:highlight w:val="none"/>
              </w:rPr>
              <w:t>内容</w:t>
            </w:r>
          </w:p>
          <w:p w14:paraId="2ADE2E8C">
            <w:pPr>
              <w:adjustRightInd w:val="0"/>
              <w:spacing w:line="240" w:lineRule="auto"/>
              <w:ind w:firstLine="0" w:firstLineChars="0"/>
              <w:rPr>
                <w:b/>
                <w:bCs/>
                <w:color w:val="auto"/>
                <w:sz w:val="21"/>
                <w:szCs w:val="21"/>
                <w:highlight w:val="none"/>
              </w:rPr>
            </w:pPr>
            <w:r>
              <w:rPr>
                <w:b/>
                <w:bCs/>
                <w:color w:val="auto"/>
                <w:sz w:val="21"/>
                <w:szCs w:val="21"/>
                <w:highlight w:val="none"/>
              </w:rPr>
              <w:t>要素</w:t>
            </w:r>
          </w:p>
        </w:tc>
        <w:tc>
          <w:tcPr>
            <w:tcW w:w="1506" w:type="pct"/>
            <w:gridSpan w:val="2"/>
            <w:tcBorders>
              <w:left w:val="single" w:color="auto" w:sz="4" w:space="0"/>
              <w:tl2br w:val="nil"/>
              <w:tr2bl w:val="nil"/>
            </w:tcBorders>
            <w:tcMar>
              <w:left w:w="57" w:type="dxa"/>
              <w:right w:w="57" w:type="dxa"/>
            </w:tcMar>
            <w:vAlign w:val="center"/>
          </w:tcPr>
          <w:p w14:paraId="28AC7F9C">
            <w:pPr>
              <w:adjustRightInd w:val="0"/>
              <w:spacing w:line="240" w:lineRule="auto"/>
              <w:ind w:firstLine="0" w:firstLineChars="0"/>
              <w:jc w:val="center"/>
              <w:rPr>
                <w:b/>
                <w:bCs/>
                <w:color w:val="auto"/>
                <w:sz w:val="21"/>
                <w:szCs w:val="21"/>
                <w:highlight w:val="none"/>
              </w:rPr>
            </w:pPr>
            <w:r>
              <w:rPr>
                <w:b/>
                <w:bCs/>
                <w:color w:val="auto"/>
                <w:sz w:val="21"/>
                <w:szCs w:val="21"/>
                <w:highlight w:val="none"/>
              </w:rPr>
              <w:t>施工期</w:t>
            </w:r>
          </w:p>
        </w:tc>
        <w:tc>
          <w:tcPr>
            <w:tcW w:w="3012" w:type="pct"/>
            <w:gridSpan w:val="2"/>
            <w:tcBorders>
              <w:tl2br w:val="nil"/>
              <w:tr2bl w:val="nil"/>
            </w:tcBorders>
            <w:tcMar>
              <w:left w:w="57" w:type="dxa"/>
              <w:right w:w="57" w:type="dxa"/>
            </w:tcMar>
            <w:vAlign w:val="center"/>
          </w:tcPr>
          <w:p w14:paraId="7CA859D6">
            <w:pPr>
              <w:adjustRightInd w:val="0"/>
              <w:spacing w:line="240" w:lineRule="auto"/>
              <w:ind w:firstLine="0" w:firstLineChars="0"/>
              <w:jc w:val="center"/>
              <w:rPr>
                <w:b/>
                <w:bCs/>
                <w:color w:val="auto"/>
                <w:sz w:val="21"/>
                <w:szCs w:val="21"/>
                <w:highlight w:val="none"/>
              </w:rPr>
            </w:pPr>
            <w:r>
              <w:rPr>
                <w:b/>
                <w:bCs/>
                <w:color w:val="auto"/>
                <w:sz w:val="21"/>
                <w:szCs w:val="21"/>
                <w:highlight w:val="none"/>
              </w:rPr>
              <w:t>运营期</w:t>
            </w:r>
          </w:p>
        </w:tc>
      </w:tr>
      <w:tr w14:paraId="2F816F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481" w:type="pct"/>
            <w:vMerge w:val="continue"/>
            <w:tcBorders>
              <w:top w:val="single" w:color="auto" w:sz="12" w:space="0"/>
              <w:bottom w:val="single" w:color="auto" w:sz="4" w:space="0"/>
              <w:right w:val="single" w:color="auto" w:sz="4" w:space="0"/>
              <w:tl2br w:val="nil"/>
              <w:tr2bl w:val="nil"/>
            </w:tcBorders>
            <w:tcMar>
              <w:left w:w="57" w:type="dxa"/>
              <w:right w:w="57" w:type="dxa"/>
            </w:tcMar>
            <w:vAlign w:val="center"/>
          </w:tcPr>
          <w:p w14:paraId="3B526B2A">
            <w:pPr>
              <w:adjustRightInd w:val="0"/>
              <w:spacing w:line="240" w:lineRule="auto"/>
              <w:ind w:firstLine="0" w:firstLineChars="0"/>
              <w:rPr>
                <w:b/>
                <w:bCs/>
                <w:color w:val="auto"/>
                <w:sz w:val="21"/>
                <w:szCs w:val="21"/>
                <w:highlight w:val="none"/>
              </w:rPr>
            </w:pPr>
          </w:p>
        </w:tc>
        <w:tc>
          <w:tcPr>
            <w:tcW w:w="934" w:type="pct"/>
            <w:tcBorders>
              <w:left w:val="single" w:color="auto" w:sz="4" w:space="0"/>
              <w:tl2br w:val="nil"/>
              <w:tr2bl w:val="nil"/>
            </w:tcBorders>
            <w:tcMar>
              <w:left w:w="57" w:type="dxa"/>
              <w:right w:w="57" w:type="dxa"/>
            </w:tcMar>
            <w:vAlign w:val="center"/>
          </w:tcPr>
          <w:p w14:paraId="63E5ED18">
            <w:pPr>
              <w:adjustRightInd w:val="0"/>
              <w:spacing w:line="240" w:lineRule="auto"/>
              <w:ind w:firstLine="0" w:firstLineChars="0"/>
              <w:jc w:val="center"/>
              <w:rPr>
                <w:b/>
                <w:bCs/>
                <w:color w:val="auto"/>
                <w:sz w:val="21"/>
                <w:szCs w:val="21"/>
                <w:highlight w:val="none"/>
              </w:rPr>
            </w:pPr>
            <w:r>
              <w:rPr>
                <w:b/>
                <w:bCs/>
                <w:color w:val="auto"/>
                <w:sz w:val="21"/>
                <w:szCs w:val="21"/>
                <w:highlight w:val="none"/>
              </w:rPr>
              <w:t>环境保护措施</w:t>
            </w:r>
          </w:p>
        </w:tc>
        <w:tc>
          <w:tcPr>
            <w:tcW w:w="571" w:type="pct"/>
            <w:tcBorders>
              <w:tl2br w:val="nil"/>
              <w:tr2bl w:val="nil"/>
            </w:tcBorders>
            <w:tcMar>
              <w:left w:w="57" w:type="dxa"/>
              <w:right w:w="57" w:type="dxa"/>
            </w:tcMar>
            <w:vAlign w:val="center"/>
          </w:tcPr>
          <w:p w14:paraId="06C58C76">
            <w:pPr>
              <w:adjustRightInd w:val="0"/>
              <w:spacing w:line="240" w:lineRule="auto"/>
              <w:ind w:firstLine="0" w:firstLineChars="0"/>
              <w:jc w:val="center"/>
              <w:rPr>
                <w:b/>
                <w:bCs/>
                <w:color w:val="auto"/>
                <w:sz w:val="21"/>
                <w:szCs w:val="21"/>
                <w:highlight w:val="none"/>
              </w:rPr>
            </w:pPr>
            <w:r>
              <w:rPr>
                <w:b/>
                <w:bCs/>
                <w:color w:val="auto"/>
                <w:sz w:val="21"/>
                <w:szCs w:val="21"/>
                <w:highlight w:val="none"/>
              </w:rPr>
              <w:t>验收要求</w:t>
            </w:r>
          </w:p>
        </w:tc>
        <w:tc>
          <w:tcPr>
            <w:tcW w:w="2080" w:type="pct"/>
            <w:tcBorders>
              <w:tl2br w:val="nil"/>
              <w:tr2bl w:val="nil"/>
            </w:tcBorders>
            <w:tcMar>
              <w:left w:w="57" w:type="dxa"/>
              <w:right w:w="57" w:type="dxa"/>
            </w:tcMar>
            <w:vAlign w:val="center"/>
          </w:tcPr>
          <w:p w14:paraId="63AA3D11">
            <w:pPr>
              <w:adjustRightInd w:val="0"/>
              <w:spacing w:line="240" w:lineRule="auto"/>
              <w:ind w:firstLine="0" w:firstLineChars="0"/>
              <w:jc w:val="center"/>
              <w:rPr>
                <w:b/>
                <w:bCs/>
                <w:color w:val="auto"/>
                <w:sz w:val="21"/>
                <w:szCs w:val="21"/>
                <w:highlight w:val="none"/>
              </w:rPr>
            </w:pPr>
            <w:r>
              <w:rPr>
                <w:b/>
                <w:bCs/>
                <w:color w:val="auto"/>
                <w:sz w:val="21"/>
                <w:szCs w:val="21"/>
                <w:highlight w:val="none"/>
              </w:rPr>
              <w:t>环境保护措施</w:t>
            </w:r>
          </w:p>
        </w:tc>
        <w:tc>
          <w:tcPr>
            <w:tcW w:w="932" w:type="pct"/>
            <w:tcBorders>
              <w:tl2br w:val="nil"/>
              <w:tr2bl w:val="nil"/>
            </w:tcBorders>
            <w:tcMar>
              <w:left w:w="57" w:type="dxa"/>
              <w:right w:w="57" w:type="dxa"/>
            </w:tcMar>
            <w:vAlign w:val="center"/>
          </w:tcPr>
          <w:p w14:paraId="14F5A9D8">
            <w:pPr>
              <w:adjustRightInd w:val="0"/>
              <w:spacing w:line="240" w:lineRule="auto"/>
              <w:ind w:firstLine="0" w:firstLineChars="0"/>
              <w:jc w:val="center"/>
              <w:rPr>
                <w:b/>
                <w:bCs/>
                <w:color w:val="auto"/>
                <w:sz w:val="21"/>
                <w:szCs w:val="21"/>
                <w:highlight w:val="none"/>
              </w:rPr>
            </w:pPr>
            <w:r>
              <w:rPr>
                <w:b/>
                <w:bCs/>
                <w:color w:val="auto"/>
                <w:sz w:val="21"/>
                <w:szCs w:val="21"/>
                <w:highlight w:val="none"/>
              </w:rPr>
              <w:t>验收要求</w:t>
            </w:r>
          </w:p>
        </w:tc>
      </w:tr>
      <w:tr w14:paraId="7722F7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tcBorders>
              <w:top w:val="single" w:color="auto" w:sz="4" w:space="0"/>
              <w:tl2br w:val="nil"/>
              <w:tr2bl w:val="nil"/>
            </w:tcBorders>
            <w:tcMar>
              <w:left w:w="57" w:type="dxa"/>
              <w:right w:w="57" w:type="dxa"/>
            </w:tcMar>
            <w:vAlign w:val="center"/>
          </w:tcPr>
          <w:p w14:paraId="13ABDFE0">
            <w:pPr>
              <w:adjustRightInd w:val="0"/>
              <w:spacing w:line="240" w:lineRule="auto"/>
              <w:ind w:firstLine="0" w:firstLineChars="0"/>
              <w:jc w:val="center"/>
              <w:rPr>
                <w:color w:val="auto"/>
                <w:sz w:val="21"/>
                <w:szCs w:val="21"/>
                <w:highlight w:val="none"/>
              </w:rPr>
            </w:pPr>
            <w:r>
              <w:rPr>
                <w:color w:val="auto"/>
                <w:sz w:val="21"/>
                <w:szCs w:val="21"/>
                <w:highlight w:val="none"/>
              </w:rPr>
              <w:t>陆生生态</w:t>
            </w:r>
          </w:p>
        </w:tc>
        <w:tc>
          <w:tcPr>
            <w:tcW w:w="934" w:type="pct"/>
            <w:tcBorders>
              <w:tl2br w:val="nil"/>
              <w:tr2bl w:val="nil"/>
            </w:tcBorders>
            <w:tcMar>
              <w:left w:w="57" w:type="dxa"/>
              <w:right w:w="57" w:type="dxa"/>
            </w:tcMar>
            <w:vAlign w:val="center"/>
          </w:tcPr>
          <w:p w14:paraId="573C73E0">
            <w:pPr>
              <w:adjustRightInd w:val="0"/>
              <w:spacing w:line="240" w:lineRule="auto"/>
              <w:ind w:firstLine="0" w:firstLineChars="0"/>
              <w:jc w:val="both"/>
              <w:rPr>
                <w:color w:val="auto"/>
                <w:sz w:val="21"/>
                <w:szCs w:val="21"/>
                <w:highlight w:val="none"/>
              </w:rPr>
            </w:pPr>
            <w:r>
              <w:rPr>
                <w:color w:val="auto"/>
                <w:sz w:val="21"/>
                <w:szCs w:val="21"/>
                <w:highlight w:val="none"/>
              </w:rPr>
              <w:t>（1）严格控制施工扰动面积，尽量减少施工期对原地表植被的破坏；</w:t>
            </w:r>
          </w:p>
          <w:p w14:paraId="056B2628">
            <w:pPr>
              <w:adjustRightInd w:val="0"/>
              <w:spacing w:line="240" w:lineRule="auto"/>
              <w:ind w:firstLine="0" w:firstLineChars="0"/>
              <w:jc w:val="both"/>
              <w:rPr>
                <w:color w:val="auto"/>
                <w:sz w:val="21"/>
                <w:szCs w:val="21"/>
                <w:highlight w:val="none"/>
              </w:rPr>
            </w:pPr>
            <w:r>
              <w:rPr>
                <w:color w:val="auto"/>
                <w:sz w:val="21"/>
                <w:szCs w:val="21"/>
                <w:highlight w:val="none"/>
              </w:rPr>
              <w:t>（2）加强对施工人员的管理</w:t>
            </w:r>
            <w:r>
              <w:rPr>
                <w:rFonts w:hint="eastAsia"/>
                <w:color w:val="auto"/>
                <w:sz w:val="21"/>
                <w:szCs w:val="21"/>
                <w:highlight w:val="none"/>
                <w:lang w:eastAsia="zh-CN"/>
              </w:rPr>
              <w:t>，</w:t>
            </w:r>
            <w:r>
              <w:rPr>
                <w:rFonts w:hint="eastAsia"/>
                <w:color w:val="auto"/>
                <w:sz w:val="21"/>
                <w:szCs w:val="21"/>
                <w:highlight w:val="none"/>
              </w:rPr>
              <w:t>须严格控制施工范围，严禁超计划占地，</w:t>
            </w:r>
            <w:r>
              <w:rPr>
                <w:color w:val="auto"/>
                <w:sz w:val="21"/>
                <w:szCs w:val="21"/>
                <w:highlight w:val="none"/>
              </w:rPr>
              <w:t>严禁施工人员乱砍、滥伐，以及猎杀野生动物等行为；</w:t>
            </w:r>
          </w:p>
          <w:p w14:paraId="40E8185B">
            <w:pPr>
              <w:adjustRightInd w:val="0"/>
              <w:spacing w:line="240" w:lineRule="auto"/>
              <w:ind w:firstLine="0" w:firstLineChars="0"/>
              <w:jc w:val="both"/>
              <w:rPr>
                <w:color w:val="auto"/>
                <w:sz w:val="21"/>
                <w:szCs w:val="21"/>
                <w:highlight w:val="none"/>
              </w:rPr>
            </w:pPr>
            <w:r>
              <w:rPr>
                <w:color w:val="auto"/>
                <w:sz w:val="21"/>
                <w:szCs w:val="21"/>
                <w:highlight w:val="none"/>
              </w:rPr>
              <w:t>（3）施工时，做好施工区临时截</w:t>
            </w:r>
            <w:r>
              <w:rPr>
                <w:rFonts w:hint="eastAsia"/>
                <w:color w:val="auto"/>
                <w:sz w:val="21"/>
                <w:szCs w:val="21"/>
                <w:highlight w:val="none"/>
              </w:rPr>
              <w:t>（</w:t>
            </w:r>
            <w:r>
              <w:rPr>
                <w:color w:val="auto"/>
                <w:sz w:val="21"/>
                <w:szCs w:val="21"/>
                <w:highlight w:val="none"/>
              </w:rPr>
              <w:t>排</w:t>
            </w:r>
            <w:r>
              <w:rPr>
                <w:rFonts w:hint="eastAsia"/>
                <w:color w:val="auto"/>
                <w:sz w:val="21"/>
                <w:szCs w:val="21"/>
                <w:highlight w:val="none"/>
              </w:rPr>
              <w:t>）</w:t>
            </w:r>
            <w:r>
              <w:rPr>
                <w:color w:val="auto"/>
                <w:sz w:val="21"/>
                <w:szCs w:val="21"/>
                <w:highlight w:val="none"/>
              </w:rPr>
              <w:t>水沟的设置，并避免在暴雨天气进行施工，减少水土流失量。</w:t>
            </w:r>
          </w:p>
          <w:p w14:paraId="0F784011">
            <w:pPr>
              <w:adjustRightInd w:val="0"/>
              <w:spacing w:line="240" w:lineRule="auto"/>
              <w:ind w:firstLine="0" w:firstLineChars="0"/>
              <w:jc w:val="both"/>
              <w:rPr>
                <w:color w:val="auto"/>
                <w:sz w:val="21"/>
                <w:szCs w:val="21"/>
                <w:highlight w:val="none"/>
              </w:rPr>
            </w:pPr>
            <w:r>
              <w:rPr>
                <w:rFonts w:hint="eastAsia"/>
                <w:color w:val="auto"/>
                <w:sz w:val="21"/>
                <w:szCs w:val="21"/>
                <w:highlight w:val="none"/>
              </w:rPr>
              <w:t>（4）严格执行水土保持方案提出的水土流失防治措施。</w:t>
            </w:r>
          </w:p>
        </w:tc>
        <w:tc>
          <w:tcPr>
            <w:tcW w:w="571" w:type="pct"/>
            <w:tcBorders>
              <w:tl2br w:val="nil"/>
              <w:tr2bl w:val="nil"/>
            </w:tcBorders>
            <w:tcMar>
              <w:left w:w="57" w:type="dxa"/>
              <w:right w:w="57" w:type="dxa"/>
            </w:tcMar>
            <w:vAlign w:val="center"/>
          </w:tcPr>
          <w:p w14:paraId="10C5DB11">
            <w:pPr>
              <w:adjustRightInd w:val="0"/>
              <w:spacing w:line="240" w:lineRule="auto"/>
              <w:ind w:firstLine="0" w:firstLineChars="0"/>
              <w:jc w:val="center"/>
              <w:rPr>
                <w:color w:val="auto"/>
                <w:sz w:val="21"/>
                <w:szCs w:val="21"/>
                <w:highlight w:val="none"/>
              </w:rPr>
            </w:pPr>
            <w:r>
              <w:rPr>
                <w:rFonts w:hint="eastAsia"/>
                <w:color w:val="auto"/>
                <w:sz w:val="21"/>
                <w:szCs w:val="21"/>
                <w:highlight w:val="none"/>
              </w:rPr>
              <w:t>施工中不破坏工程占地区外的植被，施工期禁止捕杀野生动物</w:t>
            </w:r>
            <w:r>
              <w:rPr>
                <w:rFonts w:hint="eastAsia"/>
                <w:color w:val="auto"/>
                <w:sz w:val="21"/>
                <w:szCs w:val="21"/>
                <w:highlight w:val="none"/>
                <w:lang w:eastAsia="zh-CN"/>
              </w:rPr>
              <w:t>，</w:t>
            </w:r>
            <w:r>
              <w:rPr>
                <w:color w:val="auto"/>
                <w:sz w:val="21"/>
                <w:szCs w:val="21"/>
                <w:highlight w:val="none"/>
              </w:rPr>
              <w:t>未加重项目区水土流失</w:t>
            </w:r>
          </w:p>
        </w:tc>
        <w:tc>
          <w:tcPr>
            <w:tcW w:w="2080" w:type="pct"/>
            <w:tcBorders>
              <w:tl2br w:val="nil"/>
              <w:tr2bl w:val="nil"/>
            </w:tcBorders>
            <w:tcMar>
              <w:left w:w="57" w:type="dxa"/>
              <w:right w:w="57" w:type="dxa"/>
            </w:tcMar>
            <w:vAlign w:val="center"/>
          </w:tcPr>
          <w:p w14:paraId="12BAA52D">
            <w:pPr>
              <w:adjustRightInd w:val="0"/>
              <w:spacing w:line="240" w:lineRule="auto"/>
              <w:ind w:firstLine="0" w:firstLineChars="0"/>
              <w:jc w:val="both"/>
              <w:rPr>
                <w:b/>
                <w:bCs/>
                <w:color w:val="auto"/>
                <w:sz w:val="21"/>
                <w:szCs w:val="21"/>
                <w:highlight w:val="none"/>
              </w:rPr>
            </w:pPr>
            <w:r>
              <w:rPr>
                <w:b/>
                <w:bCs/>
                <w:color w:val="auto"/>
                <w:sz w:val="21"/>
                <w:szCs w:val="21"/>
                <w:highlight w:val="none"/>
              </w:rPr>
              <w:t>（1）土地利用影响保护措施</w:t>
            </w:r>
          </w:p>
          <w:p w14:paraId="1876BB19">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1 \* GB3 \* MERGEFORMAT </w:instrText>
            </w:r>
            <w:r>
              <w:rPr>
                <w:color w:val="auto"/>
                <w:sz w:val="21"/>
                <w:szCs w:val="21"/>
                <w:highlight w:val="none"/>
              </w:rPr>
              <w:fldChar w:fldCharType="separate"/>
            </w:r>
            <w:r>
              <w:rPr>
                <w:rFonts w:hint="eastAsia"/>
                <w:color w:val="auto"/>
                <w:sz w:val="21"/>
                <w:szCs w:val="21"/>
                <w:highlight w:val="none"/>
              </w:rPr>
              <w:t>①</w:t>
            </w:r>
            <w:r>
              <w:rPr>
                <w:color w:val="auto"/>
                <w:sz w:val="21"/>
                <w:szCs w:val="21"/>
                <w:highlight w:val="none"/>
              </w:rPr>
              <w:fldChar w:fldCharType="end"/>
            </w:r>
            <w:r>
              <w:rPr>
                <w:color w:val="auto"/>
                <w:sz w:val="21"/>
                <w:szCs w:val="21"/>
                <w:highlight w:val="none"/>
              </w:rPr>
              <w:t>开采过程中禁止随意侵占用地红线范围以外的土地，并与土地使用权所有方做好协调工作，避免因工程占地引发纠纷。</w:t>
            </w:r>
          </w:p>
          <w:p w14:paraId="092B6D61">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2 \* GB3 \* MERGEFORMAT </w:instrText>
            </w:r>
            <w:r>
              <w:rPr>
                <w:color w:val="auto"/>
                <w:sz w:val="21"/>
                <w:szCs w:val="21"/>
                <w:highlight w:val="none"/>
              </w:rPr>
              <w:fldChar w:fldCharType="separate"/>
            </w:r>
            <w:r>
              <w:rPr>
                <w:rFonts w:hint="eastAsia"/>
                <w:color w:val="auto"/>
                <w:sz w:val="21"/>
                <w:szCs w:val="21"/>
                <w:highlight w:val="none"/>
              </w:rPr>
              <w:t>②</w:t>
            </w:r>
            <w:r>
              <w:rPr>
                <w:color w:val="auto"/>
                <w:sz w:val="21"/>
                <w:szCs w:val="21"/>
                <w:highlight w:val="none"/>
              </w:rPr>
              <w:fldChar w:fldCharType="end"/>
            </w:r>
            <w:r>
              <w:rPr>
                <w:color w:val="auto"/>
                <w:sz w:val="21"/>
                <w:szCs w:val="21"/>
                <w:highlight w:val="none"/>
              </w:rPr>
              <w:t>矿山开采过程中，采用边开采边治理的方式对矿山进行绿化恢复。</w:t>
            </w:r>
          </w:p>
          <w:p w14:paraId="2BFCC5FB">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3 \* GB3 \* MERGEFORMAT </w:instrText>
            </w:r>
            <w:r>
              <w:rPr>
                <w:color w:val="auto"/>
                <w:sz w:val="21"/>
                <w:szCs w:val="21"/>
                <w:highlight w:val="none"/>
              </w:rPr>
              <w:fldChar w:fldCharType="separate"/>
            </w:r>
            <w:r>
              <w:rPr>
                <w:rFonts w:hint="eastAsia"/>
                <w:color w:val="auto"/>
                <w:sz w:val="21"/>
                <w:szCs w:val="21"/>
                <w:highlight w:val="none"/>
              </w:rPr>
              <w:t>③</w:t>
            </w:r>
            <w:r>
              <w:rPr>
                <w:color w:val="auto"/>
                <w:sz w:val="21"/>
                <w:szCs w:val="21"/>
                <w:highlight w:val="none"/>
              </w:rPr>
              <w:fldChar w:fldCharType="end"/>
            </w:r>
            <w:r>
              <w:rPr>
                <w:color w:val="auto"/>
                <w:sz w:val="21"/>
                <w:szCs w:val="21"/>
                <w:highlight w:val="none"/>
              </w:rPr>
              <w:t>加强矿山的绿化工作，矿山开采结束后做好矿山绿化恢复工作，尽可能恢复原有土地的使用功能。</w:t>
            </w:r>
          </w:p>
          <w:p w14:paraId="0DC65A05">
            <w:pPr>
              <w:adjustRightInd w:val="0"/>
              <w:spacing w:line="240" w:lineRule="auto"/>
              <w:ind w:firstLine="0" w:firstLineChars="0"/>
              <w:jc w:val="both"/>
              <w:rPr>
                <w:b/>
                <w:bCs/>
                <w:color w:val="auto"/>
                <w:sz w:val="21"/>
                <w:szCs w:val="21"/>
                <w:highlight w:val="none"/>
              </w:rPr>
            </w:pPr>
            <w:r>
              <w:rPr>
                <w:b/>
                <w:bCs/>
                <w:color w:val="auto"/>
                <w:sz w:val="21"/>
                <w:szCs w:val="21"/>
                <w:highlight w:val="none"/>
              </w:rPr>
              <w:t>（2）植被影响防护措施</w:t>
            </w:r>
          </w:p>
          <w:p w14:paraId="0DD419F5">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1 \* GB3 \* MERGEFORMAT </w:instrText>
            </w:r>
            <w:r>
              <w:rPr>
                <w:color w:val="auto"/>
                <w:sz w:val="21"/>
                <w:szCs w:val="21"/>
                <w:highlight w:val="none"/>
              </w:rPr>
              <w:fldChar w:fldCharType="separate"/>
            </w:r>
            <w:r>
              <w:rPr>
                <w:color w:val="auto"/>
                <w:sz w:val="21"/>
                <w:szCs w:val="21"/>
                <w:highlight w:val="none"/>
              </w:rPr>
              <w:t>①</w:t>
            </w:r>
            <w:r>
              <w:rPr>
                <w:color w:val="auto"/>
                <w:sz w:val="21"/>
                <w:szCs w:val="21"/>
                <w:highlight w:val="none"/>
              </w:rPr>
              <w:fldChar w:fldCharType="end"/>
            </w:r>
            <w:r>
              <w:rPr>
                <w:color w:val="auto"/>
                <w:sz w:val="21"/>
                <w:szCs w:val="21"/>
                <w:highlight w:val="none"/>
              </w:rPr>
              <w:t>报告要求建设单位在矿山开采中严格控制占地红线，严禁工作人员砍伐、破坏工程区外的植被，严禁在征地范围外堆渣、堆料等；</w:t>
            </w:r>
          </w:p>
          <w:p w14:paraId="39F2FD9B">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2 \* GB3 \* MERGEFORMAT </w:instrText>
            </w:r>
            <w:r>
              <w:rPr>
                <w:color w:val="auto"/>
                <w:sz w:val="21"/>
                <w:szCs w:val="21"/>
                <w:highlight w:val="none"/>
              </w:rPr>
              <w:fldChar w:fldCharType="separate"/>
            </w:r>
            <w:r>
              <w:rPr>
                <w:color w:val="auto"/>
                <w:sz w:val="21"/>
                <w:szCs w:val="21"/>
                <w:highlight w:val="none"/>
              </w:rPr>
              <w:t>②</w:t>
            </w:r>
            <w:r>
              <w:rPr>
                <w:color w:val="auto"/>
                <w:sz w:val="21"/>
                <w:szCs w:val="21"/>
                <w:highlight w:val="none"/>
              </w:rPr>
              <w:fldChar w:fldCharType="end"/>
            </w:r>
            <w:r>
              <w:rPr>
                <w:color w:val="auto"/>
                <w:sz w:val="21"/>
                <w:szCs w:val="21"/>
                <w:highlight w:val="none"/>
              </w:rPr>
              <w:t>加强管理及对工作人员进行环保宣传教育；</w:t>
            </w:r>
          </w:p>
          <w:p w14:paraId="7502F231">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3 \* GB3 \* MERGEFORMAT </w:instrText>
            </w:r>
            <w:r>
              <w:rPr>
                <w:color w:val="auto"/>
                <w:sz w:val="21"/>
                <w:szCs w:val="21"/>
                <w:highlight w:val="none"/>
              </w:rPr>
              <w:fldChar w:fldCharType="separate"/>
            </w:r>
            <w:r>
              <w:rPr>
                <w:color w:val="auto"/>
                <w:sz w:val="21"/>
                <w:szCs w:val="21"/>
                <w:highlight w:val="none"/>
              </w:rPr>
              <w:t>③</w:t>
            </w:r>
            <w:r>
              <w:rPr>
                <w:color w:val="auto"/>
                <w:sz w:val="21"/>
                <w:szCs w:val="21"/>
                <w:highlight w:val="none"/>
              </w:rPr>
              <w:fldChar w:fldCharType="end"/>
            </w:r>
            <w:r>
              <w:rPr>
                <w:color w:val="auto"/>
                <w:sz w:val="21"/>
                <w:szCs w:val="21"/>
                <w:highlight w:val="none"/>
              </w:rPr>
              <w:t>加强占地区周边植物的保护，对剥离表土进行集中堆存后期用于生态恢复；</w:t>
            </w:r>
          </w:p>
          <w:p w14:paraId="268A8B3B">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4 \* GB3 \* MERGEFORMAT </w:instrText>
            </w:r>
            <w:r>
              <w:rPr>
                <w:color w:val="auto"/>
                <w:sz w:val="21"/>
                <w:szCs w:val="21"/>
                <w:highlight w:val="none"/>
              </w:rPr>
              <w:fldChar w:fldCharType="separate"/>
            </w:r>
            <w:r>
              <w:rPr>
                <w:color w:val="auto"/>
                <w:sz w:val="21"/>
                <w:szCs w:val="21"/>
                <w:highlight w:val="none"/>
              </w:rPr>
              <w:t>④</w:t>
            </w:r>
            <w:r>
              <w:rPr>
                <w:color w:val="auto"/>
                <w:sz w:val="21"/>
                <w:szCs w:val="21"/>
                <w:highlight w:val="none"/>
              </w:rPr>
              <w:fldChar w:fldCharType="end"/>
            </w:r>
            <w:r>
              <w:rPr>
                <w:color w:val="auto"/>
                <w:sz w:val="21"/>
                <w:szCs w:val="21"/>
                <w:highlight w:val="none"/>
              </w:rPr>
              <w:t>植被绿化宜就地采集当地植物的种子、幼苗进行种植，不能采用入境植物；</w:t>
            </w:r>
          </w:p>
          <w:p w14:paraId="497B18AF">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5 \* GB3 \* MERGEFORMAT </w:instrText>
            </w:r>
            <w:r>
              <w:rPr>
                <w:color w:val="auto"/>
                <w:sz w:val="21"/>
                <w:szCs w:val="21"/>
                <w:highlight w:val="none"/>
              </w:rPr>
              <w:fldChar w:fldCharType="separate"/>
            </w:r>
            <w:r>
              <w:rPr>
                <w:color w:val="auto"/>
                <w:sz w:val="21"/>
                <w:szCs w:val="21"/>
                <w:highlight w:val="none"/>
              </w:rPr>
              <w:t>⑤</w:t>
            </w:r>
            <w:r>
              <w:rPr>
                <w:color w:val="auto"/>
                <w:sz w:val="21"/>
                <w:szCs w:val="21"/>
                <w:highlight w:val="none"/>
              </w:rPr>
              <w:fldChar w:fldCharType="end"/>
            </w:r>
            <w:r>
              <w:rPr>
                <w:color w:val="auto"/>
                <w:sz w:val="21"/>
                <w:szCs w:val="21"/>
                <w:highlight w:val="none"/>
              </w:rPr>
              <w:t>植被恢复力求创造多样性的生态环境条件，避免过于单一化和人工化，注意乔、灌、草的结合，植被恢复尽可能利用自然条件；</w:t>
            </w:r>
          </w:p>
          <w:p w14:paraId="38C45A3D">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6 \* GB3 \* MERGEFORMAT </w:instrText>
            </w:r>
            <w:r>
              <w:rPr>
                <w:color w:val="auto"/>
                <w:sz w:val="21"/>
                <w:szCs w:val="21"/>
                <w:highlight w:val="none"/>
              </w:rPr>
              <w:fldChar w:fldCharType="separate"/>
            </w:r>
            <w:r>
              <w:rPr>
                <w:color w:val="auto"/>
                <w:sz w:val="21"/>
                <w:szCs w:val="21"/>
                <w:highlight w:val="none"/>
              </w:rPr>
              <w:t>⑥</w:t>
            </w:r>
            <w:r>
              <w:rPr>
                <w:color w:val="auto"/>
                <w:sz w:val="21"/>
                <w:szCs w:val="21"/>
                <w:highlight w:val="none"/>
              </w:rPr>
              <w:fldChar w:fldCharType="end"/>
            </w:r>
            <w:r>
              <w:rPr>
                <w:color w:val="auto"/>
                <w:sz w:val="21"/>
                <w:szCs w:val="21"/>
                <w:highlight w:val="none"/>
              </w:rPr>
              <w:t>建设单位应对项目占地中涉及的林地向相关林业部门办理相关手续，做好项目占用坡耕地的征占地补偿工作；</w:t>
            </w:r>
          </w:p>
          <w:p w14:paraId="4E300651">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7 \* GB3 \* MERGEFORMAT </w:instrText>
            </w:r>
            <w:r>
              <w:rPr>
                <w:color w:val="auto"/>
                <w:sz w:val="21"/>
                <w:szCs w:val="21"/>
                <w:highlight w:val="none"/>
              </w:rPr>
              <w:fldChar w:fldCharType="separate"/>
            </w:r>
            <w:r>
              <w:rPr>
                <w:color w:val="auto"/>
                <w:sz w:val="21"/>
                <w:szCs w:val="21"/>
                <w:highlight w:val="none"/>
              </w:rPr>
              <w:t>⑦</w:t>
            </w:r>
            <w:r>
              <w:rPr>
                <w:color w:val="auto"/>
                <w:sz w:val="21"/>
                <w:szCs w:val="21"/>
                <w:highlight w:val="none"/>
              </w:rPr>
              <w:fldChar w:fldCharType="end"/>
            </w:r>
            <w:r>
              <w:rPr>
                <w:color w:val="auto"/>
                <w:sz w:val="21"/>
                <w:szCs w:val="21"/>
                <w:highlight w:val="none"/>
              </w:rPr>
              <w:t>矿山开采中对采空区采取边开采边治理的措施，对停止使用的采矿区应尽快覆盖土层进行植被恢复，避免采空区长期裸露。</w:t>
            </w:r>
          </w:p>
          <w:p w14:paraId="00850DD7">
            <w:pPr>
              <w:adjustRightInd w:val="0"/>
              <w:spacing w:line="240" w:lineRule="auto"/>
              <w:ind w:firstLine="0" w:firstLineChars="0"/>
              <w:jc w:val="both"/>
              <w:rPr>
                <w:b/>
                <w:bCs/>
                <w:color w:val="auto"/>
                <w:sz w:val="21"/>
                <w:szCs w:val="21"/>
                <w:highlight w:val="none"/>
              </w:rPr>
            </w:pPr>
            <w:r>
              <w:rPr>
                <w:b/>
                <w:bCs/>
                <w:color w:val="auto"/>
                <w:sz w:val="21"/>
                <w:szCs w:val="21"/>
                <w:highlight w:val="none"/>
              </w:rPr>
              <w:t>（3）对野生动物影响防护措施</w:t>
            </w:r>
          </w:p>
          <w:p w14:paraId="3DE5644C">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1 \* GB3 \* MERGEFORMAT </w:instrText>
            </w:r>
            <w:r>
              <w:rPr>
                <w:color w:val="auto"/>
                <w:sz w:val="21"/>
                <w:szCs w:val="21"/>
                <w:highlight w:val="none"/>
              </w:rPr>
              <w:fldChar w:fldCharType="separate"/>
            </w:r>
            <w:r>
              <w:rPr>
                <w:color w:val="auto"/>
                <w:sz w:val="21"/>
                <w:szCs w:val="21"/>
                <w:highlight w:val="none"/>
              </w:rPr>
              <w:t>①</w:t>
            </w:r>
            <w:r>
              <w:rPr>
                <w:color w:val="auto"/>
                <w:sz w:val="21"/>
                <w:szCs w:val="21"/>
                <w:highlight w:val="none"/>
              </w:rPr>
              <w:fldChar w:fldCharType="end"/>
            </w:r>
            <w:r>
              <w:rPr>
                <w:color w:val="auto"/>
                <w:sz w:val="21"/>
                <w:szCs w:val="21"/>
                <w:highlight w:val="none"/>
              </w:rPr>
              <w:t>建设单位应在采矿作业中尽可能降低噪声，以减少对动物的直接伤害；</w:t>
            </w:r>
          </w:p>
          <w:p w14:paraId="17E1381E">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2 \* GB3 \* MERGEFORMAT </w:instrText>
            </w:r>
            <w:r>
              <w:rPr>
                <w:color w:val="auto"/>
                <w:sz w:val="21"/>
                <w:szCs w:val="21"/>
                <w:highlight w:val="none"/>
              </w:rPr>
              <w:fldChar w:fldCharType="separate"/>
            </w:r>
            <w:r>
              <w:rPr>
                <w:color w:val="auto"/>
                <w:sz w:val="21"/>
                <w:szCs w:val="21"/>
                <w:highlight w:val="none"/>
              </w:rPr>
              <w:t>②</w:t>
            </w:r>
            <w:r>
              <w:rPr>
                <w:color w:val="auto"/>
                <w:sz w:val="21"/>
                <w:szCs w:val="21"/>
                <w:highlight w:val="none"/>
              </w:rPr>
              <w:fldChar w:fldCharType="end"/>
            </w:r>
            <w:r>
              <w:rPr>
                <w:color w:val="auto"/>
                <w:sz w:val="21"/>
                <w:szCs w:val="21"/>
                <w:highlight w:val="none"/>
              </w:rPr>
              <w:t>运行期间要注意对占地区周边这些植被的保护，减少对动物栖息地生境的破坏；</w:t>
            </w:r>
          </w:p>
          <w:p w14:paraId="39676CAC">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3 \* GB3 \* MERGEFORMAT </w:instrText>
            </w:r>
            <w:r>
              <w:rPr>
                <w:color w:val="auto"/>
                <w:sz w:val="21"/>
                <w:szCs w:val="21"/>
                <w:highlight w:val="none"/>
              </w:rPr>
              <w:fldChar w:fldCharType="separate"/>
            </w:r>
            <w:r>
              <w:rPr>
                <w:color w:val="auto"/>
                <w:sz w:val="21"/>
                <w:szCs w:val="21"/>
                <w:highlight w:val="none"/>
              </w:rPr>
              <w:t>③</w:t>
            </w:r>
            <w:r>
              <w:rPr>
                <w:color w:val="auto"/>
                <w:sz w:val="21"/>
                <w:szCs w:val="21"/>
                <w:highlight w:val="none"/>
              </w:rPr>
              <w:fldChar w:fldCharType="end"/>
            </w:r>
            <w:r>
              <w:rPr>
                <w:color w:val="auto"/>
                <w:sz w:val="21"/>
                <w:szCs w:val="21"/>
                <w:highlight w:val="none"/>
              </w:rPr>
              <w:t>对工作人员明确规定严禁猎杀野生动物，建立与环境保护有关的奖励惩罚制度，对积极举报违法活动人员给以奖励和隐私保护，对于证据确凿的违法活动者给以严厉惩罚；</w:t>
            </w:r>
          </w:p>
          <w:p w14:paraId="60A919E1">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4 \* GB3 \* MERGEFORMAT </w:instrText>
            </w:r>
            <w:r>
              <w:rPr>
                <w:color w:val="auto"/>
                <w:sz w:val="21"/>
                <w:szCs w:val="21"/>
                <w:highlight w:val="none"/>
              </w:rPr>
              <w:fldChar w:fldCharType="separate"/>
            </w:r>
            <w:r>
              <w:rPr>
                <w:color w:val="auto"/>
                <w:sz w:val="21"/>
                <w:szCs w:val="21"/>
                <w:highlight w:val="none"/>
              </w:rPr>
              <w:t>④</w:t>
            </w:r>
            <w:r>
              <w:rPr>
                <w:color w:val="auto"/>
                <w:sz w:val="21"/>
                <w:szCs w:val="21"/>
                <w:highlight w:val="none"/>
              </w:rPr>
              <w:fldChar w:fldCharType="end"/>
            </w:r>
            <w:r>
              <w:rPr>
                <w:color w:val="auto"/>
                <w:sz w:val="21"/>
                <w:szCs w:val="21"/>
                <w:highlight w:val="none"/>
              </w:rPr>
              <w:t>矿山服务期满后对采矿区以及其他相关区域迹地进行及时绿化恢复，恢复动物生境，并在运输、施工中注意保护野生动物。</w:t>
            </w:r>
          </w:p>
          <w:p w14:paraId="4BEBC8B2">
            <w:pPr>
              <w:adjustRightInd w:val="0"/>
              <w:spacing w:line="240" w:lineRule="auto"/>
              <w:ind w:firstLine="0" w:firstLineChars="0"/>
              <w:jc w:val="both"/>
              <w:rPr>
                <w:b/>
                <w:bCs/>
                <w:color w:val="auto"/>
                <w:sz w:val="21"/>
                <w:szCs w:val="21"/>
                <w:highlight w:val="none"/>
              </w:rPr>
            </w:pPr>
            <w:r>
              <w:rPr>
                <w:b/>
                <w:bCs/>
                <w:color w:val="auto"/>
                <w:sz w:val="21"/>
                <w:szCs w:val="21"/>
                <w:highlight w:val="none"/>
              </w:rPr>
              <w:t>（4）水土流失防治措施</w:t>
            </w:r>
          </w:p>
          <w:p w14:paraId="15EE7B90">
            <w:pPr>
              <w:adjustRightInd w:val="0"/>
              <w:spacing w:line="240" w:lineRule="auto"/>
              <w:ind w:firstLine="0" w:firstLineChars="0"/>
              <w:jc w:val="both"/>
              <w:rPr>
                <w:color w:val="auto"/>
                <w:sz w:val="21"/>
                <w:szCs w:val="21"/>
                <w:highlight w:val="none"/>
              </w:rPr>
            </w:pPr>
            <w:r>
              <w:rPr>
                <w:color w:val="auto"/>
                <w:sz w:val="21"/>
                <w:szCs w:val="21"/>
                <w:highlight w:val="none"/>
              </w:rPr>
              <w:t>项目在开采区周边设置截</w:t>
            </w:r>
            <w:r>
              <w:rPr>
                <w:rFonts w:hint="eastAsia"/>
                <w:color w:val="auto"/>
                <w:sz w:val="21"/>
                <w:szCs w:val="21"/>
                <w:highlight w:val="none"/>
              </w:rPr>
              <w:t>（</w:t>
            </w:r>
            <w:r>
              <w:rPr>
                <w:color w:val="auto"/>
                <w:sz w:val="21"/>
                <w:szCs w:val="21"/>
                <w:highlight w:val="none"/>
              </w:rPr>
              <w:t>排</w:t>
            </w:r>
            <w:r>
              <w:rPr>
                <w:rFonts w:hint="eastAsia"/>
                <w:color w:val="auto"/>
                <w:sz w:val="21"/>
                <w:szCs w:val="21"/>
                <w:highlight w:val="none"/>
              </w:rPr>
              <w:t>）</w:t>
            </w:r>
            <w:r>
              <w:rPr>
                <w:color w:val="auto"/>
                <w:sz w:val="21"/>
                <w:szCs w:val="21"/>
                <w:highlight w:val="none"/>
              </w:rPr>
              <w:t>排水沟、</w:t>
            </w:r>
            <w:r>
              <w:rPr>
                <w:rFonts w:hint="eastAsia"/>
                <w:color w:val="auto"/>
                <w:sz w:val="21"/>
                <w:szCs w:val="21"/>
                <w:highlight w:val="none"/>
                <w:lang w:eastAsia="zh-CN"/>
              </w:rPr>
              <w:t>沉砂池</w:t>
            </w:r>
            <w:r>
              <w:rPr>
                <w:color w:val="auto"/>
                <w:sz w:val="21"/>
                <w:szCs w:val="21"/>
                <w:highlight w:val="none"/>
              </w:rPr>
              <w:t>，有效的减少开采活动造成的新增水土流失。</w:t>
            </w:r>
          </w:p>
          <w:p w14:paraId="09C6B3B6">
            <w:pPr>
              <w:adjustRightInd w:val="0"/>
              <w:spacing w:line="240" w:lineRule="auto"/>
              <w:ind w:firstLine="0" w:firstLineChars="0"/>
              <w:jc w:val="both"/>
              <w:rPr>
                <w:b/>
                <w:bCs/>
                <w:color w:val="auto"/>
                <w:sz w:val="21"/>
                <w:szCs w:val="21"/>
                <w:highlight w:val="none"/>
              </w:rPr>
            </w:pPr>
            <w:r>
              <w:rPr>
                <w:b/>
                <w:bCs/>
                <w:color w:val="auto"/>
                <w:sz w:val="21"/>
                <w:szCs w:val="21"/>
                <w:highlight w:val="none"/>
              </w:rPr>
              <w:t>（5）景观影响防护措施</w:t>
            </w:r>
          </w:p>
          <w:p w14:paraId="01A7E30E">
            <w:pPr>
              <w:adjustRightInd w:val="0"/>
              <w:spacing w:line="240" w:lineRule="auto"/>
              <w:ind w:firstLine="0" w:firstLineChars="0"/>
              <w:jc w:val="both"/>
              <w:rPr>
                <w:color w:val="auto"/>
                <w:sz w:val="21"/>
                <w:szCs w:val="21"/>
                <w:highlight w:val="none"/>
              </w:rPr>
            </w:pPr>
            <w:r>
              <w:rPr>
                <w:color w:val="auto"/>
                <w:sz w:val="21"/>
                <w:szCs w:val="21"/>
                <w:highlight w:val="none"/>
              </w:rPr>
              <w:t>建设单位应严格按照矿山地质环境保护与土地复垦方案进行复垦，通过采取边开采边复垦的方式减轻对景观的影响。</w:t>
            </w:r>
          </w:p>
          <w:p w14:paraId="0A229DF2">
            <w:pPr>
              <w:adjustRightInd w:val="0"/>
              <w:spacing w:line="240" w:lineRule="auto"/>
              <w:ind w:firstLine="0" w:firstLineChars="0"/>
              <w:jc w:val="both"/>
              <w:rPr>
                <w:b/>
                <w:bCs/>
                <w:color w:val="auto"/>
                <w:sz w:val="21"/>
                <w:szCs w:val="21"/>
                <w:highlight w:val="none"/>
              </w:rPr>
            </w:pPr>
            <w:r>
              <w:rPr>
                <w:b/>
                <w:bCs/>
                <w:color w:val="auto"/>
                <w:sz w:val="21"/>
                <w:szCs w:val="21"/>
                <w:highlight w:val="none"/>
              </w:rPr>
              <w:t>（6）对生态系统影响防治措施</w:t>
            </w:r>
          </w:p>
          <w:p w14:paraId="3221F7D0">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1 \* GB3 \* MERGEFORMAT </w:instrText>
            </w:r>
            <w:r>
              <w:rPr>
                <w:color w:val="auto"/>
                <w:sz w:val="21"/>
                <w:szCs w:val="21"/>
                <w:highlight w:val="none"/>
              </w:rPr>
              <w:fldChar w:fldCharType="separate"/>
            </w:r>
            <w:r>
              <w:rPr>
                <w:color w:val="auto"/>
                <w:sz w:val="21"/>
                <w:szCs w:val="21"/>
                <w:highlight w:val="none"/>
              </w:rPr>
              <w:t>①</w:t>
            </w:r>
            <w:r>
              <w:rPr>
                <w:color w:val="auto"/>
                <w:sz w:val="21"/>
                <w:szCs w:val="21"/>
                <w:highlight w:val="none"/>
              </w:rPr>
              <w:fldChar w:fldCharType="end"/>
            </w:r>
            <w:r>
              <w:rPr>
                <w:color w:val="auto"/>
                <w:sz w:val="21"/>
                <w:szCs w:val="21"/>
                <w:highlight w:val="none"/>
              </w:rPr>
              <w:t>闭矿后可对矿山进行植被恢复，加强绿化，尽可能最大绿化面积，减少不利影响。营运中、后期必须进行绿化复垦，恢复矿区生态植被，在此过程中生态系统将逐步恢复到开采前的水平；</w:t>
            </w:r>
          </w:p>
          <w:p w14:paraId="39C1B057">
            <w:pPr>
              <w:adjustRightInd w:val="0"/>
              <w:spacing w:line="240" w:lineRule="auto"/>
              <w:ind w:firstLine="0" w:firstLineChars="0"/>
              <w:jc w:val="both"/>
              <w:rPr>
                <w:color w:val="auto"/>
                <w:sz w:val="21"/>
                <w:szCs w:val="21"/>
                <w:highlight w:val="none"/>
              </w:rPr>
            </w:pPr>
            <w:r>
              <w:rPr>
                <w:color w:val="auto"/>
                <w:sz w:val="21"/>
                <w:szCs w:val="21"/>
                <w:highlight w:val="none"/>
              </w:rPr>
              <w:fldChar w:fldCharType="begin"/>
            </w:r>
            <w:r>
              <w:rPr>
                <w:color w:val="auto"/>
                <w:sz w:val="21"/>
                <w:szCs w:val="21"/>
                <w:highlight w:val="none"/>
              </w:rPr>
              <w:instrText xml:space="preserve"> = 2 \* GB3 \* MERGEFORMAT </w:instrText>
            </w:r>
            <w:r>
              <w:rPr>
                <w:color w:val="auto"/>
                <w:sz w:val="21"/>
                <w:szCs w:val="21"/>
                <w:highlight w:val="none"/>
              </w:rPr>
              <w:fldChar w:fldCharType="separate"/>
            </w:r>
            <w:r>
              <w:rPr>
                <w:color w:val="auto"/>
                <w:sz w:val="21"/>
                <w:szCs w:val="21"/>
                <w:highlight w:val="none"/>
              </w:rPr>
              <w:t>②</w:t>
            </w:r>
            <w:r>
              <w:rPr>
                <w:color w:val="auto"/>
                <w:sz w:val="21"/>
                <w:szCs w:val="21"/>
                <w:highlight w:val="none"/>
              </w:rPr>
              <w:fldChar w:fldCharType="end"/>
            </w:r>
            <w:r>
              <w:rPr>
                <w:color w:val="auto"/>
                <w:sz w:val="21"/>
                <w:szCs w:val="21"/>
                <w:highlight w:val="none"/>
              </w:rPr>
              <w:t>加强矿山人员管理及教育工作，禁止乱砍滥伐、禁止随意捕杀野生动物，严格控制开采活动破挖面积，尽量减少对项目区地表的破坏，维护生态系统的完整性。</w:t>
            </w:r>
          </w:p>
        </w:tc>
        <w:tc>
          <w:tcPr>
            <w:tcW w:w="932" w:type="pct"/>
            <w:tcBorders>
              <w:tl2br w:val="nil"/>
              <w:tr2bl w:val="nil"/>
            </w:tcBorders>
            <w:tcMar>
              <w:left w:w="57" w:type="dxa"/>
              <w:right w:w="57" w:type="dxa"/>
            </w:tcMar>
            <w:vAlign w:val="center"/>
          </w:tcPr>
          <w:p w14:paraId="5819F6EE">
            <w:pPr>
              <w:adjustRightInd w:val="0"/>
              <w:spacing w:line="240" w:lineRule="auto"/>
              <w:ind w:firstLine="0" w:firstLineChars="0"/>
              <w:jc w:val="center"/>
              <w:rPr>
                <w:color w:val="auto"/>
                <w:sz w:val="21"/>
                <w:szCs w:val="21"/>
                <w:highlight w:val="none"/>
              </w:rPr>
            </w:pPr>
            <w:r>
              <w:rPr>
                <w:rFonts w:hint="eastAsia"/>
                <w:color w:val="auto"/>
                <w:sz w:val="21"/>
                <w:szCs w:val="21"/>
                <w:highlight w:val="none"/>
              </w:rPr>
              <w:t>严禁超越矿界开采，严禁工作人员砍伐、破坏工程占地区外的植被。剥离表土用于采空区复垦和植被恢复。项目运营期严禁猎杀野生动物。</w:t>
            </w:r>
          </w:p>
        </w:tc>
      </w:tr>
      <w:tr w14:paraId="3E58F4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tcBorders>
              <w:tl2br w:val="nil"/>
              <w:tr2bl w:val="nil"/>
            </w:tcBorders>
            <w:tcMar>
              <w:left w:w="57" w:type="dxa"/>
              <w:right w:w="57" w:type="dxa"/>
            </w:tcMar>
            <w:vAlign w:val="center"/>
          </w:tcPr>
          <w:p w14:paraId="13727191">
            <w:pPr>
              <w:adjustRightInd w:val="0"/>
              <w:spacing w:line="240" w:lineRule="auto"/>
              <w:ind w:firstLine="0" w:firstLineChars="0"/>
              <w:jc w:val="center"/>
              <w:rPr>
                <w:color w:val="auto"/>
                <w:sz w:val="21"/>
                <w:szCs w:val="21"/>
                <w:highlight w:val="none"/>
              </w:rPr>
            </w:pPr>
            <w:r>
              <w:rPr>
                <w:color w:val="auto"/>
                <w:sz w:val="21"/>
                <w:szCs w:val="21"/>
                <w:highlight w:val="none"/>
              </w:rPr>
              <w:t>水生生态</w:t>
            </w:r>
          </w:p>
        </w:tc>
        <w:tc>
          <w:tcPr>
            <w:tcW w:w="934" w:type="pct"/>
            <w:tcBorders>
              <w:tl2br w:val="nil"/>
              <w:tr2bl w:val="nil"/>
            </w:tcBorders>
            <w:tcMar>
              <w:left w:w="57" w:type="dxa"/>
              <w:right w:w="57" w:type="dxa"/>
            </w:tcMar>
            <w:vAlign w:val="center"/>
          </w:tcPr>
          <w:p w14:paraId="287B7BE7">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571" w:type="pct"/>
            <w:tcBorders>
              <w:tl2br w:val="nil"/>
              <w:tr2bl w:val="nil"/>
            </w:tcBorders>
            <w:tcMar>
              <w:left w:w="57" w:type="dxa"/>
              <w:right w:w="57" w:type="dxa"/>
            </w:tcMar>
            <w:vAlign w:val="center"/>
          </w:tcPr>
          <w:p w14:paraId="244D178C">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2080" w:type="pct"/>
            <w:tcBorders>
              <w:tl2br w:val="nil"/>
              <w:tr2bl w:val="nil"/>
            </w:tcBorders>
            <w:tcMar>
              <w:left w:w="57" w:type="dxa"/>
              <w:right w:w="57" w:type="dxa"/>
            </w:tcMar>
            <w:vAlign w:val="center"/>
          </w:tcPr>
          <w:p w14:paraId="3C8D2C67">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932" w:type="pct"/>
            <w:tcBorders>
              <w:tl2br w:val="nil"/>
              <w:tr2bl w:val="nil"/>
            </w:tcBorders>
            <w:tcMar>
              <w:left w:w="57" w:type="dxa"/>
              <w:right w:w="57" w:type="dxa"/>
            </w:tcMar>
            <w:vAlign w:val="center"/>
          </w:tcPr>
          <w:p w14:paraId="0EED3D65">
            <w:pPr>
              <w:adjustRightInd w:val="0"/>
              <w:spacing w:line="240" w:lineRule="auto"/>
              <w:ind w:firstLine="0" w:firstLineChars="0"/>
              <w:jc w:val="center"/>
              <w:rPr>
                <w:color w:val="auto"/>
                <w:sz w:val="21"/>
                <w:szCs w:val="21"/>
                <w:highlight w:val="none"/>
              </w:rPr>
            </w:pPr>
            <w:r>
              <w:rPr>
                <w:color w:val="auto"/>
                <w:sz w:val="21"/>
                <w:szCs w:val="21"/>
                <w:highlight w:val="none"/>
              </w:rPr>
              <w:t>/</w:t>
            </w:r>
          </w:p>
        </w:tc>
      </w:tr>
      <w:tr w14:paraId="38A49D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481" w:type="pct"/>
            <w:tcBorders>
              <w:tl2br w:val="nil"/>
              <w:tr2bl w:val="nil"/>
            </w:tcBorders>
            <w:tcMar>
              <w:left w:w="57" w:type="dxa"/>
              <w:right w:w="57" w:type="dxa"/>
            </w:tcMar>
            <w:vAlign w:val="center"/>
          </w:tcPr>
          <w:p w14:paraId="759E392C">
            <w:pPr>
              <w:adjustRightInd w:val="0"/>
              <w:spacing w:line="240" w:lineRule="auto"/>
              <w:ind w:firstLine="0" w:firstLineChars="0"/>
              <w:jc w:val="center"/>
              <w:rPr>
                <w:color w:val="auto"/>
                <w:sz w:val="21"/>
                <w:szCs w:val="21"/>
                <w:highlight w:val="none"/>
              </w:rPr>
            </w:pPr>
            <w:r>
              <w:rPr>
                <w:color w:val="auto"/>
                <w:sz w:val="21"/>
                <w:szCs w:val="21"/>
                <w:highlight w:val="none"/>
              </w:rPr>
              <w:t>地表水环境</w:t>
            </w:r>
          </w:p>
        </w:tc>
        <w:tc>
          <w:tcPr>
            <w:tcW w:w="934" w:type="pct"/>
            <w:tcBorders>
              <w:tl2br w:val="nil"/>
              <w:tr2bl w:val="nil"/>
            </w:tcBorders>
            <w:tcMar>
              <w:left w:w="57" w:type="dxa"/>
              <w:right w:w="57" w:type="dxa"/>
            </w:tcMar>
            <w:vAlign w:val="center"/>
          </w:tcPr>
          <w:p w14:paraId="52044099">
            <w:pPr>
              <w:adjustRightInd w:val="0"/>
              <w:spacing w:line="240" w:lineRule="auto"/>
              <w:ind w:firstLine="0" w:firstLineChars="0"/>
              <w:jc w:val="center"/>
              <w:rPr>
                <w:color w:val="auto"/>
                <w:sz w:val="21"/>
                <w:szCs w:val="21"/>
                <w:highlight w:val="none"/>
              </w:rPr>
            </w:pPr>
            <w:r>
              <w:rPr>
                <w:color w:val="auto"/>
                <w:sz w:val="21"/>
                <w:szCs w:val="21"/>
                <w:highlight w:val="none"/>
              </w:rPr>
              <w:t>施工场地设置一个1m</w:t>
            </w:r>
            <w:r>
              <w:rPr>
                <w:color w:val="auto"/>
                <w:sz w:val="21"/>
                <w:szCs w:val="21"/>
                <w:highlight w:val="none"/>
                <w:vertAlign w:val="superscript"/>
              </w:rPr>
              <w:t>3</w:t>
            </w:r>
            <w:r>
              <w:rPr>
                <w:color w:val="auto"/>
                <w:sz w:val="21"/>
                <w:szCs w:val="21"/>
                <w:highlight w:val="none"/>
              </w:rPr>
              <w:t>的临时</w:t>
            </w:r>
            <w:r>
              <w:rPr>
                <w:rFonts w:hint="eastAsia"/>
                <w:color w:val="auto"/>
                <w:sz w:val="21"/>
                <w:szCs w:val="21"/>
                <w:highlight w:val="none"/>
                <w:lang w:eastAsia="zh-CN"/>
              </w:rPr>
              <w:t>沉砂池</w:t>
            </w:r>
            <w:r>
              <w:rPr>
                <w:color w:val="auto"/>
                <w:sz w:val="21"/>
                <w:szCs w:val="21"/>
                <w:highlight w:val="none"/>
              </w:rPr>
              <w:t>沉淀施工废水和施工人员生活</w:t>
            </w:r>
            <w:r>
              <w:rPr>
                <w:rFonts w:hint="eastAsia"/>
                <w:color w:val="auto"/>
                <w:sz w:val="21"/>
                <w:szCs w:val="21"/>
                <w:highlight w:val="none"/>
              </w:rPr>
              <w:t>污水</w:t>
            </w:r>
            <w:r>
              <w:rPr>
                <w:color w:val="auto"/>
                <w:sz w:val="21"/>
                <w:szCs w:val="21"/>
                <w:highlight w:val="none"/>
              </w:rPr>
              <w:t>，沉淀后用于施工场地晴天洒水降尘。</w:t>
            </w:r>
          </w:p>
        </w:tc>
        <w:tc>
          <w:tcPr>
            <w:tcW w:w="571" w:type="pct"/>
            <w:tcBorders>
              <w:tl2br w:val="nil"/>
              <w:tr2bl w:val="nil"/>
            </w:tcBorders>
            <w:tcMar>
              <w:left w:w="57" w:type="dxa"/>
              <w:right w:w="57" w:type="dxa"/>
            </w:tcMar>
            <w:vAlign w:val="center"/>
          </w:tcPr>
          <w:p w14:paraId="082F11EA">
            <w:pPr>
              <w:adjustRightInd w:val="0"/>
              <w:spacing w:line="240" w:lineRule="auto"/>
              <w:ind w:firstLine="0" w:firstLineChars="0"/>
              <w:jc w:val="center"/>
              <w:rPr>
                <w:color w:val="auto"/>
                <w:sz w:val="21"/>
                <w:szCs w:val="21"/>
                <w:highlight w:val="none"/>
              </w:rPr>
            </w:pPr>
            <w:r>
              <w:rPr>
                <w:color w:val="auto"/>
                <w:sz w:val="21"/>
                <w:szCs w:val="21"/>
                <w:highlight w:val="none"/>
              </w:rPr>
              <w:t>无施工废水外排，未造成项目区地表水环境污染事故</w:t>
            </w:r>
          </w:p>
        </w:tc>
        <w:tc>
          <w:tcPr>
            <w:tcW w:w="2080" w:type="pct"/>
            <w:tcBorders>
              <w:tl2br w:val="nil"/>
              <w:tr2bl w:val="nil"/>
            </w:tcBorders>
            <w:tcMar>
              <w:left w:w="57" w:type="dxa"/>
              <w:right w:w="57" w:type="dxa"/>
            </w:tcMar>
            <w:vAlign w:val="center"/>
          </w:tcPr>
          <w:p w14:paraId="2EA7D14C">
            <w:pPr>
              <w:adjustRightInd w:val="0"/>
              <w:spacing w:line="240" w:lineRule="auto"/>
              <w:ind w:firstLine="0" w:firstLineChars="0"/>
              <w:jc w:val="both"/>
              <w:rPr>
                <w:color w:val="auto"/>
                <w:sz w:val="21"/>
                <w:szCs w:val="21"/>
                <w:highlight w:val="none"/>
              </w:rPr>
            </w:pPr>
            <w:r>
              <w:rPr>
                <w:color w:val="auto"/>
                <w:sz w:val="21"/>
                <w:szCs w:val="21"/>
                <w:highlight w:val="none"/>
              </w:rPr>
              <w:t>（1）生活</w:t>
            </w:r>
            <w:r>
              <w:rPr>
                <w:rFonts w:hint="eastAsia"/>
                <w:color w:val="auto"/>
                <w:sz w:val="21"/>
                <w:szCs w:val="21"/>
                <w:highlight w:val="none"/>
              </w:rPr>
              <w:t>污水</w:t>
            </w:r>
            <w:r>
              <w:rPr>
                <w:rFonts w:hint="eastAsia"/>
                <w:color w:val="auto"/>
                <w:sz w:val="21"/>
                <w:szCs w:val="21"/>
                <w:highlight w:val="none"/>
                <w:lang w:val="en-US" w:eastAsia="zh-CN"/>
              </w:rPr>
              <w:t>经0.5m</w:t>
            </w:r>
            <w:r>
              <w:rPr>
                <w:rFonts w:hint="eastAsia"/>
                <w:color w:val="auto"/>
                <w:sz w:val="21"/>
                <w:szCs w:val="21"/>
                <w:highlight w:val="none"/>
                <w:vertAlign w:val="superscript"/>
                <w:lang w:val="en-US" w:eastAsia="zh-CN"/>
              </w:rPr>
              <w:t>3</w:t>
            </w:r>
            <w:r>
              <w:rPr>
                <w:rFonts w:hint="eastAsia"/>
                <w:color w:val="auto"/>
                <w:sz w:val="21"/>
                <w:szCs w:val="21"/>
                <w:highlight w:val="none"/>
              </w:rPr>
              <w:t>隔油池、</w:t>
            </w:r>
            <w:r>
              <w:rPr>
                <w:rFonts w:hint="eastAsia"/>
                <w:color w:val="auto"/>
                <w:sz w:val="21"/>
                <w:szCs w:val="21"/>
                <w:highlight w:val="none"/>
                <w:lang w:val="en-US" w:eastAsia="zh-CN"/>
              </w:rPr>
              <w:t>5m</w:t>
            </w:r>
            <w:r>
              <w:rPr>
                <w:rFonts w:hint="eastAsia"/>
                <w:color w:val="auto"/>
                <w:sz w:val="21"/>
                <w:szCs w:val="21"/>
                <w:highlight w:val="none"/>
                <w:vertAlign w:val="superscript"/>
                <w:lang w:val="en-US" w:eastAsia="zh-CN"/>
              </w:rPr>
              <w:t>3</w:t>
            </w:r>
            <w:r>
              <w:rPr>
                <w:rFonts w:hint="eastAsia"/>
                <w:color w:val="auto"/>
                <w:sz w:val="21"/>
                <w:szCs w:val="21"/>
                <w:highlight w:val="none"/>
                <w:lang w:eastAsia="zh-CN"/>
              </w:rPr>
              <w:t>三格化粪池</w:t>
            </w:r>
            <w:r>
              <w:rPr>
                <w:rFonts w:hint="eastAsia"/>
                <w:color w:val="auto"/>
                <w:sz w:val="21"/>
                <w:szCs w:val="21"/>
                <w:highlight w:val="none"/>
              </w:rPr>
              <w:t>处理后，</w:t>
            </w:r>
            <w:r>
              <w:rPr>
                <w:rFonts w:hint="eastAsia"/>
                <w:color w:val="auto"/>
                <w:sz w:val="21"/>
                <w:szCs w:val="21"/>
                <w:highlight w:val="none"/>
                <w:lang w:val="en-US" w:eastAsia="zh-CN"/>
              </w:rPr>
              <w:t>定期清掏用作农肥</w:t>
            </w:r>
            <w:r>
              <w:rPr>
                <w:color w:val="auto"/>
                <w:sz w:val="21"/>
                <w:szCs w:val="21"/>
                <w:highlight w:val="none"/>
              </w:rPr>
              <w:t>；</w:t>
            </w:r>
          </w:p>
          <w:p w14:paraId="2EAE41B2">
            <w:pPr>
              <w:adjustRightInd w:val="0"/>
              <w:spacing w:line="240" w:lineRule="auto"/>
              <w:ind w:firstLine="0" w:firstLineChars="0"/>
              <w:jc w:val="both"/>
              <w:rPr>
                <w:rFonts w:hint="eastAsia"/>
                <w:color w:val="auto"/>
                <w:sz w:val="21"/>
                <w:szCs w:val="21"/>
                <w:highlight w:val="none"/>
                <w:lang w:val="en-US" w:eastAsia="zh-CN"/>
              </w:rPr>
            </w:pPr>
            <w:r>
              <w:rPr>
                <w:rFonts w:hint="eastAsia" w:cs="Times New Roman"/>
                <w:snapToGrid/>
                <w:color w:val="auto"/>
                <w:sz w:val="21"/>
                <w:highlight w:val="none"/>
                <w:lang w:eastAsia="zh-CN"/>
              </w:rPr>
              <w:t>（</w:t>
            </w:r>
            <w:r>
              <w:rPr>
                <w:rFonts w:hint="eastAsia" w:cs="Times New Roman"/>
                <w:snapToGrid/>
                <w:color w:val="auto"/>
                <w:sz w:val="21"/>
                <w:highlight w:val="none"/>
                <w:lang w:val="en-US" w:eastAsia="zh-CN"/>
              </w:rPr>
              <w:t>2</w:t>
            </w:r>
            <w:r>
              <w:rPr>
                <w:rFonts w:hint="eastAsia" w:cs="Times New Roman"/>
                <w:snapToGrid/>
                <w:color w:val="auto"/>
                <w:sz w:val="21"/>
                <w:highlight w:val="none"/>
                <w:lang w:eastAsia="zh-CN"/>
              </w:rPr>
              <w:t>）</w:t>
            </w:r>
            <w:r>
              <w:rPr>
                <w:rFonts w:hint="default" w:ascii="Times New Roman" w:hAnsi="Times New Roman" w:eastAsia="宋体" w:cs="Times New Roman"/>
                <w:snapToGrid/>
                <w:color w:val="auto"/>
                <w:sz w:val="21"/>
                <w:highlight w:val="none"/>
                <w:lang w:eastAsia="zh-CN"/>
              </w:rPr>
              <w:t>项目运行期间在露天</w:t>
            </w:r>
            <w:r>
              <w:rPr>
                <w:rFonts w:hint="eastAsia" w:cs="Times New Roman"/>
                <w:snapToGrid/>
                <w:color w:val="auto"/>
                <w:sz w:val="21"/>
                <w:highlight w:val="none"/>
                <w:lang w:val="en-US" w:eastAsia="zh-CN"/>
              </w:rPr>
              <w:t>开</w:t>
            </w:r>
            <w:r>
              <w:rPr>
                <w:rFonts w:hint="default" w:ascii="Times New Roman" w:hAnsi="Times New Roman" w:eastAsia="宋体" w:cs="Times New Roman"/>
                <w:snapToGrid/>
                <w:color w:val="auto"/>
                <w:sz w:val="21"/>
                <w:highlight w:val="none"/>
                <w:lang w:eastAsia="zh-CN"/>
              </w:rPr>
              <w:t>采区低处设置 1 个</w:t>
            </w:r>
            <w:r>
              <w:rPr>
                <w:rFonts w:hint="eastAsia" w:cs="Times New Roman"/>
                <w:snapToGrid/>
                <w:color w:val="auto"/>
                <w:sz w:val="21"/>
                <w:highlight w:val="none"/>
                <w:lang w:eastAsia="zh-CN"/>
              </w:rPr>
              <w:t>沉砂池</w:t>
            </w:r>
            <w:r>
              <w:rPr>
                <w:rFonts w:hint="default" w:ascii="Times New Roman" w:hAnsi="Times New Roman" w:eastAsia="宋体" w:cs="Times New Roman"/>
                <w:snapToGrid/>
                <w:color w:val="auto"/>
                <w:sz w:val="21"/>
                <w:highlight w:val="none"/>
                <w:lang w:eastAsia="zh-CN"/>
              </w:rPr>
              <w:t>，容积为</w:t>
            </w:r>
            <w:r>
              <w:rPr>
                <w:rFonts w:hint="eastAsia" w:cs="Times New Roman"/>
                <w:snapToGrid/>
                <w:color w:val="auto"/>
                <w:sz w:val="21"/>
                <w:highlight w:val="none"/>
                <w:lang w:val="en-US" w:eastAsia="zh-CN"/>
              </w:rPr>
              <w:t>205m</w:t>
            </w:r>
            <w:r>
              <w:rPr>
                <w:rFonts w:hint="eastAsia" w:cs="Times New Roman"/>
                <w:snapToGrid/>
                <w:color w:val="auto"/>
                <w:sz w:val="21"/>
                <w:highlight w:val="none"/>
                <w:vertAlign w:val="superscript"/>
                <w:lang w:val="en-US" w:eastAsia="zh-CN"/>
              </w:rPr>
              <w:t>3</w:t>
            </w:r>
            <w:r>
              <w:rPr>
                <w:rFonts w:hint="default" w:ascii="Times New Roman" w:hAnsi="Times New Roman" w:eastAsia="宋体" w:cs="Times New Roman"/>
                <w:snapToGrid/>
                <w:color w:val="auto"/>
                <w:sz w:val="21"/>
                <w:highlight w:val="none"/>
                <w:lang w:eastAsia="zh-CN"/>
              </w:rPr>
              <w:t xml:space="preserve"> ，处理露天</w:t>
            </w:r>
            <w:r>
              <w:rPr>
                <w:rFonts w:hint="eastAsia" w:cs="Times New Roman"/>
                <w:snapToGrid/>
                <w:color w:val="auto"/>
                <w:sz w:val="21"/>
                <w:highlight w:val="none"/>
                <w:lang w:val="en-US" w:eastAsia="zh-CN"/>
              </w:rPr>
              <w:t>开采区淋滤</w:t>
            </w:r>
            <w:r>
              <w:rPr>
                <w:rFonts w:hint="default" w:ascii="Times New Roman" w:hAnsi="Times New Roman" w:eastAsia="宋体" w:cs="Times New Roman"/>
                <w:snapToGrid/>
                <w:color w:val="auto"/>
                <w:sz w:val="21"/>
                <w:highlight w:val="none"/>
                <w:lang w:eastAsia="zh-CN"/>
              </w:rPr>
              <w:t>水；</w:t>
            </w:r>
            <w:r>
              <w:rPr>
                <w:rFonts w:hint="eastAsia" w:cs="Times New Roman"/>
                <w:snapToGrid/>
                <w:color w:val="auto"/>
                <w:sz w:val="21"/>
                <w:highlight w:val="none"/>
                <w:lang w:val="en-US" w:eastAsia="zh-CN"/>
              </w:rPr>
              <w:t>临时表土堆场低处设置1个容积为6m</w:t>
            </w:r>
            <w:r>
              <w:rPr>
                <w:rFonts w:hint="eastAsia" w:cs="Times New Roman"/>
                <w:snapToGrid/>
                <w:color w:val="auto"/>
                <w:sz w:val="21"/>
                <w:highlight w:val="none"/>
                <w:vertAlign w:val="superscript"/>
                <w:lang w:val="en-US" w:eastAsia="zh-CN"/>
              </w:rPr>
              <w:t>3</w:t>
            </w:r>
            <w:r>
              <w:rPr>
                <w:rFonts w:hint="eastAsia" w:cs="Times New Roman"/>
                <w:snapToGrid/>
                <w:color w:val="auto"/>
                <w:sz w:val="21"/>
                <w:highlight w:val="none"/>
                <w:vertAlign w:val="baseline"/>
                <w:lang w:val="en-US" w:eastAsia="zh-CN"/>
              </w:rPr>
              <w:t>的沉砂池，处理雨天产生淋滤水；</w:t>
            </w:r>
            <w:r>
              <w:rPr>
                <w:rFonts w:hint="eastAsia" w:cs="Times New Roman"/>
                <w:snapToGrid/>
                <w:color w:val="auto"/>
                <w:sz w:val="21"/>
                <w:highlight w:val="none"/>
                <w:lang w:val="en-US" w:eastAsia="zh-CN"/>
              </w:rPr>
              <w:t>工业场地区南侧</w:t>
            </w:r>
            <w:r>
              <w:rPr>
                <w:rFonts w:hint="default" w:ascii="Times New Roman" w:hAnsi="Times New Roman" w:eastAsia="宋体" w:cs="Times New Roman"/>
                <w:snapToGrid/>
                <w:color w:val="auto"/>
                <w:sz w:val="21"/>
                <w:highlight w:val="none"/>
                <w:lang w:val="en-US" w:eastAsia="zh-CN"/>
              </w:rPr>
              <w:t>设置</w:t>
            </w:r>
            <w:r>
              <w:rPr>
                <w:rFonts w:hint="eastAsia" w:cs="Times New Roman"/>
                <w:snapToGrid/>
                <w:color w:val="auto"/>
                <w:sz w:val="21"/>
                <w:highlight w:val="none"/>
                <w:lang w:val="en-US" w:eastAsia="zh-CN"/>
              </w:rPr>
              <w:t>1</w:t>
            </w:r>
            <w:r>
              <w:rPr>
                <w:rFonts w:hint="default" w:ascii="Times New Roman" w:hAnsi="Times New Roman" w:eastAsia="宋体" w:cs="Times New Roman"/>
                <w:snapToGrid/>
                <w:color w:val="auto"/>
                <w:sz w:val="21"/>
                <w:highlight w:val="none"/>
                <w:lang w:val="en-US" w:eastAsia="zh-CN"/>
              </w:rPr>
              <w:t>个</w:t>
            </w:r>
            <w:r>
              <w:rPr>
                <w:rFonts w:hint="eastAsia" w:cs="Times New Roman"/>
                <w:snapToGrid/>
                <w:color w:val="auto"/>
                <w:sz w:val="21"/>
                <w:highlight w:val="none"/>
                <w:lang w:val="en-US" w:eastAsia="zh-CN"/>
              </w:rPr>
              <w:t>容积82</w:t>
            </w:r>
            <w:r>
              <w:rPr>
                <w:rFonts w:hint="default" w:ascii="Times New Roman" w:hAnsi="Times New Roman" w:eastAsia="宋体" w:cs="Times New Roman"/>
                <w:snapToGrid/>
                <w:color w:val="auto"/>
                <w:sz w:val="21"/>
                <w:highlight w:val="none"/>
                <w:lang w:eastAsia="zh-CN"/>
              </w:rPr>
              <w:t>m</w:t>
            </w:r>
            <w:r>
              <w:rPr>
                <w:rFonts w:hint="default" w:ascii="Times New Roman" w:hAnsi="Times New Roman" w:eastAsia="宋体" w:cs="Times New Roman"/>
                <w:snapToGrid/>
                <w:color w:val="auto"/>
                <w:sz w:val="21"/>
                <w:highlight w:val="none"/>
                <w:vertAlign w:val="superscript"/>
                <w:lang w:eastAsia="zh-CN"/>
              </w:rPr>
              <w:t>3</w:t>
            </w:r>
            <w:r>
              <w:rPr>
                <w:rFonts w:hint="default" w:ascii="Times New Roman" w:hAnsi="Times New Roman" w:eastAsia="宋体" w:cs="Times New Roman"/>
                <w:snapToGrid/>
                <w:color w:val="auto"/>
                <w:sz w:val="21"/>
                <w:highlight w:val="none"/>
                <w:lang w:eastAsia="zh-CN"/>
              </w:rPr>
              <w:t xml:space="preserve"> </w:t>
            </w:r>
            <w:r>
              <w:rPr>
                <w:rFonts w:hint="eastAsia" w:cs="Times New Roman"/>
                <w:snapToGrid/>
                <w:color w:val="auto"/>
                <w:sz w:val="21"/>
                <w:highlight w:val="none"/>
                <w:lang w:val="en-US" w:eastAsia="zh-CN"/>
              </w:rPr>
              <w:t>沉砂池</w:t>
            </w:r>
            <w:r>
              <w:rPr>
                <w:rFonts w:hint="default" w:ascii="Times New Roman" w:hAnsi="Times New Roman" w:eastAsia="宋体" w:cs="Times New Roman"/>
                <w:snapToGrid/>
                <w:color w:val="auto"/>
                <w:sz w:val="21"/>
                <w:highlight w:val="none"/>
                <w:lang w:val="en-US" w:eastAsia="zh-CN"/>
              </w:rPr>
              <w:t>，</w:t>
            </w:r>
            <w:r>
              <w:rPr>
                <w:rFonts w:hint="eastAsia" w:cs="Times New Roman"/>
                <w:snapToGrid/>
                <w:color w:val="auto"/>
                <w:sz w:val="21"/>
                <w:highlight w:val="none"/>
                <w:lang w:val="en-US" w:eastAsia="zh-CN"/>
              </w:rPr>
              <w:t>收集工业场地区</w:t>
            </w:r>
            <w:r>
              <w:rPr>
                <w:rFonts w:hint="default" w:ascii="Times New Roman" w:hAnsi="Times New Roman" w:eastAsia="宋体" w:cs="Times New Roman"/>
                <w:snapToGrid/>
                <w:color w:val="auto"/>
                <w:sz w:val="21"/>
                <w:highlight w:val="none"/>
                <w:lang w:val="en-US" w:eastAsia="zh-CN"/>
              </w:rPr>
              <w:t>初期雨水</w:t>
            </w:r>
            <w:r>
              <w:rPr>
                <w:rFonts w:hint="eastAsia" w:cs="Times New Roman"/>
                <w:snapToGrid/>
                <w:color w:val="auto"/>
                <w:sz w:val="21"/>
                <w:highlight w:val="none"/>
                <w:lang w:val="en-US" w:eastAsia="zh-CN"/>
              </w:rPr>
              <w:t>；办公生活区南侧设置1个容积为53</w:t>
            </w:r>
            <w:r>
              <w:rPr>
                <w:rFonts w:hint="eastAsia" w:cs="Times New Roman"/>
                <w:snapToGrid/>
                <w:color w:val="auto"/>
                <w:sz w:val="21"/>
                <w:highlight w:val="none"/>
                <w:vertAlign w:val="baseline"/>
                <w:lang w:val="en-US" w:eastAsia="zh-CN"/>
              </w:rPr>
              <w:t>的沉砂池，收集雨天产生初期雨水</w:t>
            </w:r>
            <w:r>
              <w:rPr>
                <w:rFonts w:hint="eastAsia" w:cs="Times New Roman"/>
                <w:snapToGrid/>
                <w:color w:val="auto"/>
                <w:sz w:val="21"/>
                <w:highlight w:val="none"/>
                <w:lang w:val="en-US" w:eastAsia="zh-CN"/>
              </w:rPr>
              <w:t>，</w:t>
            </w:r>
            <w:r>
              <w:rPr>
                <w:rFonts w:hint="eastAsia"/>
                <w:color w:val="auto"/>
                <w:sz w:val="21"/>
                <w:szCs w:val="21"/>
                <w:highlight w:val="none"/>
              </w:rPr>
              <w:t>雨水</w:t>
            </w:r>
            <w:r>
              <w:rPr>
                <w:color w:val="auto"/>
                <w:sz w:val="21"/>
                <w:szCs w:val="21"/>
                <w:highlight w:val="none"/>
              </w:rPr>
              <w:t>进行沉淀后</w:t>
            </w:r>
            <w:r>
              <w:rPr>
                <w:rFonts w:hint="eastAsia"/>
                <w:color w:val="auto"/>
                <w:sz w:val="21"/>
                <w:szCs w:val="21"/>
                <w:highlight w:val="none"/>
              </w:rPr>
              <w:t>晴天</w:t>
            </w:r>
            <w:r>
              <w:rPr>
                <w:color w:val="auto"/>
                <w:sz w:val="21"/>
                <w:szCs w:val="21"/>
                <w:highlight w:val="none"/>
              </w:rPr>
              <w:t>回用于</w:t>
            </w:r>
            <w:r>
              <w:rPr>
                <w:rFonts w:hint="eastAsia"/>
                <w:color w:val="auto"/>
                <w:sz w:val="21"/>
                <w:szCs w:val="21"/>
                <w:highlight w:val="none"/>
                <w:lang w:val="en-US" w:eastAsia="zh-CN"/>
              </w:rPr>
              <w:t>矿区</w:t>
            </w:r>
            <w:r>
              <w:rPr>
                <w:color w:val="auto"/>
                <w:sz w:val="21"/>
                <w:szCs w:val="21"/>
                <w:highlight w:val="none"/>
              </w:rPr>
              <w:t>洒水降尘，</w:t>
            </w:r>
            <w:r>
              <w:rPr>
                <w:rFonts w:hint="eastAsia"/>
                <w:color w:val="auto"/>
                <w:sz w:val="21"/>
                <w:szCs w:val="21"/>
                <w:highlight w:val="none"/>
                <w:lang w:val="en-US" w:eastAsia="zh-CN"/>
              </w:rPr>
              <w:t>不外排；</w:t>
            </w:r>
          </w:p>
          <w:p w14:paraId="1F9E1038">
            <w:pPr>
              <w:adjustRightInd w:val="0"/>
              <w:spacing w:line="240" w:lineRule="auto"/>
              <w:ind w:firstLine="0" w:firstLineChars="0"/>
              <w:jc w:val="both"/>
              <w:rPr>
                <w:rFonts w:hint="default"/>
                <w:color w:val="auto"/>
                <w:sz w:val="21"/>
                <w:szCs w:val="21"/>
                <w:highlight w:val="none"/>
                <w:lang w:val="en-US" w:eastAsia="zh-CN"/>
              </w:rPr>
            </w:pPr>
            <w:r>
              <w:rPr>
                <w:rFonts w:hint="eastAsia"/>
                <w:color w:val="auto"/>
                <w:sz w:val="21"/>
                <w:szCs w:val="21"/>
                <w:highlight w:val="none"/>
                <w:lang w:val="en-US" w:eastAsia="zh-CN"/>
              </w:rPr>
              <w:t>（3）车辆清洗废水经1个容积为5m</w:t>
            </w:r>
            <w:r>
              <w:rPr>
                <w:rFonts w:hint="eastAsia"/>
                <w:color w:val="auto"/>
                <w:sz w:val="21"/>
                <w:szCs w:val="21"/>
                <w:highlight w:val="none"/>
                <w:vertAlign w:val="superscript"/>
                <w:lang w:val="en-US" w:eastAsia="zh-CN"/>
              </w:rPr>
              <w:t>3</w:t>
            </w:r>
            <w:r>
              <w:rPr>
                <w:rFonts w:hint="eastAsia"/>
                <w:color w:val="auto"/>
                <w:sz w:val="21"/>
                <w:szCs w:val="21"/>
                <w:highlight w:val="none"/>
                <w:lang w:val="en-US" w:eastAsia="zh-CN"/>
              </w:rPr>
              <w:t>洗车池收集沉淀后循环使用，不外排。</w:t>
            </w:r>
          </w:p>
        </w:tc>
        <w:tc>
          <w:tcPr>
            <w:tcW w:w="932" w:type="pct"/>
            <w:tcBorders>
              <w:tl2br w:val="nil"/>
              <w:tr2bl w:val="nil"/>
            </w:tcBorders>
            <w:tcMar>
              <w:left w:w="57" w:type="dxa"/>
              <w:right w:w="57" w:type="dxa"/>
            </w:tcMar>
            <w:vAlign w:val="center"/>
          </w:tcPr>
          <w:p w14:paraId="6F52055C">
            <w:pPr>
              <w:adjustRightInd w:val="0"/>
              <w:spacing w:line="240" w:lineRule="auto"/>
              <w:ind w:firstLine="0" w:firstLineChars="0"/>
              <w:jc w:val="center"/>
              <w:rPr>
                <w:color w:val="auto"/>
                <w:sz w:val="21"/>
                <w:szCs w:val="21"/>
                <w:highlight w:val="none"/>
              </w:rPr>
            </w:pPr>
            <w:r>
              <w:rPr>
                <w:color w:val="auto"/>
                <w:sz w:val="21"/>
                <w:szCs w:val="21"/>
                <w:highlight w:val="none"/>
              </w:rPr>
              <w:t>废水不外排，未造成项目区地表水环境污染事故</w:t>
            </w:r>
          </w:p>
        </w:tc>
      </w:tr>
      <w:tr w14:paraId="2454E6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tcBorders>
              <w:tl2br w:val="nil"/>
              <w:tr2bl w:val="nil"/>
            </w:tcBorders>
            <w:tcMar>
              <w:left w:w="57" w:type="dxa"/>
              <w:right w:w="57" w:type="dxa"/>
            </w:tcMar>
            <w:vAlign w:val="center"/>
          </w:tcPr>
          <w:p w14:paraId="1E2B9988">
            <w:pPr>
              <w:adjustRightInd w:val="0"/>
              <w:spacing w:line="240" w:lineRule="auto"/>
              <w:ind w:firstLine="0" w:firstLineChars="0"/>
              <w:jc w:val="center"/>
              <w:rPr>
                <w:color w:val="auto"/>
                <w:sz w:val="21"/>
                <w:szCs w:val="21"/>
                <w:highlight w:val="none"/>
              </w:rPr>
            </w:pPr>
            <w:r>
              <w:rPr>
                <w:color w:val="auto"/>
                <w:sz w:val="21"/>
                <w:szCs w:val="21"/>
                <w:highlight w:val="none"/>
              </w:rPr>
              <w:t>地下水及土壤环境</w:t>
            </w:r>
          </w:p>
        </w:tc>
        <w:tc>
          <w:tcPr>
            <w:tcW w:w="934" w:type="pct"/>
            <w:tcBorders>
              <w:tl2br w:val="nil"/>
              <w:tr2bl w:val="nil"/>
            </w:tcBorders>
            <w:tcMar>
              <w:left w:w="57" w:type="dxa"/>
              <w:right w:w="57" w:type="dxa"/>
            </w:tcMar>
            <w:vAlign w:val="center"/>
          </w:tcPr>
          <w:p w14:paraId="09ADBAE5">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571" w:type="pct"/>
            <w:tcBorders>
              <w:tl2br w:val="nil"/>
              <w:tr2bl w:val="nil"/>
            </w:tcBorders>
            <w:tcMar>
              <w:left w:w="57" w:type="dxa"/>
              <w:right w:w="57" w:type="dxa"/>
            </w:tcMar>
            <w:vAlign w:val="center"/>
          </w:tcPr>
          <w:p w14:paraId="68E7976A">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2080" w:type="pct"/>
            <w:tcBorders>
              <w:tl2br w:val="nil"/>
              <w:tr2bl w:val="nil"/>
            </w:tcBorders>
            <w:tcMar>
              <w:left w:w="57" w:type="dxa"/>
              <w:right w:w="57" w:type="dxa"/>
            </w:tcMar>
            <w:vAlign w:val="center"/>
          </w:tcPr>
          <w:p w14:paraId="17A8AE81">
            <w:pPr>
              <w:adjustRightInd w:val="0"/>
              <w:spacing w:line="240" w:lineRule="auto"/>
              <w:ind w:firstLine="0" w:firstLineChars="0"/>
              <w:jc w:val="center"/>
              <w:rPr>
                <w:color w:val="auto"/>
                <w:sz w:val="21"/>
                <w:szCs w:val="21"/>
                <w:highlight w:val="none"/>
              </w:rPr>
            </w:pPr>
            <w:r>
              <w:rPr>
                <w:rFonts w:hint="eastAsia"/>
                <w:b w:val="0"/>
                <w:bCs/>
                <w:color w:val="auto"/>
                <w:kern w:val="0"/>
                <w:sz w:val="21"/>
                <w:szCs w:val="21"/>
                <w:highlight w:val="none"/>
                <w:lang w:eastAsia="zh-CN"/>
              </w:rPr>
              <w:t>分区防渗：</w:t>
            </w:r>
            <w:r>
              <w:rPr>
                <w:rFonts w:hint="eastAsia"/>
                <w:b w:val="0"/>
                <w:bCs/>
                <w:color w:val="auto"/>
                <w:kern w:val="0"/>
                <w:sz w:val="21"/>
                <w:szCs w:val="21"/>
                <w:highlight w:val="none"/>
                <w:lang w:val="en-US" w:eastAsia="zh-CN"/>
              </w:rPr>
              <w:t>危废贮存间</w:t>
            </w:r>
            <w:r>
              <w:rPr>
                <w:b w:val="0"/>
                <w:bCs/>
                <w:color w:val="auto"/>
                <w:kern w:val="0"/>
                <w:sz w:val="21"/>
                <w:szCs w:val="21"/>
                <w:highlight w:val="none"/>
                <w:lang w:eastAsia="zh-CN"/>
              </w:rPr>
              <w:t>按重点防渗区进行建设，防渗技术要求为：等效黏土防渗层Mb≥6m，K≤1×10</w:t>
            </w:r>
            <w:r>
              <w:rPr>
                <w:b w:val="0"/>
                <w:bCs/>
                <w:color w:val="auto"/>
                <w:kern w:val="0"/>
                <w:sz w:val="21"/>
                <w:szCs w:val="21"/>
                <w:highlight w:val="none"/>
                <w:vertAlign w:val="superscript"/>
                <w:lang w:eastAsia="zh-CN"/>
              </w:rPr>
              <w:t>-7</w:t>
            </w:r>
            <w:r>
              <w:rPr>
                <w:b w:val="0"/>
                <w:bCs/>
                <w:color w:val="auto"/>
                <w:kern w:val="0"/>
                <w:sz w:val="21"/>
                <w:szCs w:val="21"/>
                <w:highlight w:val="none"/>
                <w:lang w:eastAsia="zh-CN"/>
              </w:rPr>
              <w:t>cm/s</w:t>
            </w:r>
            <w:r>
              <w:rPr>
                <w:rFonts w:hint="eastAsia"/>
                <w:b w:val="0"/>
                <w:bCs/>
                <w:color w:val="auto"/>
                <w:kern w:val="0"/>
                <w:sz w:val="21"/>
                <w:szCs w:val="21"/>
                <w:highlight w:val="none"/>
                <w:lang w:eastAsia="zh-CN"/>
              </w:rPr>
              <w:t>，</w:t>
            </w:r>
            <w:r>
              <w:rPr>
                <w:b w:val="0"/>
                <w:bCs/>
                <w:color w:val="auto"/>
                <w:kern w:val="0"/>
                <w:sz w:val="21"/>
                <w:szCs w:val="21"/>
                <w:highlight w:val="none"/>
                <w:lang w:eastAsia="zh-CN"/>
              </w:rPr>
              <w:t>或</w:t>
            </w:r>
            <w:r>
              <w:rPr>
                <w:rFonts w:hint="eastAsia"/>
                <w:b w:val="0"/>
                <w:bCs/>
                <w:color w:val="auto"/>
                <w:kern w:val="0"/>
                <w:sz w:val="21"/>
                <w:szCs w:val="21"/>
                <w:highlight w:val="none"/>
                <w:lang w:eastAsia="zh-CN"/>
              </w:rPr>
              <w:t>至少</w:t>
            </w:r>
            <w:r>
              <w:rPr>
                <w:b w:val="0"/>
                <w:bCs/>
                <w:color w:val="auto"/>
                <w:kern w:val="0"/>
                <w:sz w:val="21"/>
                <w:szCs w:val="21"/>
                <w:highlight w:val="none"/>
                <w:lang w:eastAsia="zh-CN"/>
              </w:rPr>
              <w:t>2mm厚高密度聚乙烯</w:t>
            </w:r>
            <w:r>
              <w:rPr>
                <w:rFonts w:hint="eastAsia"/>
                <w:b w:val="0"/>
                <w:bCs/>
                <w:color w:val="auto"/>
                <w:kern w:val="0"/>
                <w:sz w:val="21"/>
                <w:szCs w:val="21"/>
                <w:highlight w:val="none"/>
                <w:lang w:eastAsia="zh-CN"/>
              </w:rPr>
              <w:t>膜等人工防渗材料（渗透系数</w:t>
            </w:r>
            <w:r>
              <w:rPr>
                <w:b w:val="0"/>
                <w:bCs/>
                <w:color w:val="auto"/>
                <w:kern w:val="0"/>
                <w:sz w:val="21"/>
                <w:szCs w:val="21"/>
                <w:highlight w:val="none"/>
                <w:lang w:val="zh-CN" w:eastAsia="zh-CN"/>
              </w:rPr>
              <w:t>≤</w:t>
            </w:r>
            <w:r>
              <w:rPr>
                <w:b w:val="0"/>
                <w:bCs/>
                <w:color w:val="auto"/>
                <w:kern w:val="0"/>
                <w:sz w:val="21"/>
                <w:szCs w:val="21"/>
                <w:highlight w:val="none"/>
                <w:lang w:eastAsia="zh-CN"/>
              </w:rPr>
              <w:t>1×</w:t>
            </w:r>
            <w:r>
              <w:rPr>
                <w:b w:val="0"/>
                <w:bCs/>
                <w:color w:val="auto"/>
                <w:kern w:val="0"/>
                <w:sz w:val="21"/>
                <w:szCs w:val="21"/>
                <w:highlight w:val="none"/>
                <w:lang w:val="zh-CN" w:eastAsia="zh-CN"/>
              </w:rPr>
              <w:t>10</w:t>
            </w:r>
            <w:r>
              <w:rPr>
                <w:b w:val="0"/>
                <w:bCs/>
                <w:color w:val="auto"/>
                <w:kern w:val="0"/>
                <w:sz w:val="21"/>
                <w:szCs w:val="21"/>
                <w:highlight w:val="none"/>
                <w:vertAlign w:val="superscript"/>
                <w:lang w:val="zh-CN" w:eastAsia="zh-CN"/>
              </w:rPr>
              <w:t>-</w:t>
            </w:r>
            <w:r>
              <w:rPr>
                <w:rFonts w:hint="eastAsia"/>
                <w:b w:val="0"/>
                <w:bCs/>
                <w:color w:val="auto"/>
                <w:kern w:val="0"/>
                <w:sz w:val="21"/>
                <w:szCs w:val="21"/>
                <w:highlight w:val="none"/>
                <w:vertAlign w:val="superscript"/>
                <w:lang w:eastAsia="zh-CN"/>
              </w:rPr>
              <w:t>10</w:t>
            </w:r>
            <w:r>
              <w:rPr>
                <w:b w:val="0"/>
                <w:bCs/>
                <w:color w:val="auto"/>
                <w:kern w:val="0"/>
                <w:sz w:val="21"/>
                <w:szCs w:val="21"/>
                <w:highlight w:val="none"/>
                <w:lang w:val="zh-CN" w:eastAsia="zh-CN"/>
              </w:rPr>
              <w:t>cm/s</w:t>
            </w:r>
            <w:r>
              <w:rPr>
                <w:rFonts w:hint="eastAsia"/>
                <w:b w:val="0"/>
                <w:bCs/>
                <w:color w:val="auto"/>
                <w:kern w:val="0"/>
                <w:sz w:val="21"/>
                <w:szCs w:val="21"/>
                <w:highlight w:val="none"/>
                <w:lang w:eastAsia="zh-CN"/>
              </w:rPr>
              <w:t>）</w:t>
            </w:r>
            <w:r>
              <w:rPr>
                <w:b w:val="0"/>
                <w:bCs/>
                <w:color w:val="auto"/>
                <w:kern w:val="0"/>
                <w:sz w:val="21"/>
                <w:szCs w:val="21"/>
                <w:highlight w:val="none"/>
                <w:lang w:eastAsia="zh-CN"/>
              </w:rPr>
              <w:t>，</w:t>
            </w:r>
            <w:r>
              <w:rPr>
                <w:rFonts w:hint="eastAsia"/>
                <w:b w:val="0"/>
                <w:bCs/>
                <w:color w:val="auto"/>
                <w:kern w:val="0"/>
                <w:sz w:val="21"/>
                <w:szCs w:val="21"/>
                <w:highlight w:val="none"/>
                <w:lang w:eastAsia="zh-CN"/>
              </w:rPr>
              <w:t>或其他防渗性能等效的材料</w:t>
            </w:r>
            <w:r>
              <w:rPr>
                <w:b w:val="0"/>
                <w:bCs/>
                <w:color w:val="auto"/>
                <w:kern w:val="0"/>
                <w:sz w:val="21"/>
                <w:szCs w:val="21"/>
                <w:highlight w:val="none"/>
                <w:lang w:eastAsia="zh-CN"/>
              </w:rPr>
              <w:t>；</w:t>
            </w:r>
            <w:r>
              <w:rPr>
                <w:rFonts w:hint="eastAsia"/>
                <w:b w:val="0"/>
                <w:bCs/>
                <w:color w:val="auto"/>
                <w:kern w:val="0"/>
                <w:sz w:val="21"/>
                <w:szCs w:val="21"/>
                <w:highlight w:val="none"/>
                <w:lang w:val="en-US" w:eastAsia="zh-CN"/>
              </w:rPr>
              <w:t>隔油池、化粪池</w:t>
            </w:r>
            <w:r>
              <w:rPr>
                <w:rFonts w:hint="eastAsia"/>
                <w:b w:val="0"/>
                <w:bCs/>
                <w:color w:val="auto"/>
                <w:kern w:val="0"/>
                <w:sz w:val="21"/>
                <w:szCs w:val="21"/>
                <w:highlight w:val="none"/>
                <w:lang w:eastAsia="zh-CN"/>
              </w:rPr>
              <w:t>按一般防渗区进行建设，</w:t>
            </w:r>
            <w:r>
              <w:rPr>
                <w:b w:val="0"/>
                <w:bCs/>
                <w:color w:val="auto"/>
                <w:kern w:val="0"/>
                <w:sz w:val="21"/>
                <w:szCs w:val="21"/>
                <w:highlight w:val="none"/>
                <w:lang w:eastAsia="zh-CN"/>
              </w:rPr>
              <w:t>防渗技术要求为：</w:t>
            </w:r>
            <w:r>
              <w:rPr>
                <w:rFonts w:hint="eastAsia"/>
                <w:b w:val="0"/>
                <w:bCs/>
                <w:color w:val="auto"/>
                <w:kern w:val="0"/>
                <w:sz w:val="21"/>
                <w:szCs w:val="21"/>
                <w:highlight w:val="none"/>
                <w:lang w:eastAsia="zh-CN"/>
              </w:rPr>
              <w:t>粘土衬层厚度应不小于0.75m</w:t>
            </w:r>
            <w:r>
              <w:rPr>
                <w:b w:val="0"/>
                <w:bCs/>
                <w:color w:val="auto"/>
                <w:kern w:val="0"/>
                <w:sz w:val="21"/>
                <w:szCs w:val="21"/>
                <w:highlight w:val="none"/>
                <w:lang w:eastAsia="zh-CN"/>
              </w:rPr>
              <w:t>，K</w:t>
            </w:r>
            <w:r>
              <w:rPr>
                <w:b w:val="0"/>
                <w:bCs/>
                <w:color w:val="auto"/>
                <w:kern w:val="0"/>
                <w:sz w:val="21"/>
                <w:szCs w:val="21"/>
                <w:highlight w:val="none"/>
                <w:lang w:val="zh-CN" w:eastAsia="zh-CN"/>
              </w:rPr>
              <w:t>≤</w:t>
            </w:r>
            <w:r>
              <w:rPr>
                <w:b w:val="0"/>
                <w:bCs/>
                <w:color w:val="auto"/>
                <w:kern w:val="0"/>
                <w:sz w:val="21"/>
                <w:szCs w:val="21"/>
                <w:highlight w:val="none"/>
                <w:lang w:eastAsia="zh-CN"/>
              </w:rPr>
              <w:t>1×</w:t>
            </w:r>
            <w:r>
              <w:rPr>
                <w:b w:val="0"/>
                <w:bCs/>
                <w:color w:val="auto"/>
                <w:kern w:val="0"/>
                <w:sz w:val="21"/>
                <w:szCs w:val="21"/>
                <w:highlight w:val="none"/>
                <w:lang w:val="zh-CN" w:eastAsia="zh-CN"/>
              </w:rPr>
              <w:t>10</w:t>
            </w:r>
            <w:r>
              <w:rPr>
                <w:b w:val="0"/>
                <w:bCs/>
                <w:color w:val="auto"/>
                <w:kern w:val="0"/>
                <w:sz w:val="21"/>
                <w:szCs w:val="21"/>
                <w:highlight w:val="none"/>
                <w:vertAlign w:val="superscript"/>
                <w:lang w:val="zh-CN" w:eastAsia="zh-CN"/>
              </w:rPr>
              <w:t>-</w:t>
            </w:r>
            <w:r>
              <w:rPr>
                <w:rFonts w:hint="eastAsia"/>
                <w:b w:val="0"/>
                <w:bCs/>
                <w:color w:val="auto"/>
                <w:kern w:val="0"/>
                <w:sz w:val="21"/>
                <w:szCs w:val="21"/>
                <w:highlight w:val="none"/>
                <w:vertAlign w:val="superscript"/>
                <w:lang w:eastAsia="zh-CN"/>
              </w:rPr>
              <w:t>7</w:t>
            </w:r>
            <w:r>
              <w:rPr>
                <w:b w:val="0"/>
                <w:bCs/>
                <w:color w:val="auto"/>
                <w:kern w:val="0"/>
                <w:sz w:val="21"/>
                <w:szCs w:val="21"/>
                <w:highlight w:val="none"/>
                <w:lang w:val="zh-CN" w:eastAsia="zh-CN"/>
              </w:rPr>
              <w:t>cm/s</w:t>
            </w:r>
            <w:r>
              <w:rPr>
                <w:rFonts w:hint="eastAsia"/>
                <w:b w:val="0"/>
                <w:bCs/>
                <w:color w:val="auto"/>
                <w:kern w:val="0"/>
                <w:sz w:val="21"/>
                <w:szCs w:val="21"/>
                <w:highlight w:val="none"/>
                <w:lang w:val="zh-CN" w:eastAsia="zh-CN"/>
              </w:rPr>
              <w:t>；</w:t>
            </w:r>
            <w:r>
              <w:rPr>
                <w:rFonts w:hint="eastAsia"/>
                <w:b w:val="0"/>
                <w:bCs/>
                <w:color w:val="auto"/>
                <w:kern w:val="0"/>
                <w:sz w:val="21"/>
                <w:szCs w:val="21"/>
                <w:highlight w:val="none"/>
                <w:lang w:val="en-US" w:eastAsia="zh-CN"/>
              </w:rPr>
              <w:t>工业场地区部分、</w:t>
            </w:r>
            <w:r>
              <w:rPr>
                <w:rFonts w:hint="eastAsia"/>
                <w:b w:val="0"/>
                <w:bCs/>
                <w:color w:val="auto"/>
                <w:kern w:val="0"/>
                <w:sz w:val="21"/>
                <w:szCs w:val="21"/>
                <w:highlight w:val="none"/>
                <w:lang w:val="zh-CN" w:eastAsia="zh-CN"/>
              </w:rPr>
              <w:t>沉砂池、办公生活区等区域</w:t>
            </w:r>
            <w:r>
              <w:rPr>
                <w:b w:val="0"/>
                <w:bCs/>
                <w:color w:val="auto"/>
                <w:kern w:val="0"/>
                <w:sz w:val="21"/>
                <w:szCs w:val="21"/>
                <w:highlight w:val="none"/>
                <w:lang w:eastAsia="zh-CN"/>
              </w:rPr>
              <w:t>进行简单防渗，采取一般地面水泥硬化。</w:t>
            </w:r>
          </w:p>
        </w:tc>
        <w:tc>
          <w:tcPr>
            <w:tcW w:w="932" w:type="pct"/>
            <w:tcBorders>
              <w:tl2br w:val="nil"/>
              <w:tr2bl w:val="nil"/>
            </w:tcBorders>
            <w:tcMar>
              <w:left w:w="57" w:type="dxa"/>
              <w:right w:w="57" w:type="dxa"/>
            </w:tcMar>
            <w:vAlign w:val="center"/>
          </w:tcPr>
          <w:p w14:paraId="3D3B3B0B">
            <w:pPr>
              <w:adjustRightInd w:val="0"/>
              <w:spacing w:line="240" w:lineRule="auto"/>
              <w:ind w:firstLine="0" w:firstLineChars="0"/>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达到相应防渗要求</w:t>
            </w:r>
          </w:p>
        </w:tc>
      </w:tr>
      <w:tr w14:paraId="5BDD2A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76" w:hRule="atLeast"/>
          <w:jc w:val="center"/>
        </w:trPr>
        <w:tc>
          <w:tcPr>
            <w:tcW w:w="481" w:type="pct"/>
            <w:tcBorders>
              <w:tl2br w:val="nil"/>
              <w:tr2bl w:val="nil"/>
            </w:tcBorders>
            <w:tcMar>
              <w:left w:w="57" w:type="dxa"/>
              <w:right w:w="57" w:type="dxa"/>
            </w:tcMar>
            <w:vAlign w:val="center"/>
          </w:tcPr>
          <w:p w14:paraId="682D86FE">
            <w:pPr>
              <w:adjustRightInd w:val="0"/>
              <w:spacing w:line="240" w:lineRule="auto"/>
              <w:ind w:firstLine="0" w:firstLineChars="0"/>
              <w:jc w:val="center"/>
              <w:rPr>
                <w:color w:val="auto"/>
                <w:sz w:val="21"/>
                <w:szCs w:val="21"/>
                <w:highlight w:val="none"/>
              </w:rPr>
            </w:pPr>
            <w:r>
              <w:rPr>
                <w:color w:val="auto"/>
                <w:sz w:val="21"/>
                <w:szCs w:val="21"/>
                <w:highlight w:val="none"/>
              </w:rPr>
              <w:t>声环境</w:t>
            </w:r>
          </w:p>
        </w:tc>
        <w:tc>
          <w:tcPr>
            <w:tcW w:w="934" w:type="pct"/>
            <w:tcBorders>
              <w:tl2br w:val="nil"/>
              <w:tr2bl w:val="nil"/>
            </w:tcBorders>
            <w:tcMar>
              <w:left w:w="57" w:type="dxa"/>
              <w:right w:w="57" w:type="dxa"/>
            </w:tcMar>
            <w:vAlign w:val="center"/>
          </w:tcPr>
          <w:p w14:paraId="5C0B66C7">
            <w:pPr>
              <w:adjustRightInd w:val="0"/>
              <w:spacing w:line="240" w:lineRule="auto"/>
              <w:ind w:firstLine="0" w:firstLineChars="0"/>
              <w:jc w:val="both"/>
              <w:rPr>
                <w:color w:val="auto"/>
                <w:sz w:val="21"/>
                <w:szCs w:val="21"/>
                <w:highlight w:val="none"/>
              </w:rPr>
            </w:pPr>
            <w:r>
              <w:rPr>
                <w:color w:val="auto"/>
                <w:sz w:val="21"/>
                <w:szCs w:val="21"/>
                <w:highlight w:val="none"/>
              </w:rPr>
              <w:t>（1）项目夜间不施工</w:t>
            </w:r>
            <w:r>
              <w:rPr>
                <w:rFonts w:hint="eastAsia"/>
                <w:color w:val="auto"/>
                <w:sz w:val="21"/>
                <w:szCs w:val="21"/>
                <w:highlight w:val="none"/>
              </w:rPr>
              <w:t>。</w:t>
            </w:r>
          </w:p>
          <w:p w14:paraId="04462EFB">
            <w:pPr>
              <w:adjustRightInd w:val="0"/>
              <w:spacing w:line="240" w:lineRule="auto"/>
              <w:ind w:firstLine="0" w:firstLineChars="0"/>
              <w:jc w:val="both"/>
              <w:rPr>
                <w:color w:val="auto"/>
                <w:sz w:val="21"/>
                <w:szCs w:val="21"/>
                <w:highlight w:val="none"/>
              </w:rPr>
            </w:pPr>
            <w:r>
              <w:rPr>
                <w:rFonts w:hint="eastAsia"/>
                <w:color w:val="auto"/>
                <w:sz w:val="21"/>
                <w:szCs w:val="21"/>
                <w:highlight w:val="none"/>
              </w:rPr>
              <w:t>（2）</w:t>
            </w:r>
            <w:r>
              <w:rPr>
                <w:color w:val="auto"/>
                <w:sz w:val="21"/>
                <w:szCs w:val="21"/>
                <w:highlight w:val="none"/>
              </w:rPr>
              <w:t>合理安排施工机械布置和高噪声机械设备使用时间，错峰使用；</w:t>
            </w:r>
          </w:p>
          <w:p w14:paraId="4F703582">
            <w:pPr>
              <w:adjustRightInd w:val="0"/>
              <w:spacing w:line="240" w:lineRule="auto"/>
              <w:ind w:firstLine="0" w:firstLineChars="0"/>
              <w:jc w:val="both"/>
              <w:rPr>
                <w:color w:val="auto"/>
                <w:sz w:val="21"/>
                <w:szCs w:val="21"/>
                <w:highlight w:val="none"/>
              </w:rPr>
            </w:pPr>
            <w:r>
              <w:rPr>
                <w:color w:val="auto"/>
                <w:sz w:val="21"/>
                <w:szCs w:val="21"/>
                <w:highlight w:val="none"/>
              </w:rPr>
              <w:t>（</w:t>
            </w:r>
            <w:r>
              <w:rPr>
                <w:rFonts w:hint="eastAsia"/>
                <w:color w:val="auto"/>
                <w:sz w:val="21"/>
                <w:szCs w:val="21"/>
                <w:highlight w:val="none"/>
              </w:rPr>
              <w:t>3</w:t>
            </w:r>
            <w:r>
              <w:rPr>
                <w:color w:val="auto"/>
                <w:sz w:val="21"/>
                <w:szCs w:val="21"/>
                <w:highlight w:val="none"/>
              </w:rPr>
              <w:t>）施工期间控制好施工材料运输车辆车速。</w:t>
            </w:r>
          </w:p>
        </w:tc>
        <w:tc>
          <w:tcPr>
            <w:tcW w:w="571" w:type="pct"/>
            <w:tcBorders>
              <w:tl2br w:val="nil"/>
              <w:tr2bl w:val="nil"/>
            </w:tcBorders>
            <w:tcMar>
              <w:left w:w="57" w:type="dxa"/>
              <w:right w:w="57" w:type="dxa"/>
            </w:tcMar>
            <w:vAlign w:val="center"/>
          </w:tcPr>
          <w:p w14:paraId="6E82307D">
            <w:pPr>
              <w:adjustRightInd w:val="0"/>
              <w:spacing w:line="240" w:lineRule="auto"/>
              <w:ind w:firstLine="0" w:firstLineChars="0"/>
              <w:jc w:val="center"/>
              <w:rPr>
                <w:color w:val="auto"/>
                <w:sz w:val="21"/>
                <w:szCs w:val="21"/>
                <w:highlight w:val="none"/>
              </w:rPr>
            </w:pPr>
            <w:r>
              <w:rPr>
                <w:color w:val="auto"/>
                <w:sz w:val="21"/>
                <w:szCs w:val="21"/>
                <w:highlight w:val="none"/>
              </w:rPr>
              <w:t>达</w:t>
            </w:r>
            <w:r>
              <w:rPr>
                <w:rFonts w:hint="eastAsia"/>
                <w:color w:val="auto"/>
                <w:sz w:val="21"/>
                <w:szCs w:val="21"/>
                <w:highlight w:val="none"/>
              </w:rPr>
              <w:t>《建筑施工噪声排放标准》（GB12523-2025）</w:t>
            </w:r>
          </w:p>
        </w:tc>
        <w:tc>
          <w:tcPr>
            <w:tcW w:w="2080" w:type="pct"/>
            <w:tcBorders>
              <w:tl2br w:val="nil"/>
              <w:tr2bl w:val="nil"/>
            </w:tcBorders>
            <w:tcMar>
              <w:left w:w="57" w:type="dxa"/>
              <w:right w:w="57" w:type="dxa"/>
            </w:tcMar>
            <w:vAlign w:val="center"/>
          </w:tcPr>
          <w:p w14:paraId="692BD1F1">
            <w:pPr>
              <w:adjustRightInd w:val="0"/>
              <w:spacing w:line="240" w:lineRule="auto"/>
              <w:ind w:firstLine="0" w:firstLineChars="0"/>
              <w:jc w:val="center"/>
              <w:rPr>
                <w:color w:val="auto"/>
                <w:sz w:val="21"/>
                <w:szCs w:val="21"/>
                <w:highlight w:val="none"/>
              </w:rPr>
            </w:pPr>
            <w:r>
              <w:rPr>
                <w:color w:val="auto"/>
                <w:sz w:val="21"/>
                <w:szCs w:val="21"/>
                <w:highlight w:val="none"/>
              </w:rPr>
              <w:t>（1）项目夜间禁止生产。</w:t>
            </w:r>
          </w:p>
          <w:p w14:paraId="43EAB0BE">
            <w:pPr>
              <w:adjustRightInd w:val="0"/>
              <w:spacing w:line="240" w:lineRule="auto"/>
              <w:ind w:firstLine="0" w:firstLineChars="0"/>
              <w:jc w:val="center"/>
              <w:rPr>
                <w:color w:val="auto"/>
                <w:sz w:val="21"/>
                <w:szCs w:val="21"/>
                <w:highlight w:val="none"/>
              </w:rPr>
            </w:pPr>
            <w:r>
              <w:rPr>
                <w:color w:val="auto"/>
                <w:sz w:val="21"/>
                <w:szCs w:val="21"/>
                <w:highlight w:val="none"/>
              </w:rPr>
              <w:t>（2）</w:t>
            </w:r>
            <w:r>
              <w:rPr>
                <w:rFonts w:hint="eastAsia"/>
                <w:color w:val="auto"/>
                <w:sz w:val="21"/>
                <w:szCs w:val="21"/>
                <w:highlight w:val="none"/>
                <w:lang w:val="en-US" w:eastAsia="zh-CN"/>
              </w:rPr>
              <w:t>尽可能选用低噪声设备</w:t>
            </w:r>
            <w:r>
              <w:rPr>
                <w:color w:val="auto"/>
                <w:sz w:val="21"/>
                <w:szCs w:val="21"/>
                <w:highlight w:val="none"/>
              </w:rPr>
              <w:t>；</w:t>
            </w:r>
          </w:p>
          <w:p w14:paraId="1633122B">
            <w:pPr>
              <w:adjustRightInd w:val="0"/>
              <w:spacing w:line="240" w:lineRule="auto"/>
              <w:ind w:firstLine="0" w:firstLineChars="0"/>
              <w:jc w:val="center"/>
              <w:rPr>
                <w:color w:val="auto"/>
                <w:sz w:val="21"/>
                <w:szCs w:val="21"/>
                <w:highlight w:val="none"/>
              </w:rPr>
            </w:pPr>
            <w:r>
              <w:rPr>
                <w:color w:val="auto"/>
                <w:sz w:val="21"/>
                <w:szCs w:val="21"/>
                <w:highlight w:val="none"/>
              </w:rPr>
              <w:t>（3）做好设备日常维护和保养工作，防止因故障导致高噪声的产生；</w:t>
            </w:r>
          </w:p>
          <w:p w14:paraId="7318A283">
            <w:pPr>
              <w:adjustRightInd w:val="0"/>
              <w:spacing w:line="240" w:lineRule="auto"/>
              <w:ind w:firstLine="0" w:firstLineChars="0"/>
              <w:jc w:val="center"/>
              <w:rPr>
                <w:color w:val="auto"/>
                <w:sz w:val="21"/>
                <w:szCs w:val="21"/>
                <w:highlight w:val="none"/>
              </w:rPr>
            </w:pPr>
            <w:r>
              <w:rPr>
                <w:color w:val="auto"/>
                <w:sz w:val="21"/>
                <w:szCs w:val="21"/>
                <w:highlight w:val="none"/>
              </w:rPr>
              <w:t>（4）合理安排各设备运行时间，合理布局，降低项目设备噪声对周围环境的影响。</w:t>
            </w:r>
          </w:p>
          <w:p w14:paraId="3E56B452">
            <w:pPr>
              <w:adjustRightInd w:val="0"/>
              <w:spacing w:line="240" w:lineRule="auto"/>
              <w:ind w:firstLine="0" w:firstLineChars="0"/>
              <w:jc w:val="center"/>
              <w:rPr>
                <w:color w:val="auto"/>
                <w:sz w:val="21"/>
                <w:szCs w:val="21"/>
                <w:highlight w:val="none"/>
              </w:rPr>
            </w:pPr>
          </w:p>
        </w:tc>
        <w:tc>
          <w:tcPr>
            <w:tcW w:w="932" w:type="pct"/>
            <w:tcBorders>
              <w:tl2br w:val="nil"/>
              <w:tr2bl w:val="nil"/>
            </w:tcBorders>
            <w:tcMar>
              <w:left w:w="57" w:type="dxa"/>
              <w:right w:w="57" w:type="dxa"/>
            </w:tcMar>
            <w:vAlign w:val="center"/>
          </w:tcPr>
          <w:p w14:paraId="58E4C818">
            <w:pPr>
              <w:adjustRightInd w:val="0"/>
              <w:spacing w:line="240" w:lineRule="auto"/>
              <w:ind w:firstLine="0" w:firstLineChars="0"/>
              <w:jc w:val="center"/>
              <w:rPr>
                <w:color w:val="auto"/>
                <w:sz w:val="21"/>
                <w:szCs w:val="21"/>
                <w:highlight w:val="none"/>
              </w:rPr>
            </w:pPr>
            <w:r>
              <w:rPr>
                <w:rFonts w:hint="eastAsia"/>
                <w:color w:val="auto"/>
                <w:sz w:val="21"/>
                <w:szCs w:val="21"/>
                <w:highlight w:val="none"/>
              </w:rPr>
              <w:t>达到</w:t>
            </w:r>
            <w:r>
              <w:rPr>
                <w:color w:val="auto"/>
                <w:sz w:val="21"/>
                <w:szCs w:val="21"/>
                <w:highlight w:val="none"/>
              </w:rPr>
              <w:t>《工业企业厂界环境噪声排放标准》（GB12348-2008）2类标准</w:t>
            </w:r>
          </w:p>
        </w:tc>
      </w:tr>
      <w:tr w14:paraId="56FD9B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tcBorders>
              <w:tl2br w:val="nil"/>
              <w:tr2bl w:val="nil"/>
            </w:tcBorders>
            <w:tcMar>
              <w:left w:w="57" w:type="dxa"/>
              <w:right w:w="57" w:type="dxa"/>
            </w:tcMar>
            <w:vAlign w:val="center"/>
          </w:tcPr>
          <w:p w14:paraId="4EBAB5D1">
            <w:pPr>
              <w:adjustRightInd w:val="0"/>
              <w:spacing w:line="240" w:lineRule="auto"/>
              <w:ind w:firstLine="0" w:firstLineChars="0"/>
              <w:jc w:val="center"/>
              <w:rPr>
                <w:color w:val="auto"/>
                <w:sz w:val="21"/>
                <w:szCs w:val="21"/>
                <w:highlight w:val="none"/>
              </w:rPr>
            </w:pPr>
            <w:r>
              <w:rPr>
                <w:color w:val="auto"/>
                <w:sz w:val="21"/>
                <w:szCs w:val="21"/>
                <w:highlight w:val="none"/>
              </w:rPr>
              <w:t>振动</w:t>
            </w:r>
          </w:p>
        </w:tc>
        <w:tc>
          <w:tcPr>
            <w:tcW w:w="934" w:type="pct"/>
            <w:tcBorders>
              <w:tl2br w:val="nil"/>
              <w:tr2bl w:val="nil"/>
            </w:tcBorders>
            <w:tcMar>
              <w:left w:w="57" w:type="dxa"/>
              <w:right w:w="57" w:type="dxa"/>
            </w:tcMar>
            <w:vAlign w:val="center"/>
          </w:tcPr>
          <w:p w14:paraId="6BDDE8A4">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571" w:type="pct"/>
            <w:tcBorders>
              <w:tl2br w:val="nil"/>
              <w:tr2bl w:val="nil"/>
            </w:tcBorders>
            <w:tcMar>
              <w:left w:w="57" w:type="dxa"/>
              <w:right w:w="57" w:type="dxa"/>
            </w:tcMar>
            <w:vAlign w:val="center"/>
          </w:tcPr>
          <w:p w14:paraId="3B32D3FD">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2080" w:type="pct"/>
            <w:tcBorders>
              <w:tl2br w:val="nil"/>
              <w:tr2bl w:val="nil"/>
            </w:tcBorders>
            <w:tcMar>
              <w:left w:w="57" w:type="dxa"/>
              <w:right w:w="57" w:type="dxa"/>
            </w:tcMar>
            <w:vAlign w:val="center"/>
          </w:tcPr>
          <w:p w14:paraId="27FB66DB">
            <w:pPr>
              <w:adjustRightInd w:val="0"/>
              <w:spacing w:line="240" w:lineRule="auto"/>
              <w:ind w:firstLine="0" w:firstLineChars="0"/>
              <w:jc w:val="center"/>
              <w:rPr>
                <w:color w:val="auto"/>
                <w:sz w:val="21"/>
                <w:szCs w:val="21"/>
                <w:highlight w:val="none"/>
              </w:rPr>
            </w:pPr>
            <w:r>
              <w:rPr>
                <w:color w:val="auto"/>
                <w:sz w:val="21"/>
                <w:szCs w:val="21"/>
                <w:highlight w:val="none"/>
              </w:rPr>
              <w:t>做好爆破警示，爆破时，人员撤至300m安全线以外</w:t>
            </w:r>
          </w:p>
        </w:tc>
        <w:tc>
          <w:tcPr>
            <w:tcW w:w="932" w:type="pct"/>
            <w:tcBorders>
              <w:tl2br w:val="nil"/>
              <w:tr2bl w:val="nil"/>
            </w:tcBorders>
            <w:tcMar>
              <w:left w:w="57" w:type="dxa"/>
              <w:right w:w="57" w:type="dxa"/>
            </w:tcMar>
            <w:vAlign w:val="center"/>
          </w:tcPr>
          <w:p w14:paraId="72A5A025">
            <w:pPr>
              <w:adjustRightInd w:val="0"/>
              <w:spacing w:line="240" w:lineRule="auto"/>
              <w:ind w:firstLine="0" w:firstLineChars="0"/>
              <w:jc w:val="center"/>
              <w:rPr>
                <w:color w:val="auto"/>
                <w:sz w:val="21"/>
                <w:szCs w:val="21"/>
                <w:highlight w:val="none"/>
              </w:rPr>
            </w:pPr>
            <w:r>
              <w:rPr>
                <w:rFonts w:hint="eastAsia"/>
                <w:color w:val="auto"/>
                <w:sz w:val="21"/>
                <w:szCs w:val="21"/>
                <w:highlight w:val="none"/>
              </w:rPr>
              <w:t>未造成周边地面塌陷、建构筑物倒塌等</w:t>
            </w:r>
          </w:p>
        </w:tc>
      </w:tr>
      <w:tr w14:paraId="67827C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tcBorders>
              <w:tl2br w:val="nil"/>
              <w:tr2bl w:val="nil"/>
            </w:tcBorders>
            <w:tcMar>
              <w:left w:w="57" w:type="dxa"/>
              <w:right w:w="57" w:type="dxa"/>
            </w:tcMar>
            <w:vAlign w:val="center"/>
          </w:tcPr>
          <w:p w14:paraId="5A3C06E1">
            <w:pPr>
              <w:adjustRightInd w:val="0"/>
              <w:spacing w:line="240" w:lineRule="auto"/>
              <w:ind w:firstLine="0" w:firstLineChars="0"/>
              <w:jc w:val="center"/>
              <w:rPr>
                <w:color w:val="auto"/>
                <w:sz w:val="21"/>
                <w:szCs w:val="21"/>
                <w:highlight w:val="none"/>
              </w:rPr>
            </w:pPr>
            <w:r>
              <w:rPr>
                <w:color w:val="auto"/>
                <w:sz w:val="21"/>
                <w:szCs w:val="21"/>
                <w:highlight w:val="none"/>
              </w:rPr>
              <w:t>大气环境</w:t>
            </w:r>
          </w:p>
        </w:tc>
        <w:tc>
          <w:tcPr>
            <w:tcW w:w="934" w:type="pct"/>
            <w:tcBorders>
              <w:tl2br w:val="nil"/>
              <w:tr2bl w:val="nil"/>
            </w:tcBorders>
            <w:tcMar>
              <w:left w:w="57" w:type="dxa"/>
              <w:right w:w="57" w:type="dxa"/>
            </w:tcMar>
            <w:vAlign w:val="center"/>
          </w:tcPr>
          <w:p w14:paraId="380BCE08">
            <w:pPr>
              <w:adjustRightInd w:val="0"/>
              <w:spacing w:line="240" w:lineRule="auto"/>
              <w:ind w:firstLine="0" w:firstLineChars="0"/>
              <w:jc w:val="both"/>
              <w:rPr>
                <w:color w:val="auto"/>
                <w:sz w:val="21"/>
                <w:szCs w:val="21"/>
                <w:highlight w:val="none"/>
              </w:rPr>
            </w:pPr>
            <w:r>
              <w:rPr>
                <w:color w:val="auto"/>
                <w:sz w:val="21"/>
                <w:szCs w:val="21"/>
                <w:highlight w:val="none"/>
              </w:rPr>
              <w:t>（1）施工期对施工场地、入场道路等进行洒水降尘处理；</w:t>
            </w:r>
          </w:p>
          <w:p w14:paraId="05B00C00">
            <w:pPr>
              <w:adjustRightInd w:val="0"/>
              <w:spacing w:line="240" w:lineRule="auto"/>
              <w:ind w:firstLine="0" w:firstLineChars="0"/>
              <w:jc w:val="both"/>
              <w:rPr>
                <w:rFonts w:hint="eastAsia"/>
                <w:color w:val="auto"/>
                <w:sz w:val="21"/>
                <w:szCs w:val="21"/>
                <w:highlight w:val="none"/>
                <w:lang w:eastAsia="zh-CN"/>
              </w:rPr>
            </w:pPr>
            <w:r>
              <w:rPr>
                <w:color w:val="auto"/>
                <w:sz w:val="21"/>
                <w:szCs w:val="21"/>
                <w:highlight w:val="none"/>
              </w:rPr>
              <w:t>（2）材料运输过程中，控制车速，并采取篷布遮盖运输易产生扬尘的施工材料</w:t>
            </w:r>
            <w:r>
              <w:rPr>
                <w:rFonts w:hint="eastAsia"/>
                <w:color w:val="auto"/>
                <w:sz w:val="21"/>
                <w:szCs w:val="21"/>
                <w:highlight w:val="none"/>
                <w:lang w:eastAsia="zh-CN"/>
              </w:rPr>
              <w:t>；</w:t>
            </w:r>
          </w:p>
          <w:p w14:paraId="2977F1BF">
            <w:pPr>
              <w:adjustRightInd w:val="0"/>
              <w:spacing w:line="240" w:lineRule="auto"/>
              <w:ind w:firstLine="0" w:firstLineChars="0"/>
              <w:jc w:val="both"/>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）合理安排施工期，避开大风天；完工后及时清场、加强管理等措施进行控制。</w:t>
            </w:r>
          </w:p>
          <w:p w14:paraId="27DCAF8E">
            <w:pPr>
              <w:adjustRightInd w:val="0"/>
              <w:spacing w:line="240" w:lineRule="auto"/>
              <w:ind w:firstLine="0" w:firstLineChars="0"/>
              <w:jc w:val="center"/>
              <w:rPr>
                <w:color w:val="auto"/>
                <w:sz w:val="21"/>
                <w:szCs w:val="21"/>
                <w:highlight w:val="none"/>
              </w:rPr>
            </w:pPr>
          </w:p>
        </w:tc>
        <w:tc>
          <w:tcPr>
            <w:tcW w:w="571" w:type="pct"/>
            <w:tcBorders>
              <w:tl2br w:val="nil"/>
              <w:tr2bl w:val="nil"/>
            </w:tcBorders>
            <w:tcMar>
              <w:left w:w="57" w:type="dxa"/>
              <w:right w:w="57" w:type="dxa"/>
            </w:tcMar>
            <w:vAlign w:val="center"/>
          </w:tcPr>
          <w:p w14:paraId="0B839B84">
            <w:pPr>
              <w:adjustRightInd w:val="0"/>
              <w:spacing w:line="240" w:lineRule="auto"/>
              <w:ind w:firstLine="0" w:firstLineChars="0"/>
              <w:jc w:val="center"/>
              <w:rPr>
                <w:color w:val="auto"/>
                <w:sz w:val="21"/>
                <w:szCs w:val="21"/>
                <w:highlight w:val="none"/>
              </w:rPr>
            </w:pPr>
            <w:r>
              <w:rPr>
                <w:color w:val="auto"/>
                <w:sz w:val="21"/>
                <w:szCs w:val="21"/>
                <w:highlight w:val="none"/>
              </w:rPr>
              <w:t>达《大气污染物综合排放标准》（GB16297-1996）表2无组织浓度限值</w:t>
            </w:r>
          </w:p>
        </w:tc>
        <w:tc>
          <w:tcPr>
            <w:tcW w:w="2080" w:type="pct"/>
            <w:tcBorders>
              <w:tl2br w:val="nil"/>
              <w:tr2bl w:val="nil"/>
            </w:tcBorders>
            <w:tcMar>
              <w:left w:w="57" w:type="dxa"/>
              <w:right w:w="57" w:type="dxa"/>
            </w:tcMar>
            <w:vAlign w:val="center"/>
          </w:tcPr>
          <w:p w14:paraId="3C5AF15A">
            <w:pPr>
              <w:adjustRightInd w:val="0"/>
              <w:spacing w:line="240" w:lineRule="auto"/>
              <w:ind w:firstLine="0" w:firstLineChars="0"/>
              <w:jc w:val="both"/>
              <w:rPr>
                <w:rFonts w:hint="eastAsia"/>
                <w:color w:val="auto"/>
                <w:sz w:val="21"/>
                <w:szCs w:val="21"/>
                <w:highlight w:val="none"/>
              </w:rPr>
            </w:pPr>
            <w:r>
              <w:rPr>
                <w:rFonts w:hint="eastAsia"/>
                <w:color w:val="auto"/>
                <w:sz w:val="21"/>
                <w:szCs w:val="21"/>
                <w:highlight w:val="none"/>
              </w:rPr>
              <w:t>（1）露天开采区设置</w:t>
            </w:r>
            <w:r>
              <w:rPr>
                <w:rFonts w:hint="eastAsia"/>
                <w:color w:val="auto"/>
                <w:sz w:val="21"/>
                <w:szCs w:val="21"/>
                <w:highlight w:val="none"/>
                <w:lang w:val="en-US" w:eastAsia="zh-CN"/>
              </w:rPr>
              <w:t>1台雾炮机</w:t>
            </w:r>
            <w:r>
              <w:rPr>
                <w:rFonts w:hint="eastAsia"/>
                <w:color w:val="auto"/>
                <w:sz w:val="21"/>
                <w:szCs w:val="21"/>
                <w:highlight w:val="none"/>
              </w:rPr>
              <w:t>进行洒水降尘，洒水抑尘的效率达到7</w:t>
            </w:r>
            <w:r>
              <w:rPr>
                <w:rFonts w:hint="eastAsia"/>
                <w:color w:val="auto"/>
                <w:sz w:val="21"/>
                <w:szCs w:val="21"/>
                <w:highlight w:val="none"/>
                <w:lang w:val="en-US" w:eastAsia="zh-CN"/>
              </w:rPr>
              <w:t>4</w:t>
            </w:r>
            <w:r>
              <w:rPr>
                <w:rFonts w:hint="eastAsia"/>
                <w:color w:val="auto"/>
                <w:sz w:val="21"/>
                <w:szCs w:val="21"/>
                <w:highlight w:val="none"/>
              </w:rPr>
              <w:t>%左右。</w:t>
            </w:r>
          </w:p>
          <w:p w14:paraId="20ED5B93">
            <w:pPr>
              <w:adjustRightInd w:val="0"/>
              <w:spacing w:line="240" w:lineRule="auto"/>
              <w:ind w:firstLine="0" w:firstLineChars="0"/>
              <w:jc w:val="both"/>
              <w:rPr>
                <w:rFonts w:hint="eastAsia"/>
                <w:color w:val="auto"/>
                <w:sz w:val="21"/>
                <w:szCs w:val="21"/>
                <w:highlight w:val="none"/>
              </w:rPr>
            </w:pPr>
            <w:r>
              <w:rPr>
                <w:rFonts w:hint="eastAsia"/>
                <w:color w:val="auto"/>
                <w:sz w:val="21"/>
                <w:szCs w:val="21"/>
                <w:highlight w:val="none"/>
              </w:rPr>
              <w:t>（2）采取</w:t>
            </w:r>
            <w:r>
              <w:rPr>
                <w:rFonts w:hint="eastAsia"/>
                <w:color w:val="auto"/>
                <w:sz w:val="21"/>
                <w:szCs w:val="21"/>
                <w:highlight w:val="none"/>
                <w:lang w:val="en-US" w:eastAsia="zh-CN"/>
              </w:rPr>
              <w:t>1</w:t>
            </w:r>
            <w:r>
              <w:rPr>
                <w:rFonts w:hint="eastAsia"/>
                <w:color w:val="auto"/>
                <w:sz w:val="21"/>
                <w:szCs w:val="21"/>
                <w:highlight w:val="none"/>
              </w:rPr>
              <w:t>辆洒水车对项目区道路进行洒水降尘，洒水降尘对粉尘降尘效率约为7</w:t>
            </w:r>
            <w:r>
              <w:rPr>
                <w:rFonts w:hint="eastAsia"/>
                <w:color w:val="auto"/>
                <w:sz w:val="21"/>
                <w:szCs w:val="21"/>
                <w:highlight w:val="none"/>
                <w:lang w:val="en-US" w:eastAsia="zh-CN"/>
              </w:rPr>
              <w:t>4</w:t>
            </w:r>
            <w:r>
              <w:rPr>
                <w:rFonts w:hint="eastAsia"/>
                <w:color w:val="auto"/>
                <w:sz w:val="21"/>
                <w:szCs w:val="21"/>
                <w:highlight w:val="none"/>
              </w:rPr>
              <w:t>%；</w:t>
            </w:r>
          </w:p>
          <w:p w14:paraId="64CACBAE">
            <w:pPr>
              <w:adjustRightInd w:val="0"/>
              <w:spacing w:line="240" w:lineRule="auto"/>
              <w:ind w:firstLine="0" w:firstLineChars="0"/>
              <w:jc w:val="both"/>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3</w:t>
            </w:r>
            <w:r>
              <w:rPr>
                <w:rFonts w:hint="eastAsia"/>
                <w:color w:val="auto"/>
                <w:sz w:val="21"/>
                <w:szCs w:val="21"/>
                <w:highlight w:val="none"/>
                <w:lang w:eastAsia="zh-CN"/>
              </w:rPr>
              <w:t>）</w:t>
            </w:r>
            <w:r>
              <w:rPr>
                <w:rFonts w:hint="eastAsia"/>
                <w:color w:val="auto"/>
                <w:sz w:val="21"/>
                <w:szCs w:val="21"/>
                <w:highlight w:val="none"/>
                <w:lang w:val="en-US" w:eastAsia="zh-CN"/>
              </w:rPr>
              <w:t>破碎站全封闭，仅预留出入口</w:t>
            </w:r>
            <w:r>
              <w:rPr>
                <w:rFonts w:hint="eastAsia"/>
                <w:color w:val="auto"/>
                <w:sz w:val="21"/>
                <w:szCs w:val="21"/>
                <w:highlight w:val="none"/>
                <w:lang w:eastAsia="zh-CN"/>
              </w:rPr>
              <w:t>，破碎、制砂、筛分颗粒物经集气罩收集引入布袋除尘器处理后通过15m高排气筒排放，</w:t>
            </w:r>
            <w:r>
              <w:rPr>
                <w:rFonts w:hint="eastAsia"/>
                <w:color w:val="auto"/>
                <w:sz w:val="21"/>
                <w:szCs w:val="21"/>
                <w:highlight w:val="none"/>
                <w:lang w:val="en-US" w:eastAsia="zh-CN"/>
              </w:rPr>
              <w:t>生产设备分别各安装1套喷淋设备，共5套</w:t>
            </w:r>
            <w:r>
              <w:rPr>
                <w:rFonts w:hint="eastAsia"/>
                <w:color w:val="auto"/>
                <w:sz w:val="21"/>
                <w:szCs w:val="21"/>
                <w:highlight w:val="none"/>
                <w:lang w:eastAsia="zh-CN"/>
              </w:rPr>
              <w:t>；</w:t>
            </w:r>
            <w:r>
              <w:rPr>
                <w:rFonts w:hint="eastAsia"/>
                <w:color w:val="auto"/>
                <w:sz w:val="21"/>
                <w:szCs w:val="21"/>
                <w:highlight w:val="none"/>
                <w:lang w:val="en-US" w:eastAsia="zh-CN"/>
              </w:rPr>
              <w:t>砂料堆场设置为彩钢瓦大棚内</w:t>
            </w:r>
            <w:r>
              <w:rPr>
                <w:rFonts w:hint="eastAsia"/>
                <w:color w:val="auto"/>
                <w:sz w:val="21"/>
                <w:szCs w:val="21"/>
                <w:highlight w:val="none"/>
                <w:lang w:eastAsia="zh-CN"/>
              </w:rPr>
              <w:t>，</w:t>
            </w:r>
            <w:r>
              <w:rPr>
                <w:rFonts w:hint="eastAsia"/>
                <w:color w:val="auto"/>
                <w:sz w:val="21"/>
                <w:szCs w:val="21"/>
                <w:highlight w:val="none"/>
                <w:lang w:val="en-US" w:eastAsia="zh-CN"/>
              </w:rPr>
              <w:t>三面围挡+顶棚，仅预留出入口，设2套自动喷淋洒水降尘；</w:t>
            </w:r>
          </w:p>
          <w:p w14:paraId="088C4599">
            <w:pPr>
              <w:adjustRightInd w:val="0"/>
              <w:spacing w:line="240" w:lineRule="auto"/>
              <w:ind w:firstLine="0" w:firstLineChars="0"/>
              <w:jc w:val="both"/>
              <w:rPr>
                <w:rFonts w:hint="eastAsia"/>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4</w:t>
            </w:r>
            <w:r>
              <w:rPr>
                <w:rFonts w:hint="eastAsia"/>
                <w:color w:val="auto"/>
                <w:sz w:val="21"/>
                <w:szCs w:val="21"/>
                <w:highlight w:val="none"/>
              </w:rPr>
              <w:t>）</w:t>
            </w:r>
            <w:r>
              <w:rPr>
                <w:rFonts w:hint="eastAsia"/>
                <w:color w:val="auto"/>
                <w:sz w:val="21"/>
                <w:szCs w:val="21"/>
                <w:highlight w:val="none"/>
                <w:lang w:val="en-US" w:eastAsia="zh-CN"/>
              </w:rPr>
              <w:t>运输车辆覆盖篷布</w:t>
            </w:r>
            <w:r>
              <w:rPr>
                <w:rFonts w:hint="eastAsia"/>
                <w:color w:val="auto"/>
                <w:sz w:val="21"/>
                <w:szCs w:val="21"/>
                <w:highlight w:val="none"/>
              </w:rPr>
              <w:t>；</w:t>
            </w:r>
          </w:p>
          <w:p w14:paraId="4E398D7A">
            <w:pPr>
              <w:adjustRightInd w:val="0"/>
              <w:spacing w:line="240" w:lineRule="auto"/>
              <w:ind w:firstLine="0" w:firstLineChars="0"/>
              <w:jc w:val="both"/>
              <w:rPr>
                <w:rFonts w:hint="eastAsia"/>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5</w:t>
            </w:r>
            <w:r>
              <w:rPr>
                <w:rFonts w:hint="eastAsia"/>
                <w:color w:val="auto"/>
                <w:sz w:val="21"/>
                <w:szCs w:val="21"/>
                <w:highlight w:val="none"/>
              </w:rPr>
              <w:t>）若遇到强风天气，应视天气情况进行增加洒水降尘次数，或停止生产活动；</w:t>
            </w:r>
          </w:p>
          <w:p w14:paraId="52F1BD2A">
            <w:pPr>
              <w:adjustRightInd w:val="0"/>
              <w:spacing w:line="240" w:lineRule="auto"/>
              <w:ind w:firstLine="0" w:firstLineChars="0"/>
              <w:jc w:val="both"/>
              <w:rPr>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6</w:t>
            </w:r>
            <w:r>
              <w:rPr>
                <w:rFonts w:hint="eastAsia"/>
                <w:color w:val="auto"/>
                <w:sz w:val="21"/>
                <w:szCs w:val="21"/>
                <w:highlight w:val="none"/>
              </w:rPr>
              <w:t>）设置专人进行环保管理工作，加强喷雾降尘设备、洒水车的维护保养，确保洒水降尘措施落实。</w:t>
            </w:r>
          </w:p>
        </w:tc>
        <w:tc>
          <w:tcPr>
            <w:tcW w:w="932" w:type="pct"/>
            <w:tcBorders>
              <w:tl2br w:val="nil"/>
              <w:tr2bl w:val="nil"/>
            </w:tcBorders>
            <w:tcMar>
              <w:left w:w="57" w:type="dxa"/>
              <w:right w:w="57" w:type="dxa"/>
            </w:tcMar>
            <w:vAlign w:val="center"/>
          </w:tcPr>
          <w:p w14:paraId="1C5454D7">
            <w:pPr>
              <w:adjustRightInd w:val="0"/>
              <w:spacing w:line="240" w:lineRule="auto"/>
              <w:ind w:firstLine="0" w:firstLineChars="0"/>
              <w:jc w:val="center"/>
              <w:rPr>
                <w:rFonts w:hint="eastAsia" w:eastAsia="宋体"/>
                <w:color w:val="auto"/>
                <w:sz w:val="21"/>
                <w:szCs w:val="21"/>
                <w:highlight w:val="none"/>
                <w:lang w:val="en-US" w:eastAsia="zh-CN"/>
              </w:rPr>
            </w:pPr>
            <w:r>
              <w:rPr>
                <w:rFonts w:hint="eastAsia"/>
                <w:color w:val="auto"/>
                <w:sz w:val="21"/>
                <w:szCs w:val="21"/>
                <w:highlight w:val="none"/>
              </w:rPr>
              <w:t>（1）布袋除尘器+15m排气筒（DA001）排放的颗粒物达到《大气污染物综合排放标准》（GB16297-1996）二级标准要求</w:t>
            </w:r>
            <w:r>
              <w:rPr>
                <w:rFonts w:hint="eastAsia"/>
                <w:color w:val="auto"/>
                <w:sz w:val="21"/>
                <w:szCs w:val="21"/>
                <w:highlight w:val="none"/>
                <w:lang w:eastAsia="zh-CN"/>
              </w:rPr>
              <w:t>。</w:t>
            </w:r>
          </w:p>
          <w:p w14:paraId="1EF2E687">
            <w:pPr>
              <w:adjustRightInd w:val="0"/>
              <w:spacing w:line="240" w:lineRule="auto"/>
              <w:ind w:firstLine="0" w:firstLineChars="0"/>
              <w:jc w:val="center"/>
              <w:rPr>
                <w:color w:val="auto"/>
                <w:sz w:val="21"/>
                <w:szCs w:val="21"/>
                <w:highlight w:val="none"/>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）项目无组织排放的的颗粒物达到</w:t>
            </w:r>
            <w:r>
              <w:rPr>
                <w:color w:val="auto"/>
                <w:sz w:val="21"/>
                <w:szCs w:val="21"/>
                <w:highlight w:val="none"/>
              </w:rPr>
              <w:t>《大气污染物综合排放标准》（GB16297-1996）表2</w:t>
            </w:r>
            <w:r>
              <w:rPr>
                <w:rFonts w:hint="eastAsia"/>
                <w:color w:val="auto"/>
                <w:sz w:val="21"/>
                <w:szCs w:val="21"/>
                <w:highlight w:val="none"/>
              </w:rPr>
              <w:t>组织监控浓度浓度限值要求。</w:t>
            </w:r>
          </w:p>
        </w:tc>
      </w:tr>
      <w:tr w14:paraId="74EB01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tcBorders>
              <w:tl2br w:val="nil"/>
              <w:tr2bl w:val="nil"/>
            </w:tcBorders>
            <w:tcMar>
              <w:left w:w="57" w:type="dxa"/>
              <w:right w:w="57" w:type="dxa"/>
            </w:tcMar>
            <w:vAlign w:val="center"/>
          </w:tcPr>
          <w:p w14:paraId="13F2ABDD">
            <w:pPr>
              <w:adjustRightInd w:val="0"/>
              <w:spacing w:line="240" w:lineRule="auto"/>
              <w:ind w:firstLine="0" w:firstLineChars="0"/>
              <w:jc w:val="center"/>
              <w:rPr>
                <w:color w:val="auto"/>
                <w:sz w:val="21"/>
                <w:szCs w:val="21"/>
                <w:highlight w:val="none"/>
              </w:rPr>
            </w:pPr>
            <w:r>
              <w:rPr>
                <w:color w:val="auto"/>
                <w:sz w:val="21"/>
                <w:szCs w:val="21"/>
                <w:highlight w:val="none"/>
              </w:rPr>
              <w:t>固体废物</w:t>
            </w:r>
          </w:p>
        </w:tc>
        <w:tc>
          <w:tcPr>
            <w:tcW w:w="934" w:type="pct"/>
            <w:tcBorders>
              <w:tl2br w:val="nil"/>
              <w:tr2bl w:val="nil"/>
            </w:tcBorders>
            <w:tcMar>
              <w:left w:w="57" w:type="dxa"/>
              <w:right w:w="57" w:type="dxa"/>
            </w:tcMar>
            <w:vAlign w:val="center"/>
          </w:tcPr>
          <w:p w14:paraId="247B0D03">
            <w:pPr>
              <w:adjustRightInd w:val="0"/>
              <w:spacing w:line="240" w:lineRule="auto"/>
              <w:ind w:firstLine="0" w:firstLineChars="0"/>
              <w:jc w:val="both"/>
              <w:rPr>
                <w:rFonts w:hint="eastAsia"/>
                <w:color w:val="auto"/>
                <w:sz w:val="21"/>
                <w:szCs w:val="21"/>
                <w:highlight w:val="none"/>
                <w:lang w:eastAsia="zh-CN"/>
              </w:rPr>
            </w:pPr>
            <w:r>
              <w:rPr>
                <w:rFonts w:hint="eastAsia"/>
                <w:color w:val="auto"/>
                <w:sz w:val="21"/>
                <w:szCs w:val="21"/>
                <w:highlight w:val="none"/>
                <w:lang w:eastAsia="zh-CN"/>
              </w:rPr>
              <w:t>（1）土石方回填及</w:t>
            </w:r>
            <w:r>
              <w:rPr>
                <w:rFonts w:hint="eastAsia"/>
                <w:color w:val="auto"/>
                <w:sz w:val="21"/>
                <w:szCs w:val="21"/>
                <w:highlight w:val="none"/>
                <w:lang w:val="en-US" w:eastAsia="zh-CN"/>
              </w:rPr>
              <w:t>道路铺垫</w:t>
            </w:r>
            <w:r>
              <w:rPr>
                <w:rFonts w:hint="eastAsia"/>
                <w:color w:val="auto"/>
                <w:sz w:val="21"/>
                <w:szCs w:val="21"/>
                <w:highlight w:val="none"/>
                <w:lang w:eastAsia="zh-CN"/>
              </w:rPr>
              <w:t>，最终无永久弃方产生；</w:t>
            </w:r>
          </w:p>
          <w:p w14:paraId="2C629026">
            <w:pPr>
              <w:adjustRightInd w:val="0"/>
              <w:spacing w:line="240" w:lineRule="auto"/>
              <w:ind w:firstLine="0" w:firstLineChars="0"/>
              <w:jc w:val="both"/>
              <w:rPr>
                <w:rFonts w:hint="eastAsia"/>
                <w:color w:val="auto"/>
                <w:sz w:val="21"/>
                <w:szCs w:val="21"/>
                <w:highlight w:val="none"/>
                <w:lang w:eastAsia="zh-CN"/>
              </w:rPr>
            </w:pPr>
            <w:r>
              <w:rPr>
                <w:rFonts w:hint="eastAsia"/>
                <w:color w:val="auto"/>
                <w:sz w:val="21"/>
                <w:szCs w:val="21"/>
                <w:highlight w:val="none"/>
                <w:lang w:eastAsia="zh-CN"/>
              </w:rPr>
              <w:t>（2）建筑废料应进行充分回收利用，不能回收利用的部分应给予统一收集，不能随意丢弃，统一收集后运往城建部门指定地点进行处置；</w:t>
            </w:r>
          </w:p>
          <w:p w14:paraId="63CDA0F9">
            <w:pPr>
              <w:adjustRightInd w:val="0"/>
              <w:spacing w:line="240" w:lineRule="auto"/>
              <w:ind w:firstLine="0" w:firstLineChars="0"/>
              <w:jc w:val="both"/>
              <w:rPr>
                <w:color w:val="auto"/>
                <w:sz w:val="21"/>
                <w:szCs w:val="21"/>
                <w:highlight w:val="none"/>
              </w:rPr>
            </w:pPr>
            <w:r>
              <w:rPr>
                <w:rFonts w:hint="eastAsia"/>
                <w:color w:val="auto"/>
                <w:sz w:val="21"/>
                <w:szCs w:val="21"/>
                <w:highlight w:val="none"/>
                <w:lang w:eastAsia="zh-CN"/>
              </w:rPr>
              <w:t>（3）生活垃圾经过统一收集后委托环卫部门清运。</w:t>
            </w:r>
          </w:p>
        </w:tc>
        <w:tc>
          <w:tcPr>
            <w:tcW w:w="571" w:type="pct"/>
            <w:tcBorders>
              <w:tl2br w:val="nil"/>
              <w:tr2bl w:val="nil"/>
            </w:tcBorders>
            <w:tcMar>
              <w:left w:w="57" w:type="dxa"/>
              <w:right w:w="57" w:type="dxa"/>
            </w:tcMar>
            <w:vAlign w:val="center"/>
          </w:tcPr>
          <w:p w14:paraId="2DECE267">
            <w:pPr>
              <w:adjustRightInd w:val="0"/>
              <w:spacing w:line="240" w:lineRule="auto"/>
              <w:ind w:firstLine="0" w:firstLineChars="0"/>
              <w:jc w:val="center"/>
              <w:rPr>
                <w:color w:val="auto"/>
                <w:sz w:val="21"/>
                <w:szCs w:val="21"/>
                <w:highlight w:val="none"/>
              </w:rPr>
            </w:pPr>
            <w:r>
              <w:rPr>
                <w:color w:val="auto"/>
                <w:sz w:val="21"/>
                <w:szCs w:val="21"/>
                <w:highlight w:val="none"/>
              </w:rPr>
              <w:t>处置率100%</w:t>
            </w:r>
          </w:p>
        </w:tc>
        <w:tc>
          <w:tcPr>
            <w:tcW w:w="2080" w:type="pct"/>
            <w:tcBorders>
              <w:tl2br w:val="nil"/>
              <w:tr2bl w:val="nil"/>
            </w:tcBorders>
            <w:tcMar>
              <w:left w:w="57" w:type="dxa"/>
              <w:right w:w="57" w:type="dxa"/>
            </w:tcMar>
            <w:vAlign w:val="center"/>
          </w:tcPr>
          <w:p w14:paraId="29877861">
            <w:pPr>
              <w:adjustRightInd w:val="0"/>
              <w:spacing w:line="240" w:lineRule="auto"/>
              <w:ind w:firstLine="0" w:firstLineChars="0"/>
              <w:jc w:val="both"/>
              <w:rPr>
                <w:color w:val="auto"/>
                <w:sz w:val="21"/>
                <w:szCs w:val="21"/>
                <w:highlight w:val="none"/>
              </w:rPr>
            </w:pPr>
            <w:r>
              <w:rPr>
                <w:color w:val="auto"/>
                <w:sz w:val="21"/>
                <w:szCs w:val="21"/>
                <w:highlight w:val="none"/>
              </w:rPr>
              <w:t>（1）项目生产过程中</w:t>
            </w:r>
            <w:r>
              <w:rPr>
                <w:rFonts w:hint="eastAsia"/>
                <w:color w:val="auto"/>
                <w:sz w:val="21"/>
                <w:szCs w:val="21"/>
                <w:highlight w:val="none"/>
                <w:lang w:val="en-US" w:eastAsia="zh-CN"/>
              </w:rPr>
              <w:t>产生的</w:t>
            </w:r>
            <w:r>
              <w:rPr>
                <w:rFonts w:hint="eastAsia"/>
                <w:color w:val="auto"/>
                <w:sz w:val="21"/>
                <w:szCs w:val="21"/>
                <w:highlight w:val="none"/>
              </w:rPr>
              <w:t>废</w:t>
            </w:r>
            <w:r>
              <w:rPr>
                <w:rFonts w:hint="eastAsia"/>
                <w:color w:val="auto"/>
                <w:sz w:val="21"/>
                <w:szCs w:val="21"/>
                <w:highlight w:val="none"/>
                <w:lang w:val="en-US" w:eastAsia="zh-CN"/>
              </w:rPr>
              <w:t>土</w:t>
            </w:r>
            <w:r>
              <w:rPr>
                <w:rFonts w:hint="eastAsia"/>
                <w:color w:val="auto"/>
                <w:sz w:val="21"/>
                <w:szCs w:val="21"/>
                <w:highlight w:val="none"/>
              </w:rPr>
              <w:t>石</w:t>
            </w:r>
            <w:r>
              <w:rPr>
                <w:rFonts w:hint="eastAsia"/>
                <w:color w:val="auto"/>
                <w:sz w:val="21"/>
                <w:szCs w:val="21"/>
                <w:highlight w:val="none"/>
                <w:lang w:val="en-US" w:eastAsia="zh-CN"/>
              </w:rPr>
              <w:t>和</w:t>
            </w:r>
            <w:r>
              <w:rPr>
                <w:rFonts w:hint="eastAsia"/>
                <w:color w:val="auto"/>
                <w:sz w:val="21"/>
                <w:szCs w:val="21"/>
                <w:highlight w:val="none"/>
              </w:rPr>
              <w:t>剥离废土</w:t>
            </w:r>
            <w:r>
              <w:rPr>
                <w:rFonts w:hint="eastAsia"/>
                <w:color w:val="auto"/>
                <w:sz w:val="21"/>
                <w:szCs w:val="21"/>
                <w:highlight w:val="none"/>
                <w:lang w:val="en-US" w:eastAsia="zh-CN"/>
              </w:rPr>
              <w:t>暂存于表土堆场用于</w:t>
            </w:r>
            <w:r>
              <w:rPr>
                <w:rFonts w:hint="eastAsia"/>
                <w:color w:val="auto"/>
                <w:sz w:val="21"/>
                <w:szCs w:val="21"/>
                <w:highlight w:val="none"/>
              </w:rPr>
              <w:t>矿</w:t>
            </w:r>
            <w:r>
              <w:rPr>
                <w:rFonts w:hint="eastAsia"/>
                <w:color w:val="auto"/>
                <w:sz w:val="21"/>
                <w:szCs w:val="21"/>
                <w:highlight w:val="none"/>
                <w:lang w:val="en-US" w:eastAsia="zh-CN"/>
              </w:rPr>
              <w:t>区采空</w:t>
            </w:r>
            <w:r>
              <w:rPr>
                <w:rFonts w:hint="eastAsia"/>
                <w:color w:val="auto"/>
                <w:sz w:val="21"/>
                <w:szCs w:val="21"/>
                <w:highlight w:val="none"/>
              </w:rPr>
              <w:t>平台</w:t>
            </w:r>
            <w:r>
              <w:rPr>
                <w:rFonts w:hint="eastAsia"/>
                <w:color w:val="auto"/>
                <w:sz w:val="21"/>
                <w:szCs w:val="21"/>
                <w:highlight w:val="none"/>
                <w:lang w:val="en-US" w:eastAsia="zh-CN"/>
              </w:rPr>
              <w:t>覆土复垦，进行植被恢复</w:t>
            </w:r>
            <w:r>
              <w:rPr>
                <w:color w:val="auto"/>
                <w:sz w:val="21"/>
                <w:szCs w:val="21"/>
                <w:highlight w:val="none"/>
              </w:rPr>
              <w:t>；</w:t>
            </w:r>
          </w:p>
          <w:p w14:paraId="4219AE21">
            <w:pPr>
              <w:adjustRightInd w:val="0"/>
              <w:spacing w:line="240" w:lineRule="auto"/>
              <w:ind w:firstLine="0" w:firstLineChars="0"/>
              <w:jc w:val="both"/>
              <w:rPr>
                <w:color w:val="auto"/>
                <w:sz w:val="21"/>
                <w:szCs w:val="21"/>
                <w:highlight w:val="none"/>
              </w:rPr>
            </w:pPr>
            <w:r>
              <w:rPr>
                <w:color w:val="auto"/>
                <w:sz w:val="21"/>
                <w:szCs w:val="21"/>
                <w:highlight w:val="none"/>
              </w:rPr>
              <w:t>（2）</w:t>
            </w:r>
            <w:r>
              <w:rPr>
                <w:rFonts w:hint="eastAsia"/>
                <w:color w:val="auto"/>
                <w:sz w:val="21"/>
                <w:szCs w:val="21"/>
                <w:highlight w:val="none"/>
                <w:lang w:eastAsia="zh-CN"/>
              </w:rPr>
              <w:t>沉砂池</w:t>
            </w:r>
            <w:r>
              <w:rPr>
                <w:color w:val="auto"/>
                <w:sz w:val="21"/>
                <w:szCs w:val="21"/>
                <w:highlight w:val="none"/>
              </w:rPr>
              <w:t>泥沙定期清掏</w:t>
            </w:r>
            <w:r>
              <w:rPr>
                <w:rFonts w:hint="eastAsia"/>
                <w:color w:val="auto"/>
                <w:sz w:val="21"/>
                <w:szCs w:val="21"/>
                <w:highlight w:val="none"/>
                <w:lang w:val="en-US" w:eastAsia="zh-CN"/>
              </w:rPr>
              <w:t>暂存于临时表土堆场用于采空区平整及覆土复垦</w:t>
            </w:r>
            <w:r>
              <w:rPr>
                <w:color w:val="auto"/>
                <w:sz w:val="21"/>
                <w:szCs w:val="21"/>
                <w:highlight w:val="none"/>
              </w:rPr>
              <w:t>；</w:t>
            </w:r>
          </w:p>
          <w:p w14:paraId="4956AD94">
            <w:pPr>
              <w:adjustRightInd w:val="0"/>
              <w:spacing w:line="240" w:lineRule="auto"/>
              <w:ind w:firstLine="0" w:firstLineChars="0"/>
              <w:jc w:val="both"/>
              <w:rPr>
                <w:color w:val="auto"/>
                <w:sz w:val="21"/>
                <w:szCs w:val="21"/>
                <w:highlight w:val="none"/>
                <w:lang w:eastAsia="zh-CN"/>
              </w:rPr>
            </w:pPr>
            <w:r>
              <w:rPr>
                <w:color w:val="auto"/>
                <w:sz w:val="21"/>
                <w:szCs w:val="21"/>
                <w:highlight w:val="none"/>
                <w:lang w:eastAsia="zh-CN"/>
              </w:rPr>
              <w:t>（3）除尘器收集粉尘进行外售；</w:t>
            </w:r>
          </w:p>
          <w:p w14:paraId="3148E16B">
            <w:pPr>
              <w:adjustRightInd w:val="0"/>
              <w:spacing w:line="240" w:lineRule="auto"/>
              <w:ind w:firstLine="0" w:firstLineChars="0"/>
              <w:jc w:val="both"/>
              <w:rPr>
                <w:color w:val="auto"/>
                <w:sz w:val="21"/>
                <w:szCs w:val="21"/>
                <w:highlight w:val="none"/>
                <w:lang w:eastAsia="zh-CN"/>
              </w:rPr>
            </w:pPr>
            <w:r>
              <w:rPr>
                <w:color w:val="auto"/>
                <w:sz w:val="21"/>
                <w:szCs w:val="21"/>
                <w:highlight w:val="none"/>
                <w:lang w:eastAsia="zh-CN"/>
              </w:rPr>
              <w:t>（4）化粪池粪污</w:t>
            </w:r>
            <w:r>
              <w:rPr>
                <w:rFonts w:hint="eastAsia"/>
                <w:color w:val="auto"/>
                <w:sz w:val="21"/>
                <w:szCs w:val="21"/>
                <w:highlight w:val="none"/>
                <w:lang w:val="en-US" w:eastAsia="zh-CN"/>
              </w:rPr>
              <w:t>定期清掏用作农肥</w:t>
            </w:r>
            <w:r>
              <w:rPr>
                <w:color w:val="auto"/>
                <w:sz w:val="21"/>
                <w:szCs w:val="21"/>
                <w:highlight w:val="none"/>
                <w:lang w:eastAsia="zh-CN"/>
              </w:rPr>
              <w:t>；</w:t>
            </w:r>
          </w:p>
          <w:p w14:paraId="2CA7068C">
            <w:pPr>
              <w:adjustRightInd w:val="0"/>
              <w:spacing w:line="240" w:lineRule="auto"/>
              <w:ind w:firstLine="0" w:firstLineChars="0"/>
              <w:jc w:val="both"/>
              <w:rPr>
                <w:color w:val="auto"/>
                <w:sz w:val="21"/>
                <w:szCs w:val="21"/>
                <w:highlight w:val="none"/>
                <w:lang w:eastAsia="zh-CN"/>
              </w:rPr>
            </w:pPr>
            <w:r>
              <w:rPr>
                <w:color w:val="auto"/>
                <w:sz w:val="21"/>
                <w:szCs w:val="21"/>
                <w:highlight w:val="none"/>
                <w:lang w:eastAsia="zh-CN"/>
              </w:rPr>
              <w:t>（5）生活垃圾集中收集后由管理人员定期清运至附近村镇垃圾收集点，由环卫部门清运处置；</w:t>
            </w:r>
          </w:p>
          <w:p w14:paraId="220983C1">
            <w:pPr>
              <w:adjustRightInd w:val="0"/>
              <w:spacing w:line="240" w:lineRule="auto"/>
              <w:ind w:firstLine="0" w:firstLineChars="0"/>
              <w:jc w:val="both"/>
              <w:rPr>
                <w:color w:val="auto"/>
                <w:sz w:val="21"/>
                <w:szCs w:val="21"/>
                <w:highlight w:val="none"/>
              </w:rPr>
            </w:pPr>
            <w:r>
              <w:rPr>
                <w:color w:val="auto"/>
                <w:sz w:val="21"/>
                <w:szCs w:val="21"/>
                <w:highlight w:val="none"/>
                <w:lang w:eastAsia="zh-CN"/>
              </w:rPr>
              <w:t>（6）项目机修产生的</w:t>
            </w:r>
            <w:r>
              <w:rPr>
                <w:rFonts w:hint="eastAsia"/>
                <w:color w:val="auto"/>
                <w:sz w:val="21"/>
                <w:szCs w:val="21"/>
                <w:highlight w:val="none"/>
                <w:lang w:val="en-US" w:eastAsia="zh-CN"/>
              </w:rPr>
              <w:t>废机油</w:t>
            </w:r>
            <w:r>
              <w:rPr>
                <w:rFonts w:hint="eastAsia"/>
                <w:color w:val="auto"/>
                <w:sz w:val="21"/>
                <w:szCs w:val="21"/>
                <w:highlight w:val="none"/>
                <w:lang w:eastAsia="zh-CN"/>
              </w:rPr>
              <w:t>、沾染矿物油的废弃包装物</w:t>
            </w:r>
            <w:r>
              <w:rPr>
                <w:color w:val="auto"/>
                <w:sz w:val="21"/>
                <w:szCs w:val="21"/>
                <w:highlight w:val="none"/>
                <w:lang w:eastAsia="zh-CN"/>
              </w:rPr>
              <w:t>暂存于</w:t>
            </w:r>
            <w:r>
              <w:rPr>
                <w:rFonts w:hint="eastAsia"/>
                <w:color w:val="auto"/>
                <w:sz w:val="21"/>
                <w:szCs w:val="21"/>
                <w:highlight w:val="none"/>
                <w:lang w:eastAsia="zh-CN"/>
              </w:rPr>
              <w:t>危险废物贮存间（</w:t>
            </w:r>
            <w:r>
              <w:rPr>
                <w:rFonts w:hint="eastAsia"/>
                <w:color w:val="auto"/>
                <w:sz w:val="21"/>
                <w:szCs w:val="21"/>
                <w:highlight w:val="none"/>
                <w:lang w:val="en-US" w:eastAsia="zh-CN"/>
              </w:rPr>
              <w:t>5m</w:t>
            </w:r>
            <w:r>
              <w:rPr>
                <w:rFonts w:hint="eastAsia"/>
                <w:color w:val="auto"/>
                <w:sz w:val="21"/>
                <w:szCs w:val="21"/>
                <w:highlight w:val="none"/>
                <w:vertAlign w:val="superscript"/>
                <w:lang w:val="en-US" w:eastAsia="zh-CN"/>
              </w:rPr>
              <w:t>2</w:t>
            </w:r>
            <w:r>
              <w:rPr>
                <w:rFonts w:hint="eastAsia"/>
                <w:color w:val="auto"/>
                <w:sz w:val="21"/>
                <w:szCs w:val="21"/>
                <w:highlight w:val="none"/>
                <w:lang w:eastAsia="zh-CN"/>
              </w:rPr>
              <w:t>），</w:t>
            </w:r>
            <w:r>
              <w:rPr>
                <w:color w:val="auto"/>
                <w:sz w:val="21"/>
                <w:szCs w:val="21"/>
                <w:highlight w:val="none"/>
                <w:lang w:eastAsia="zh-CN"/>
              </w:rPr>
              <w:t>委托有资质单位处理。</w:t>
            </w:r>
          </w:p>
        </w:tc>
        <w:tc>
          <w:tcPr>
            <w:tcW w:w="932" w:type="pct"/>
            <w:tcBorders>
              <w:tl2br w:val="nil"/>
              <w:tr2bl w:val="nil"/>
            </w:tcBorders>
            <w:tcMar>
              <w:left w:w="57" w:type="dxa"/>
              <w:right w:w="57" w:type="dxa"/>
            </w:tcMar>
            <w:vAlign w:val="center"/>
          </w:tcPr>
          <w:p w14:paraId="34672B0B">
            <w:pPr>
              <w:adjustRightInd w:val="0"/>
              <w:spacing w:line="240" w:lineRule="auto"/>
              <w:ind w:firstLine="0" w:firstLineChars="0"/>
              <w:jc w:val="center"/>
              <w:rPr>
                <w:color w:val="auto"/>
                <w:sz w:val="21"/>
                <w:szCs w:val="21"/>
                <w:highlight w:val="none"/>
              </w:rPr>
            </w:pPr>
            <w:r>
              <w:rPr>
                <w:color w:val="auto"/>
                <w:sz w:val="21"/>
                <w:szCs w:val="21"/>
                <w:highlight w:val="none"/>
              </w:rPr>
              <w:t>处置率100%</w:t>
            </w:r>
          </w:p>
        </w:tc>
      </w:tr>
      <w:tr w14:paraId="45CCA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tcBorders>
              <w:tl2br w:val="nil"/>
              <w:tr2bl w:val="nil"/>
            </w:tcBorders>
            <w:tcMar>
              <w:left w:w="57" w:type="dxa"/>
              <w:right w:w="57" w:type="dxa"/>
            </w:tcMar>
            <w:vAlign w:val="center"/>
          </w:tcPr>
          <w:p w14:paraId="76A3FC1B">
            <w:pPr>
              <w:adjustRightInd w:val="0"/>
              <w:spacing w:line="240" w:lineRule="auto"/>
              <w:ind w:firstLine="0" w:firstLineChars="0"/>
              <w:jc w:val="center"/>
              <w:rPr>
                <w:color w:val="auto"/>
                <w:sz w:val="21"/>
                <w:szCs w:val="21"/>
                <w:highlight w:val="none"/>
              </w:rPr>
            </w:pPr>
            <w:r>
              <w:rPr>
                <w:color w:val="auto"/>
                <w:sz w:val="21"/>
                <w:szCs w:val="21"/>
                <w:highlight w:val="none"/>
              </w:rPr>
              <w:t>电磁环境</w:t>
            </w:r>
          </w:p>
        </w:tc>
        <w:tc>
          <w:tcPr>
            <w:tcW w:w="934" w:type="pct"/>
            <w:tcBorders>
              <w:tl2br w:val="nil"/>
              <w:tr2bl w:val="nil"/>
            </w:tcBorders>
            <w:tcMar>
              <w:left w:w="57" w:type="dxa"/>
              <w:right w:w="57" w:type="dxa"/>
            </w:tcMar>
            <w:vAlign w:val="center"/>
          </w:tcPr>
          <w:p w14:paraId="0C0B9BE9">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571" w:type="pct"/>
            <w:tcBorders>
              <w:tl2br w:val="nil"/>
              <w:tr2bl w:val="nil"/>
            </w:tcBorders>
            <w:tcMar>
              <w:left w:w="57" w:type="dxa"/>
              <w:right w:w="57" w:type="dxa"/>
            </w:tcMar>
            <w:vAlign w:val="center"/>
          </w:tcPr>
          <w:p w14:paraId="3468F61D">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2080" w:type="pct"/>
            <w:tcBorders>
              <w:tl2br w:val="nil"/>
              <w:tr2bl w:val="nil"/>
            </w:tcBorders>
            <w:tcMar>
              <w:left w:w="57" w:type="dxa"/>
              <w:right w:w="57" w:type="dxa"/>
            </w:tcMar>
            <w:vAlign w:val="center"/>
          </w:tcPr>
          <w:p w14:paraId="39B6806A">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932" w:type="pct"/>
            <w:tcBorders>
              <w:tl2br w:val="nil"/>
              <w:tr2bl w:val="nil"/>
            </w:tcBorders>
            <w:tcMar>
              <w:left w:w="57" w:type="dxa"/>
              <w:right w:w="57" w:type="dxa"/>
            </w:tcMar>
            <w:vAlign w:val="center"/>
          </w:tcPr>
          <w:p w14:paraId="29694018">
            <w:pPr>
              <w:adjustRightInd w:val="0"/>
              <w:spacing w:line="240" w:lineRule="auto"/>
              <w:ind w:firstLine="0" w:firstLineChars="0"/>
              <w:jc w:val="center"/>
              <w:rPr>
                <w:color w:val="auto"/>
                <w:sz w:val="21"/>
                <w:szCs w:val="21"/>
                <w:highlight w:val="none"/>
              </w:rPr>
            </w:pPr>
            <w:r>
              <w:rPr>
                <w:color w:val="auto"/>
                <w:sz w:val="21"/>
                <w:szCs w:val="21"/>
                <w:highlight w:val="none"/>
              </w:rPr>
              <w:t>/</w:t>
            </w:r>
          </w:p>
        </w:tc>
      </w:tr>
      <w:tr w14:paraId="0A3B26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tcBorders>
              <w:tl2br w:val="nil"/>
              <w:tr2bl w:val="nil"/>
            </w:tcBorders>
            <w:tcMar>
              <w:left w:w="57" w:type="dxa"/>
              <w:right w:w="57" w:type="dxa"/>
            </w:tcMar>
            <w:vAlign w:val="center"/>
          </w:tcPr>
          <w:p w14:paraId="582A5249">
            <w:pPr>
              <w:adjustRightInd w:val="0"/>
              <w:spacing w:line="240" w:lineRule="auto"/>
              <w:ind w:firstLine="0" w:firstLineChars="0"/>
              <w:jc w:val="center"/>
              <w:rPr>
                <w:color w:val="auto"/>
                <w:sz w:val="21"/>
                <w:szCs w:val="21"/>
                <w:highlight w:val="none"/>
              </w:rPr>
            </w:pPr>
            <w:r>
              <w:rPr>
                <w:color w:val="auto"/>
                <w:sz w:val="21"/>
                <w:szCs w:val="21"/>
                <w:highlight w:val="none"/>
              </w:rPr>
              <w:t>环境风险</w:t>
            </w:r>
          </w:p>
        </w:tc>
        <w:tc>
          <w:tcPr>
            <w:tcW w:w="934" w:type="pct"/>
            <w:tcBorders>
              <w:tl2br w:val="nil"/>
              <w:tr2bl w:val="nil"/>
            </w:tcBorders>
            <w:tcMar>
              <w:left w:w="57" w:type="dxa"/>
              <w:right w:w="57" w:type="dxa"/>
            </w:tcMar>
            <w:vAlign w:val="center"/>
          </w:tcPr>
          <w:p w14:paraId="6AA39B79">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571" w:type="pct"/>
            <w:tcBorders>
              <w:tl2br w:val="nil"/>
              <w:tr2bl w:val="nil"/>
            </w:tcBorders>
            <w:tcMar>
              <w:left w:w="57" w:type="dxa"/>
              <w:right w:w="57" w:type="dxa"/>
            </w:tcMar>
            <w:vAlign w:val="center"/>
          </w:tcPr>
          <w:p w14:paraId="219072CF">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2080" w:type="pct"/>
            <w:tcBorders>
              <w:tl2br w:val="nil"/>
              <w:tr2bl w:val="nil"/>
            </w:tcBorders>
            <w:tcMar>
              <w:left w:w="57" w:type="dxa"/>
              <w:right w:w="57" w:type="dxa"/>
            </w:tcMar>
            <w:vAlign w:val="center"/>
          </w:tcPr>
          <w:p w14:paraId="3D9140B9">
            <w:pPr>
              <w:adjustRightInd w:val="0"/>
              <w:spacing w:line="240" w:lineRule="auto"/>
              <w:ind w:firstLine="0" w:firstLineChars="0"/>
              <w:rPr>
                <w:b/>
                <w:color w:val="auto"/>
                <w:kern w:val="0"/>
                <w:sz w:val="21"/>
                <w:szCs w:val="21"/>
                <w:highlight w:val="none"/>
              </w:rPr>
            </w:pPr>
            <w:r>
              <w:rPr>
                <w:b/>
                <w:color w:val="auto"/>
                <w:kern w:val="0"/>
                <w:sz w:val="21"/>
                <w:szCs w:val="21"/>
                <w:highlight w:val="none"/>
              </w:rPr>
              <w:t>1、防范措施</w:t>
            </w:r>
          </w:p>
          <w:p w14:paraId="44CEAD25">
            <w:pPr>
              <w:adjustRightInd w:val="0"/>
              <w:spacing w:line="240" w:lineRule="auto"/>
              <w:ind w:firstLine="0" w:firstLineChars="0"/>
              <w:rPr>
                <w:rFonts w:hint="eastAsia"/>
                <w:b w:val="0"/>
                <w:bCs/>
                <w:color w:val="auto"/>
                <w:kern w:val="0"/>
                <w:sz w:val="21"/>
                <w:szCs w:val="21"/>
                <w:highlight w:val="none"/>
                <w:lang w:eastAsia="zh-CN"/>
              </w:rPr>
            </w:pPr>
            <w:r>
              <w:rPr>
                <w:rFonts w:hint="eastAsia"/>
                <w:b w:val="0"/>
                <w:bCs/>
                <w:color w:val="auto"/>
                <w:kern w:val="0"/>
                <w:sz w:val="21"/>
                <w:szCs w:val="21"/>
                <w:highlight w:val="none"/>
                <w:lang w:eastAsia="zh-CN"/>
              </w:rPr>
              <w:t>（1）定期检查使用柴油的机械设备及车辆油箱，谨防油箱漏油的情况发生；</w:t>
            </w:r>
          </w:p>
          <w:p w14:paraId="1892B524">
            <w:pPr>
              <w:adjustRightInd w:val="0"/>
              <w:spacing w:line="240" w:lineRule="auto"/>
              <w:ind w:firstLine="0" w:firstLineChars="0"/>
              <w:rPr>
                <w:rFonts w:hint="eastAsia"/>
                <w:b w:val="0"/>
                <w:bCs/>
                <w:color w:val="auto"/>
                <w:kern w:val="0"/>
                <w:sz w:val="21"/>
                <w:szCs w:val="21"/>
                <w:highlight w:val="none"/>
                <w:lang w:eastAsia="zh-CN"/>
              </w:rPr>
            </w:pPr>
            <w:r>
              <w:rPr>
                <w:rFonts w:hint="eastAsia"/>
                <w:b w:val="0"/>
                <w:bCs/>
                <w:color w:val="auto"/>
                <w:kern w:val="0"/>
                <w:sz w:val="21"/>
                <w:szCs w:val="21"/>
                <w:highlight w:val="none"/>
                <w:lang w:eastAsia="zh-CN"/>
              </w:rPr>
              <w:t>（2）截（排）水系统时应提高防洪标准，避免暴雨条件下地质灾害发生；</w:t>
            </w:r>
          </w:p>
          <w:p w14:paraId="6E948737">
            <w:pPr>
              <w:adjustRightInd w:val="0"/>
              <w:spacing w:line="240" w:lineRule="auto"/>
              <w:ind w:firstLine="0" w:firstLineChars="0"/>
              <w:rPr>
                <w:rFonts w:hint="eastAsia"/>
                <w:b w:val="0"/>
                <w:bCs/>
                <w:color w:val="auto"/>
                <w:kern w:val="0"/>
                <w:sz w:val="21"/>
                <w:szCs w:val="21"/>
                <w:highlight w:val="none"/>
                <w:lang w:eastAsia="zh-CN"/>
              </w:rPr>
            </w:pPr>
            <w:r>
              <w:rPr>
                <w:rFonts w:hint="eastAsia"/>
                <w:b w:val="0"/>
                <w:bCs/>
                <w:color w:val="auto"/>
                <w:kern w:val="0"/>
                <w:sz w:val="21"/>
                <w:szCs w:val="21"/>
                <w:highlight w:val="none"/>
                <w:lang w:eastAsia="zh-CN"/>
              </w:rPr>
              <w:t>（3）久雨、暴雨季节加强巡查，发现问题及时处置；</w:t>
            </w:r>
          </w:p>
          <w:p w14:paraId="21970859">
            <w:pPr>
              <w:adjustRightInd w:val="0"/>
              <w:spacing w:line="240" w:lineRule="auto"/>
              <w:ind w:firstLine="0" w:firstLineChars="0"/>
              <w:rPr>
                <w:b w:val="0"/>
                <w:bCs/>
                <w:color w:val="auto"/>
                <w:kern w:val="0"/>
                <w:sz w:val="21"/>
                <w:szCs w:val="21"/>
                <w:highlight w:val="none"/>
                <w:lang w:eastAsia="zh-CN"/>
              </w:rPr>
            </w:pPr>
            <w:r>
              <w:rPr>
                <w:rFonts w:hint="eastAsia"/>
                <w:b w:val="0"/>
                <w:bCs/>
                <w:color w:val="auto"/>
                <w:kern w:val="0"/>
                <w:sz w:val="21"/>
                <w:szCs w:val="21"/>
                <w:highlight w:val="none"/>
                <w:lang w:eastAsia="zh-CN"/>
              </w:rPr>
              <w:t>（</w:t>
            </w:r>
            <w:r>
              <w:rPr>
                <w:rFonts w:hint="eastAsia"/>
                <w:b w:val="0"/>
                <w:bCs/>
                <w:color w:val="auto"/>
                <w:kern w:val="0"/>
                <w:sz w:val="21"/>
                <w:szCs w:val="21"/>
                <w:highlight w:val="none"/>
                <w:lang w:val="en-US" w:eastAsia="zh-CN"/>
              </w:rPr>
              <w:t>4</w:t>
            </w:r>
            <w:r>
              <w:rPr>
                <w:rFonts w:hint="eastAsia"/>
                <w:b w:val="0"/>
                <w:bCs/>
                <w:color w:val="auto"/>
                <w:kern w:val="0"/>
                <w:sz w:val="21"/>
                <w:szCs w:val="21"/>
                <w:highlight w:val="none"/>
                <w:lang w:eastAsia="zh-CN"/>
              </w:rPr>
              <w:t>）</w:t>
            </w:r>
            <w:r>
              <w:rPr>
                <w:b w:val="0"/>
                <w:bCs/>
                <w:color w:val="auto"/>
                <w:kern w:val="0"/>
                <w:sz w:val="21"/>
                <w:szCs w:val="21"/>
                <w:highlight w:val="none"/>
                <w:lang w:eastAsia="zh-CN"/>
              </w:rPr>
              <w:t>项目区按照《建筑灭火器配置设计规范》（GB50140-2010）的要求设置消防设施及灭火器材，灭火器材应放在明显、易取的地方，应定期对消防设施及灭火器材进行检查、维护</w:t>
            </w:r>
            <w:r>
              <w:rPr>
                <w:rFonts w:hint="eastAsia"/>
                <w:b w:val="0"/>
                <w:bCs/>
                <w:color w:val="auto"/>
                <w:kern w:val="0"/>
                <w:sz w:val="21"/>
                <w:szCs w:val="21"/>
                <w:highlight w:val="none"/>
                <w:lang w:eastAsia="zh-CN"/>
              </w:rPr>
              <w:t>；</w:t>
            </w:r>
          </w:p>
          <w:p w14:paraId="0955E98C">
            <w:pPr>
              <w:adjustRightInd w:val="0"/>
              <w:spacing w:line="240" w:lineRule="auto"/>
              <w:ind w:firstLine="0" w:firstLineChars="0"/>
              <w:rPr>
                <w:b w:val="0"/>
                <w:bCs/>
                <w:color w:val="auto"/>
                <w:kern w:val="0"/>
                <w:sz w:val="21"/>
                <w:szCs w:val="21"/>
                <w:highlight w:val="none"/>
                <w:lang w:eastAsia="zh-CN"/>
              </w:rPr>
            </w:pPr>
            <w:r>
              <w:rPr>
                <w:rFonts w:hint="eastAsia"/>
                <w:b w:val="0"/>
                <w:bCs/>
                <w:color w:val="auto"/>
                <w:kern w:val="0"/>
                <w:sz w:val="21"/>
                <w:szCs w:val="21"/>
                <w:highlight w:val="none"/>
                <w:lang w:eastAsia="zh-CN"/>
              </w:rPr>
              <w:t>（</w:t>
            </w:r>
            <w:r>
              <w:rPr>
                <w:rFonts w:hint="eastAsia"/>
                <w:b w:val="0"/>
                <w:bCs/>
                <w:color w:val="auto"/>
                <w:kern w:val="0"/>
                <w:sz w:val="21"/>
                <w:szCs w:val="21"/>
                <w:highlight w:val="none"/>
                <w:lang w:val="en-US" w:eastAsia="zh-CN"/>
              </w:rPr>
              <w:t>5</w:t>
            </w:r>
            <w:r>
              <w:rPr>
                <w:rFonts w:hint="eastAsia"/>
                <w:b w:val="0"/>
                <w:bCs/>
                <w:color w:val="auto"/>
                <w:kern w:val="0"/>
                <w:sz w:val="21"/>
                <w:szCs w:val="21"/>
                <w:highlight w:val="none"/>
                <w:lang w:eastAsia="zh-CN"/>
              </w:rPr>
              <w:t>）危险废物贮存间</w:t>
            </w:r>
            <w:r>
              <w:rPr>
                <w:b w:val="0"/>
                <w:bCs/>
                <w:color w:val="auto"/>
                <w:kern w:val="0"/>
                <w:sz w:val="21"/>
                <w:szCs w:val="21"/>
                <w:highlight w:val="none"/>
                <w:lang w:eastAsia="zh-CN"/>
              </w:rPr>
              <w:t>设置禁止烟火等安全标识牌；</w:t>
            </w:r>
          </w:p>
          <w:p w14:paraId="7F7FD822">
            <w:pPr>
              <w:adjustRightInd w:val="0"/>
              <w:spacing w:line="240" w:lineRule="auto"/>
              <w:ind w:firstLine="0" w:firstLineChars="0"/>
              <w:rPr>
                <w:b w:val="0"/>
                <w:bCs/>
                <w:color w:val="auto"/>
                <w:kern w:val="0"/>
                <w:sz w:val="21"/>
                <w:szCs w:val="21"/>
                <w:highlight w:val="none"/>
                <w:lang w:eastAsia="zh-CN"/>
              </w:rPr>
            </w:pPr>
            <w:r>
              <w:rPr>
                <w:rFonts w:hint="eastAsia"/>
                <w:b w:val="0"/>
                <w:bCs/>
                <w:color w:val="auto"/>
                <w:kern w:val="0"/>
                <w:sz w:val="21"/>
                <w:szCs w:val="21"/>
                <w:highlight w:val="none"/>
                <w:lang w:eastAsia="zh-CN"/>
              </w:rPr>
              <w:t>（</w:t>
            </w:r>
            <w:r>
              <w:rPr>
                <w:rFonts w:hint="eastAsia"/>
                <w:b w:val="0"/>
                <w:bCs/>
                <w:color w:val="auto"/>
                <w:kern w:val="0"/>
                <w:sz w:val="21"/>
                <w:szCs w:val="21"/>
                <w:highlight w:val="none"/>
                <w:lang w:val="en-US" w:eastAsia="zh-CN"/>
              </w:rPr>
              <w:t>6</w:t>
            </w:r>
            <w:r>
              <w:rPr>
                <w:rFonts w:hint="eastAsia"/>
                <w:b w:val="0"/>
                <w:bCs/>
                <w:color w:val="auto"/>
                <w:kern w:val="0"/>
                <w:sz w:val="21"/>
                <w:szCs w:val="21"/>
                <w:highlight w:val="none"/>
                <w:lang w:eastAsia="zh-CN"/>
              </w:rPr>
              <w:t>）</w:t>
            </w:r>
            <w:r>
              <w:rPr>
                <w:b w:val="0"/>
                <w:bCs/>
                <w:color w:val="auto"/>
                <w:kern w:val="0"/>
                <w:sz w:val="21"/>
                <w:szCs w:val="21"/>
                <w:highlight w:val="none"/>
                <w:lang w:eastAsia="zh-CN"/>
              </w:rPr>
              <w:t>对</w:t>
            </w:r>
            <w:r>
              <w:rPr>
                <w:rFonts w:hint="eastAsia"/>
                <w:b w:val="0"/>
                <w:bCs/>
                <w:color w:val="auto"/>
                <w:kern w:val="0"/>
                <w:sz w:val="21"/>
                <w:szCs w:val="21"/>
                <w:highlight w:val="none"/>
                <w:lang w:eastAsia="zh-CN"/>
              </w:rPr>
              <w:t>危险废物贮存间</w:t>
            </w:r>
            <w:r>
              <w:rPr>
                <w:b w:val="0"/>
                <w:bCs/>
                <w:color w:val="auto"/>
                <w:kern w:val="0"/>
                <w:sz w:val="21"/>
                <w:szCs w:val="21"/>
                <w:highlight w:val="none"/>
                <w:lang w:eastAsia="zh-CN"/>
              </w:rPr>
              <w:t>进行地面防渗措施；</w:t>
            </w:r>
          </w:p>
          <w:p w14:paraId="0A9C57EB">
            <w:pPr>
              <w:adjustRightInd w:val="0"/>
              <w:spacing w:line="240" w:lineRule="auto"/>
              <w:ind w:firstLine="0" w:firstLineChars="0"/>
              <w:rPr>
                <w:b w:val="0"/>
                <w:bCs/>
                <w:color w:val="auto"/>
                <w:kern w:val="0"/>
                <w:sz w:val="21"/>
                <w:szCs w:val="21"/>
                <w:highlight w:val="none"/>
                <w:lang w:eastAsia="zh-CN"/>
              </w:rPr>
            </w:pPr>
            <w:r>
              <w:rPr>
                <w:rFonts w:hint="eastAsia"/>
                <w:b w:val="0"/>
                <w:bCs/>
                <w:color w:val="auto"/>
                <w:kern w:val="0"/>
                <w:sz w:val="21"/>
                <w:szCs w:val="21"/>
                <w:highlight w:val="none"/>
                <w:lang w:eastAsia="zh-CN"/>
              </w:rPr>
              <w:t>（</w:t>
            </w:r>
            <w:r>
              <w:rPr>
                <w:rFonts w:hint="eastAsia"/>
                <w:b w:val="0"/>
                <w:bCs/>
                <w:color w:val="auto"/>
                <w:kern w:val="0"/>
                <w:sz w:val="21"/>
                <w:szCs w:val="21"/>
                <w:highlight w:val="none"/>
                <w:lang w:val="en-US" w:eastAsia="zh-CN"/>
              </w:rPr>
              <w:t>7</w:t>
            </w:r>
            <w:r>
              <w:rPr>
                <w:rFonts w:hint="eastAsia"/>
                <w:b w:val="0"/>
                <w:bCs/>
                <w:color w:val="auto"/>
                <w:kern w:val="0"/>
                <w:sz w:val="21"/>
                <w:szCs w:val="21"/>
                <w:highlight w:val="none"/>
                <w:lang w:eastAsia="zh-CN"/>
              </w:rPr>
              <w:t>）</w:t>
            </w:r>
            <w:r>
              <w:rPr>
                <w:b w:val="0"/>
                <w:bCs/>
                <w:color w:val="auto"/>
                <w:kern w:val="0"/>
                <w:sz w:val="21"/>
                <w:szCs w:val="21"/>
                <w:highlight w:val="none"/>
                <w:lang w:eastAsia="zh-CN"/>
              </w:rPr>
              <w:t>定期检查</w:t>
            </w:r>
            <w:r>
              <w:rPr>
                <w:rFonts w:hint="eastAsia"/>
                <w:b w:val="0"/>
                <w:bCs/>
                <w:color w:val="auto"/>
                <w:kern w:val="0"/>
                <w:sz w:val="21"/>
                <w:szCs w:val="21"/>
                <w:highlight w:val="none"/>
                <w:lang w:eastAsia="zh-CN"/>
              </w:rPr>
              <w:t>危险废物贮存间</w:t>
            </w:r>
            <w:r>
              <w:rPr>
                <w:b w:val="0"/>
                <w:bCs/>
                <w:color w:val="auto"/>
                <w:kern w:val="0"/>
                <w:sz w:val="21"/>
                <w:szCs w:val="21"/>
                <w:highlight w:val="none"/>
                <w:lang w:eastAsia="zh-CN"/>
              </w:rPr>
              <w:t>发现泄漏及时更换处理；</w:t>
            </w:r>
          </w:p>
          <w:p w14:paraId="6359FA30">
            <w:pPr>
              <w:adjustRightInd w:val="0"/>
              <w:spacing w:line="240" w:lineRule="auto"/>
              <w:ind w:firstLine="0" w:firstLineChars="0"/>
              <w:rPr>
                <w:b w:val="0"/>
                <w:bCs/>
                <w:color w:val="auto"/>
                <w:kern w:val="0"/>
                <w:sz w:val="21"/>
                <w:szCs w:val="21"/>
                <w:highlight w:val="none"/>
                <w:lang w:eastAsia="zh-CN"/>
              </w:rPr>
            </w:pPr>
            <w:r>
              <w:rPr>
                <w:rFonts w:hint="eastAsia"/>
                <w:b w:val="0"/>
                <w:bCs/>
                <w:color w:val="auto"/>
                <w:kern w:val="0"/>
                <w:sz w:val="21"/>
                <w:szCs w:val="21"/>
                <w:highlight w:val="none"/>
                <w:lang w:eastAsia="zh-CN"/>
              </w:rPr>
              <w:t>（</w:t>
            </w:r>
            <w:r>
              <w:rPr>
                <w:rFonts w:hint="eastAsia"/>
                <w:b w:val="0"/>
                <w:bCs/>
                <w:color w:val="auto"/>
                <w:kern w:val="0"/>
                <w:sz w:val="21"/>
                <w:szCs w:val="21"/>
                <w:highlight w:val="none"/>
                <w:lang w:val="en-US" w:eastAsia="zh-CN"/>
              </w:rPr>
              <w:t>8</w:t>
            </w:r>
            <w:r>
              <w:rPr>
                <w:rFonts w:hint="eastAsia"/>
                <w:b w:val="0"/>
                <w:bCs/>
                <w:color w:val="auto"/>
                <w:kern w:val="0"/>
                <w:sz w:val="21"/>
                <w:szCs w:val="21"/>
                <w:highlight w:val="none"/>
                <w:lang w:eastAsia="zh-CN"/>
              </w:rPr>
              <w:t>）</w:t>
            </w:r>
            <w:r>
              <w:rPr>
                <w:b w:val="0"/>
                <w:bCs/>
                <w:color w:val="auto"/>
                <w:kern w:val="0"/>
                <w:sz w:val="21"/>
                <w:szCs w:val="21"/>
                <w:highlight w:val="none"/>
                <w:lang w:eastAsia="zh-CN"/>
              </w:rPr>
              <w:t>加强员工培训及安全管理，</w:t>
            </w:r>
            <w:r>
              <w:rPr>
                <w:rFonts w:hint="eastAsia"/>
                <w:b w:val="0"/>
                <w:bCs/>
                <w:color w:val="auto"/>
                <w:kern w:val="0"/>
                <w:sz w:val="21"/>
                <w:szCs w:val="21"/>
                <w:highlight w:val="none"/>
                <w:lang w:eastAsia="zh-CN"/>
              </w:rPr>
              <w:t>减少</w:t>
            </w:r>
            <w:r>
              <w:rPr>
                <w:b w:val="0"/>
                <w:bCs/>
                <w:color w:val="auto"/>
                <w:kern w:val="0"/>
                <w:sz w:val="21"/>
                <w:szCs w:val="21"/>
                <w:highlight w:val="none"/>
                <w:lang w:eastAsia="zh-CN"/>
              </w:rPr>
              <w:t>事故隐患。</w:t>
            </w:r>
          </w:p>
          <w:p w14:paraId="3DD87359">
            <w:pPr>
              <w:adjustRightInd w:val="0"/>
              <w:spacing w:line="240" w:lineRule="auto"/>
              <w:ind w:firstLine="0" w:firstLineChars="0"/>
              <w:rPr>
                <w:b w:val="0"/>
                <w:bCs/>
                <w:color w:val="auto"/>
                <w:kern w:val="0"/>
                <w:sz w:val="21"/>
                <w:szCs w:val="21"/>
                <w:highlight w:val="none"/>
                <w:lang w:eastAsia="zh-CN"/>
              </w:rPr>
            </w:pPr>
            <w:r>
              <w:rPr>
                <w:rFonts w:hint="eastAsia"/>
                <w:b w:val="0"/>
                <w:bCs/>
                <w:color w:val="auto"/>
                <w:kern w:val="0"/>
                <w:sz w:val="21"/>
                <w:szCs w:val="21"/>
                <w:highlight w:val="none"/>
                <w:lang w:eastAsia="zh-CN"/>
              </w:rPr>
              <w:t>（</w:t>
            </w:r>
            <w:r>
              <w:rPr>
                <w:rFonts w:hint="eastAsia"/>
                <w:b w:val="0"/>
                <w:bCs/>
                <w:color w:val="auto"/>
                <w:kern w:val="0"/>
                <w:sz w:val="21"/>
                <w:szCs w:val="21"/>
                <w:highlight w:val="none"/>
                <w:lang w:val="en-US" w:eastAsia="zh-CN"/>
              </w:rPr>
              <w:t>9</w:t>
            </w:r>
            <w:r>
              <w:rPr>
                <w:rFonts w:hint="eastAsia"/>
                <w:b w:val="0"/>
                <w:bCs/>
                <w:color w:val="auto"/>
                <w:kern w:val="0"/>
                <w:sz w:val="21"/>
                <w:szCs w:val="21"/>
                <w:highlight w:val="none"/>
                <w:lang w:eastAsia="zh-CN"/>
              </w:rPr>
              <w:t>）分区防渗：</w:t>
            </w:r>
            <w:r>
              <w:rPr>
                <w:rFonts w:hint="eastAsia"/>
                <w:b w:val="0"/>
                <w:bCs/>
                <w:color w:val="auto"/>
                <w:kern w:val="0"/>
                <w:sz w:val="21"/>
                <w:szCs w:val="21"/>
                <w:highlight w:val="none"/>
                <w:lang w:val="en-US" w:eastAsia="zh-CN"/>
              </w:rPr>
              <w:t>危废贮存间</w:t>
            </w:r>
            <w:r>
              <w:rPr>
                <w:b w:val="0"/>
                <w:bCs/>
                <w:color w:val="auto"/>
                <w:kern w:val="0"/>
                <w:sz w:val="21"/>
                <w:szCs w:val="21"/>
                <w:highlight w:val="none"/>
                <w:lang w:eastAsia="zh-CN"/>
              </w:rPr>
              <w:t>按重点防渗区进行建设，防渗技术要求为：等效黏土防渗层Mb≥6m，K≤1×10</w:t>
            </w:r>
            <w:r>
              <w:rPr>
                <w:b w:val="0"/>
                <w:bCs/>
                <w:color w:val="auto"/>
                <w:kern w:val="0"/>
                <w:sz w:val="21"/>
                <w:szCs w:val="21"/>
                <w:highlight w:val="none"/>
                <w:vertAlign w:val="superscript"/>
                <w:lang w:eastAsia="zh-CN"/>
              </w:rPr>
              <w:t>-7</w:t>
            </w:r>
            <w:r>
              <w:rPr>
                <w:b w:val="0"/>
                <w:bCs/>
                <w:color w:val="auto"/>
                <w:kern w:val="0"/>
                <w:sz w:val="21"/>
                <w:szCs w:val="21"/>
                <w:highlight w:val="none"/>
                <w:lang w:eastAsia="zh-CN"/>
              </w:rPr>
              <w:t>cm/s</w:t>
            </w:r>
            <w:r>
              <w:rPr>
                <w:rFonts w:hint="eastAsia"/>
                <w:b w:val="0"/>
                <w:bCs/>
                <w:color w:val="auto"/>
                <w:kern w:val="0"/>
                <w:sz w:val="21"/>
                <w:szCs w:val="21"/>
                <w:highlight w:val="none"/>
                <w:lang w:eastAsia="zh-CN"/>
              </w:rPr>
              <w:t>，</w:t>
            </w:r>
            <w:r>
              <w:rPr>
                <w:b w:val="0"/>
                <w:bCs/>
                <w:color w:val="auto"/>
                <w:kern w:val="0"/>
                <w:sz w:val="21"/>
                <w:szCs w:val="21"/>
                <w:highlight w:val="none"/>
                <w:lang w:eastAsia="zh-CN"/>
              </w:rPr>
              <w:t>或</w:t>
            </w:r>
            <w:r>
              <w:rPr>
                <w:rFonts w:hint="eastAsia"/>
                <w:b w:val="0"/>
                <w:bCs/>
                <w:color w:val="auto"/>
                <w:kern w:val="0"/>
                <w:sz w:val="21"/>
                <w:szCs w:val="21"/>
                <w:highlight w:val="none"/>
                <w:lang w:eastAsia="zh-CN"/>
              </w:rPr>
              <w:t>至少</w:t>
            </w:r>
            <w:r>
              <w:rPr>
                <w:b w:val="0"/>
                <w:bCs/>
                <w:color w:val="auto"/>
                <w:kern w:val="0"/>
                <w:sz w:val="21"/>
                <w:szCs w:val="21"/>
                <w:highlight w:val="none"/>
                <w:lang w:eastAsia="zh-CN"/>
              </w:rPr>
              <w:t>2mm厚高密度聚乙烯</w:t>
            </w:r>
            <w:r>
              <w:rPr>
                <w:rFonts w:hint="eastAsia"/>
                <w:b w:val="0"/>
                <w:bCs/>
                <w:color w:val="auto"/>
                <w:kern w:val="0"/>
                <w:sz w:val="21"/>
                <w:szCs w:val="21"/>
                <w:highlight w:val="none"/>
                <w:lang w:eastAsia="zh-CN"/>
              </w:rPr>
              <w:t>膜等人工防渗材料（渗透系数</w:t>
            </w:r>
            <w:r>
              <w:rPr>
                <w:b w:val="0"/>
                <w:bCs/>
                <w:color w:val="auto"/>
                <w:kern w:val="0"/>
                <w:sz w:val="21"/>
                <w:szCs w:val="21"/>
                <w:highlight w:val="none"/>
                <w:lang w:val="zh-CN" w:eastAsia="zh-CN"/>
              </w:rPr>
              <w:t>≤</w:t>
            </w:r>
            <w:r>
              <w:rPr>
                <w:b w:val="0"/>
                <w:bCs/>
                <w:color w:val="auto"/>
                <w:kern w:val="0"/>
                <w:sz w:val="21"/>
                <w:szCs w:val="21"/>
                <w:highlight w:val="none"/>
                <w:lang w:eastAsia="zh-CN"/>
              </w:rPr>
              <w:t>1×</w:t>
            </w:r>
            <w:r>
              <w:rPr>
                <w:b w:val="0"/>
                <w:bCs/>
                <w:color w:val="auto"/>
                <w:kern w:val="0"/>
                <w:sz w:val="21"/>
                <w:szCs w:val="21"/>
                <w:highlight w:val="none"/>
                <w:lang w:val="zh-CN" w:eastAsia="zh-CN"/>
              </w:rPr>
              <w:t>10</w:t>
            </w:r>
            <w:r>
              <w:rPr>
                <w:b w:val="0"/>
                <w:bCs/>
                <w:color w:val="auto"/>
                <w:kern w:val="0"/>
                <w:sz w:val="21"/>
                <w:szCs w:val="21"/>
                <w:highlight w:val="none"/>
                <w:vertAlign w:val="superscript"/>
                <w:lang w:val="zh-CN" w:eastAsia="zh-CN"/>
              </w:rPr>
              <w:t>-</w:t>
            </w:r>
            <w:r>
              <w:rPr>
                <w:rFonts w:hint="eastAsia"/>
                <w:b w:val="0"/>
                <w:bCs/>
                <w:color w:val="auto"/>
                <w:kern w:val="0"/>
                <w:sz w:val="21"/>
                <w:szCs w:val="21"/>
                <w:highlight w:val="none"/>
                <w:vertAlign w:val="superscript"/>
                <w:lang w:eastAsia="zh-CN"/>
              </w:rPr>
              <w:t>10</w:t>
            </w:r>
            <w:r>
              <w:rPr>
                <w:b w:val="0"/>
                <w:bCs/>
                <w:color w:val="auto"/>
                <w:kern w:val="0"/>
                <w:sz w:val="21"/>
                <w:szCs w:val="21"/>
                <w:highlight w:val="none"/>
                <w:lang w:val="zh-CN" w:eastAsia="zh-CN"/>
              </w:rPr>
              <w:t>cm/s</w:t>
            </w:r>
            <w:r>
              <w:rPr>
                <w:rFonts w:hint="eastAsia"/>
                <w:b w:val="0"/>
                <w:bCs/>
                <w:color w:val="auto"/>
                <w:kern w:val="0"/>
                <w:sz w:val="21"/>
                <w:szCs w:val="21"/>
                <w:highlight w:val="none"/>
                <w:lang w:eastAsia="zh-CN"/>
              </w:rPr>
              <w:t>）</w:t>
            </w:r>
            <w:r>
              <w:rPr>
                <w:b w:val="0"/>
                <w:bCs/>
                <w:color w:val="auto"/>
                <w:kern w:val="0"/>
                <w:sz w:val="21"/>
                <w:szCs w:val="21"/>
                <w:highlight w:val="none"/>
                <w:lang w:eastAsia="zh-CN"/>
              </w:rPr>
              <w:t>，</w:t>
            </w:r>
            <w:r>
              <w:rPr>
                <w:rFonts w:hint="eastAsia"/>
                <w:b w:val="0"/>
                <w:bCs/>
                <w:color w:val="auto"/>
                <w:kern w:val="0"/>
                <w:sz w:val="21"/>
                <w:szCs w:val="21"/>
                <w:highlight w:val="none"/>
                <w:lang w:eastAsia="zh-CN"/>
              </w:rPr>
              <w:t>或其他防渗性能等效的材料</w:t>
            </w:r>
            <w:r>
              <w:rPr>
                <w:b w:val="0"/>
                <w:bCs/>
                <w:color w:val="auto"/>
                <w:kern w:val="0"/>
                <w:sz w:val="21"/>
                <w:szCs w:val="21"/>
                <w:highlight w:val="none"/>
                <w:lang w:eastAsia="zh-CN"/>
              </w:rPr>
              <w:t>；</w:t>
            </w:r>
            <w:r>
              <w:rPr>
                <w:rFonts w:hint="eastAsia"/>
                <w:b w:val="0"/>
                <w:bCs/>
                <w:color w:val="auto"/>
                <w:kern w:val="0"/>
                <w:sz w:val="21"/>
                <w:szCs w:val="21"/>
                <w:highlight w:val="none"/>
                <w:lang w:val="en-US" w:eastAsia="zh-CN"/>
              </w:rPr>
              <w:t>隔油池、化粪池</w:t>
            </w:r>
            <w:r>
              <w:rPr>
                <w:rFonts w:hint="eastAsia"/>
                <w:b w:val="0"/>
                <w:bCs/>
                <w:color w:val="auto"/>
                <w:kern w:val="0"/>
                <w:sz w:val="21"/>
                <w:szCs w:val="21"/>
                <w:highlight w:val="none"/>
                <w:lang w:eastAsia="zh-CN"/>
              </w:rPr>
              <w:t>按一般防渗区进行建设，</w:t>
            </w:r>
            <w:r>
              <w:rPr>
                <w:b w:val="0"/>
                <w:bCs/>
                <w:color w:val="auto"/>
                <w:kern w:val="0"/>
                <w:sz w:val="21"/>
                <w:szCs w:val="21"/>
                <w:highlight w:val="none"/>
                <w:lang w:eastAsia="zh-CN"/>
              </w:rPr>
              <w:t>防渗技术要求为：</w:t>
            </w:r>
            <w:r>
              <w:rPr>
                <w:rFonts w:hint="eastAsia"/>
                <w:b w:val="0"/>
                <w:bCs/>
                <w:color w:val="auto"/>
                <w:kern w:val="0"/>
                <w:sz w:val="21"/>
                <w:szCs w:val="21"/>
                <w:highlight w:val="none"/>
                <w:lang w:eastAsia="zh-CN"/>
              </w:rPr>
              <w:t>粘土衬层厚度应不小于0.75m</w:t>
            </w:r>
            <w:r>
              <w:rPr>
                <w:b w:val="0"/>
                <w:bCs/>
                <w:color w:val="auto"/>
                <w:kern w:val="0"/>
                <w:sz w:val="21"/>
                <w:szCs w:val="21"/>
                <w:highlight w:val="none"/>
                <w:lang w:eastAsia="zh-CN"/>
              </w:rPr>
              <w:t>，K</w:t>
            </w:r>
            <w:r>
              <w:rPr>
                <w:b w:val="0"/>
                <w:bCs/>
                <w:color w:val="auto"/>
                <w:kern w:val="0"/>
                <w:sz w:val="21"/>
                <w:szCs w:val="21"/>
                <w:highlight w:val="none"/>
                <w:lang w:val="zh-CN" w:eastAsia="zh-CN"/>
              </w:rPr>
              <w:t>≤</w:t>
            </w:r>
            <w:r>
              <w:rPr>
                <w:b w:val="0"/>
                <w:bCs/>
                <w:color w:val="auto"/>
                <w:kern w:val="0"/>
                <w:sz w:val="21"/>
                <w:szCs w:val="21"/>
                <w:highlight w:val="none"/>
                <w:lang w:eastAsia="zh-CN"/>
              </w:rPr>
              <w:t>1×</w:t>
            </w:r>
            <w:r>
              <w:rPr>
                <w:b w:val="0"/>
                <w:bCs/>
                <w:color w:val="auto"/>
                <w:kern w:val="0"/>
                <w:sz w:val="21"/>
                <w:szCs w:val="21"/>
                <w:highlight w:val="none"/>
                <w:lang w:val="zh-CN" w:eastAsia="zh-CN"/>
              </w:rPr>
              <w:t>10</w:t>
            </w:r>
            <w:r>
              <w:rPr>
                <w:b w:val="0"/>
                <w:bCs/>
                <w:color w:val="auto"/>
                <w:kern w:val="0"/>
                <w:sz w:val="21"/>
                <w:szCs w:val="21"/>
                <w:highlight w:val="none"/>
                <w:vertAlign w:val="superscript"/>
                <w:lang w:val="zh-CN" w:eastAsia="zh-CN"/>
              </w:rPr>
              <w:t>-</w:t>
            </w:r>
            <w:r>
              <w:rPr>
                <w:rFonts w:hint="eastAsia"/>
                <w:b w:val="0"/>
                <w:bCs/>
                <w:color w:val="auto"/>
                <w:kern w:val="0"/>
                <w:sz w:val="21"/>
                <w:szCs w:val="21"/>
                <w:highlight w:val="none"/>
                <w:vertAlign w:val="superscript"/>
                <w:lang w:eastAsia="zh-CN"/>
              </w:rPr>
              <w:t>7</w:t>
            </w:r>
            <w:r>
              <w:rPr>
                <w:b w:val="0"/>
                <w:bCs/>
                <w:color w:val="auto"/>
                <w:kern w:val="0"/>
                <w:sz w:val="21"/>
                <w:szCs w:val="21"/>
                <w:highlight w:val="none"/>
                <w:lang w:val="zh-CN" w:eastAsia="zh-CN"/>
              </w:rPr>
              <w:t>cm/s</w:t>
            </w:r>
            <w:r>
              <w:rPr>
                <w:rFonts w:hint="eastAsia"/>
                <w:b w:val="0"/>
                <w:bCs/>
                <w:color w:val="auto"/>
                <w:kern w:val="0"/>
                <w:sz w:val="21"/>
                <w:szCs w:val="21"/>
                <w:highlight w:val="none"/>
                <w:lang w:val="zh-CN" w:eastAsia="zh-CN"/>
              </w:rPr>
              <w:t>；</w:t>
            </w:r>
            <w:r>
              <w:rPr>
                <w:rFonts w:hint="eastAsia"/>
                <w:b w:val="0"/>
                <w:bCs/>
                <w:color w:val="auto"/>
                <w:kern w:val="0"/>
                <w:sz w:val="21"/>
                <w:szCs w:val="21"/>
                <w:highlight w:val="none"/>
                <w:lang w:val="en-US" w:eastAsia="zh-CN"/>
              </w:rPr>
              <w:t>工业场地区部分、</w:t>
            </w:r>
            <w:r>
              <w:rPr>
                <w:rFonts w:hint="eastAsia"/>
                <w:b w:val="0"/>
                <w:bCs/>
                <w:color w:val="auto"/>
                <w:kern w:val="0"/>
                <w:sz w:val="21"/>
                <w:szCs w:val="21"/>
                <w:highlight w:val="none"/>
                <w:lang w:val="zh-CN" w:eastAsia="zh-CN"/>
              </w:rPr>
              <w:t>沉砂池、办公生活区等区域</w:t>
            </w:r>
            <w:r>
              <w:rPr>
                <w:b w:val="0"/>
                <w:bCs/>
                <w:color w:val="auto"/>
                <w:kern w:val="0"/>
                <w:sz w:val="21"/>
                <w:szCs w:val="21"/>
                <w:highlight w:val="none"/>
                <w:lang w:eastAsia="zh-CN"/>
              </w:rPr>
              <w:t>进行简单防渗，采取一般地面水泥硬化。</w:t>
            </w:r>
          </w:p>
          <w:p w14:paraId="14F014BA">
            <w:pPr>
              <w:adjustRightInd w:val="0"/>
              <w:spacing w:line="240" w:lineRule="auto"/>
              <w:ind w:firstLine="0" w:firstLineChars="0"/>
              <w:rPr>
                <w:b w:val="0"/>
                <w:bCs/>
                <w:color w:val="auto"/>
                <w:kern w:val="0"/>
                <w:sz w:val="21"/>
                <w:szCs w:val="21"/>
                <w:highlight w:val="none"/>
                <w:lang w:eastAsia="zh-CN"/>
              </w:rPr>
            </w:pPr>
            <w:r>
              <w:rPr>
                <w:rFonts w:hint="eastAsia"/>
                <w:b w:val="0"/>
                <w:bCs/>
                <w:color w:val="auto"/>
                <w:kern w:val="0"/>
                <w:sz w:val="21"/>
                <w:szCs w:val="21"/>
                <w:highlight w:val="none"/>
                <w:lang w:eastAsia="zh-CN"/>
              </w:rPr>
              <w:t>（</w:t>
            </w:r>
            <w:r>
              <w:rPr>
                <w:rFonts w:hint="eastAsia"/>
                <w:b w:val="0"/>
                <w:bCs/>
                <w:color w:val="auto"/>
                <w:kern w:val="0"/>
                <w:sz w:val="21"/>
                <w:szCs w:val="21"/>
                <w:highlight w:val="none"/>
                <w:lang w:val="en-US" w:eastAsia="zh-CN"/>
              </w:rPr>
              <w:t>10</w:t>
            </w:r>
            <w:r>
              <w:rPr>
                <w:rFonts w:hint="eastAsia"/>
                <w:b w:val="0"/>
                <w:bCs/>
                <w:color w:val="auto"/>
                <w:kern w:val="0"/>
                <w:sz w:val="21"/>
                <w:szCs w:val="21"/>
                <w:highlight w:val="none"/>
                <w:lang w:eastAsia="zh-CN"/>
              </w:rPr>
              <w:t>）</w:t>
            </w:r>
            <w:r>
              <w:rPr>
                <w:b w:val="0"/>
                <w:bCs/>
                <w:color w:val="auto"/>
                <w:kern w:val="0"/>
                <w:sz w:val="21"/>
                <w:szCs w:val="21"/>
                <w:highlight w:val="none"/>
                <w:lang w:eastAsia="zh-CN"/>
              </w:rPr>
              <w:t>搬运</w:t>
            </w:r>
            <w:r>
              <w:rPr>
                <w:rFonts w:hint="eastAsia"/>
                <w:b w:val="0"/>
                <w:bCs/>
                <w:color w:val="auto"/>
                <w:kern w:val="0"/>
                <w:sz w:val="21"/>
                <w:szCs w:val="21"/>
                <w:highlight w:val="none"/>
                <w:lang w:eastAsia="zh-CN"/>
              </w:rPr>
              <w:t>废</w:t>
            </w:r>
            <w:r>
              <w:rPr>
                <w:rFonts w:hint="eastAsia"/>
                <w:b w:val="0"/>
                <w:bCs/>
                <w:color w:val="auto"/>
                <w:kern w:val="0"/>
                <w:sz w:val="21"/>
                <w:szCs w:val="21"/>
                <w:highlight w:val="none"/>
                <w:lang w:val="en-US" w:eastAsia="zh-CN"/>
              </w:rPr>
              <w:t>机</w:t>
            </w:r>
            <w:r>
              <w:rPr>
                <w:rFonts w:hint="eastAsia"/>
                <w:b w:val="0"/>
                <w:bCs/>
                <w:color w:val="auto"/>
                <w:kern w:val="0"/>
                <w:sz w:val="21"/>
                <w:szCs w:val="21"/>
                <w:highlight w:val="none"/>
                <w:lang w:eastAsia="zh-CN"/>
              </w:rPr>
              <w:t>油及沾染矿物油的废弃包装物</w:t>
            </w:r>
            <w:r>
              <w:rPr>
                <w:b w:val="0"/>
                <w:bCs/>
                <w:color w:val="auto"/>
                <w:kern w:val="0"/>
                <w:sz w:val="21"/>
                <w:szCs w:val="21"/>
                <w:highlight w:val="none"/>
                <w:lang w:eastAsia="zh-CN"/>
              </w:rPr>
              <w:t>时要轻装轻卸，包装桶应确保无破损，若发现破损应立即更换，避免</w:t>
            </w:r>
            <w:r>
              <w:rPr>
                <w:rFonts w:hint="eastAsia"/>
                <w:b w:val="0"/>
                <w:bCs/>
                <w:color w:val="auto"/>
                <w:kern w:val="0"/>
                <w:sz w:val="21"/>
                <w:szCs w:val="21"/>
                <w:highlight w:val="none"/>
                <w:lang w:eastAsia="zh-CN"/>
              </w:rPr>
              <w:t>废</w:t>
            </w:r>
            <w:r>
              <w:rPr>
                <w:rFonts w:hint="eastAsia"/>
                <w:b w:val="0"/>
                <w:bCs/>
                <w:color w:val="auto"/>
                <w:kern w:val="0"/>
                <w:sz w:val="21"/>
                <w:szCs w:val="21"/>
                <w:highlight w:val="none"/>
                <w:lang w:val="en-US" w:eastAsia="zh-CN"/>
              </w:rPr>
              <w:t>机油</w:t>
            </w:r>
            <w:r>
              <w:rPr>
                <w:rFonts w:hint="eastAsia"/>
                <w:b w:val="0"/>
                <w:bCs/>
                <w:color w:val="auto"/>
                <w:kern w:val="0"/>
                <w:sz w:val="21"/>
                <w:szCs w:val="21"/>
                <w:highlight w:val="none"/>
                <w:lang w:eastAsia="zh-CN"/>
              </w:rPr>
              <w:t>及沾染矿物油的废弃包装物</w:t>
            </w:r>
            <w:r>
              <w:rPr>
                <w:b w:val="0"/>
                <w:bCs/>
                <w:color w:val="auto"/>
                <w:kern w:val="0"/>
                <w:sz w:val="21"/>
                <w:szCs w:val="21"/>
                <w:highlight w:val="none"/>
                <w:lang w:eastAsia="zh-CN"/>
              </w:rPr>
              <w:t>泄漏，存放于阴凉通风的地方，远离火源。</w:t>
            </w:r>
          </w:p>
          <w:p w14:paraId="1A16F236">
            <w:pPr>
              <w:adjustRightInd w:val="0"/>
              <w:spacing w:line="240" w:lineRule="auto"/>
              <w:ind w:firstLine="0" w:firstLineChars="0"/>
              <w:rPr>
                <w:b w:val="0"/>
                <w:bCs/>
                <w:color w:val="auto"/>
                <w:kern w:val="0"/>
                <w:sz w:val="21"/>
                <w:szCs w:val="21"/>
                <w:highlight w:val="none"/>
                <w:lang w:eastAsia="zh-CN"/>
              </w:rPr>
            </w:pPr>
            <w:r>
              <w:rPr>
                <w:rFonts w:hint="eastAsia"/>
                <w:b w:val="0"/>
                <w:bCs/>
                <w:color w:val="auto"/>
                <w:kern w:val="0"/>
                <w:sz w:val="21"/>
                <w:szCs w:val="21"/>
                <w:highlight w:val="none"/>
                <w:lang w:eastAsia="zh-CN"/>
              </w:rPr>
              <w:t>（</w:t>
            </w:r>
            <w:r>
              <w:rPr>
                <w:rFonts w:hint="eastAsia"/>
                <w:b w:val="0"/>
                <w:bCs/>
                <w:color w:val="auto"/>
                <w:kern w:val="0"/>
                <w:sz w:val="21"/>
                <w:szCs w:val="21"/>
                <w:highlight w:val="none"/>
                <w:lang w:val="en-US" w:eastAsia="zh-CN"/>
              </w:rPr>
              <w:t>11</w:t>
            </w:r>
            <w:r>
              <w:rPr>
                <w:rFonts w:hint="eastAsia"/>
                <w:b w:val="0"/>
                <w:bCs/>
                <w:color w:val="auto"/>
                <w:kern w:val="0"/>
                <w:sz w:val="21"/>
                <w:szCs w:val="21"/>
                <w:highlight w:val="none"/>
                <w:lang w:eastAsia="zh-CN"/>
              </w:rPr>
              <w:t>）编制突发环境事件应急预案，报送至昆明市生态环境局寻甸分局备案，并定期进行演练，提高建设单位应急能力</w:t>
            </w:r>
            <w:r>
              <w:rPr>
                <w:b w:val="0"/>
                <w:bCs/>
                <w:color w:val="auto"/>
                <w:kern w:val="0"/>
                <w:sz w:val="21"/>
                <w:szCs w:val="21"/>
                <w:highlight w:val="none"/>
                <w:lang w:eastAsia="zh-CN"/>
              </w:rPr>
              <w:t>。</w:t>
            </w:r>
          </w:p>
          <w:p w14:paraId="58F4E8A5">
            <w:pPr>
              <w:adjustRightInd w:val="0"/>
              <w:spacing w:line="240" w:lineRule="auto"/>
              <w:ind w:firstLine="0" w:firstLineChars="0"/>
              <w:rPr>
                <w:b/>
                <w:color w:val="auto"/>
                <w:kern w:val="0"/>
                <w:sz w:val="21"/>
                <w:szCs w:val="21"/>
                <w:highlight w:val="none"/>
              </w:rPr>
            </w:pPr>
            <w:r>
              <w:rPr>
                <w:b/>
                <w:color w:val="auto"/>
                <w:kern w:val="0"/>
                <w:sz w:val="21"/>
                <w:szCs w:val="21"/>
                <w:highlight w:val="none"/>
              </w:rPr>
              <w:t>2、应急措施</w:t>
            </w:r>
          </w:p>
          <w:p w14:paraId="468DF914">
            <w:pPr>
              <w:adjustRightInd w:val="0"/>
              <w:spacing w:line="240" w:lineRule="auto"/>
              <w:ind w:firstLine="0" w:firstLineChars="0"/>
              <w:rPr>
                <w:bCs/>
                <w:color w:val="auto"/>
                <w:kern w:val="0"/>
                <w:sz w:val="21"/>
                <w:szCs w:val="21"/>
                <w:highlight w:val="none"/>
              </w:rPr>
            </w:pPr>
            <w:r>
              <w:rPr>
                <w:bCs/>
                <w:color w:val="auto"/>
                <w:kern w:val="0"/>
                <w:sz w:val="21"/>
                <w:szCs w:val="21"/>
                <w:highlight w:val="none"/>
              </w:rPr>
              <w:t>（1）当设备油箱出现渗漏情况时，停止使用设备，并使用油桶等对油箱中柴油进行转移，对被柴油浸没的土壤进行替换处理；</w:t>
            </w:r>
          </w:p>
          <w:p w14:paraId="4F9946C3">
            <w:pPr>
              <w:adjustRightInd w:val="0"/>
              <w:spacing w:line="240" w:lineRule="auto"/>
              <w:ind w:firstLine="0" w:firstLineChars="0"/>
              <w:rPr>
                <w:bCs/>
                <w:color w:val="auto"/>
                <w:kern w:val="0"/>
                <w:sz w:val="21"/>
                <w:szCs w:val="21"/>
                <w:highlight w:val="none"/>
              </w:rPr>
            </w:pPr>
            <w:r>
              <w:rPr>
                <w:bCs/>
                <w:color w:val="auto"/>
                <w:kern w:val="0"/>
                <w:sz w:val="21"/>
                <w:szCs w:val="21"/>
                <w:highlight w:val="none"/>
              </w:rPr>
              <w:t>（2）</w:t>
            </w:r>
            <w:r>
              <w:rPr>
                <w:color w:val="auto"/>
                <w:sz w:val="21"/>
                <w:szCs w:val="21"/>
                <w:highlight w:val="none"/>
              </w:rPr>
              <w:t>若是洪峰超过防洪标准可能引发弃渣场滑坡、泥石流时，应立即向当地主管部门报告，及时采取有效措施疏散撤离下游可能受灾人员；</w:t>
            </w:r>
          </w:p>
          <w:p w14:paraId="463C8028">
            <w:pPr>
              <w:adjustRightInd w:val="0"/>
              <w:spacing w:line="240" w:lineRule="auto"/>
              <w:ind w:firstLine="0" w:firstLineChars="0"/>
              <w:rPr>
                <w:bCs/>
                <w:color w:val="auto"/>
                <w:kern w:val="0"/>
                <w:sz w:val="21"/>
                <w:szCs w:val="21"/>
                <w:highlight w:val="none"/>
              </w:rPr>
            </w:pPr>
            <w:r>
              <w:rPr>
                <w:bCs/>
                <w:color w:val="auto"/>
                <w:kern w:val="0"/>
                <w:sz w:val="21"/>
                <w:szCs w:val="21"/>
                <w:highlight w:val="none"/>
              </w:rPr>
              <w:t>（3）</w:t>
            </w:r>
            <w:r>
              <w:rPr>
                <w:color w:val="auto"/>
                <w:sz w:val="21"/>
                <w:szCs w:val="21"/>
                <w:highlight w:val="none"/>
              </w:rPr>
              <w:t>当</w:t>
            </w:r>
            <w:r>
              <w:rPr>
                <w:rFonts w:hint="eastAsia"/>
                <w:color w:val="auto"/>
                <w:sz w:val="21"/>
                <w:szCs w:val="21"/>
                <w:highlight w:val="none"/>
              </w:rPr>
              <w:t>截（排）</w:t>
            </w:r>
            <w:r>
              <w:rPr>
                <w:color w:val="auto"/>
                <w:sz w:val="21"/>
                <w:szCs w:val="21"/>
                <w:highlight w:val="none"/>
              </w:rPr>
              <w:t>水系统出现故障时，应及时找出故障原因，若截</w:t>
            </w:r>
            <w:r>
              <w:rPr>
                <w:rFonts w:hint="eastAsia"/>
                <w:color w:val="auto"/>
                <w:sz w:val="21"/>
                <w:szCs w:val="21"/>
                <w:highlight w:val="none"/>
              </w:rPr>
              <w:t>（排）</w:t>
            </w:r>
            <w:r>
              <w:rPr>
                <w:color w:val="auto"/>
                <w:sz w:val="21"/>
                <w:szCs w:val="21"/>
                <w:highlight w:val="none"/>
              </w:rPr>
              <w:t>水系统毁坏或堵塞，应及时疏通修复。</w:t>
            </w:r>
          </w:p>
        </w:tc>
        <w:tc>
          <w:tcPr>
            <w:tcW w:w="932" w:type="pct"/>
            <w:tcBorders>
              <w:tl2br w:val="nil"/>
              <w:tr2bl w:val="nil"/>
            </w:tcBorders>
            <w:tcMar>
              <w:left w:w="57" w:type="dxa"/>
              <w:right w:w="57" w:type="dxa"/>
            </w:tcMar>
            <w:vAlign w:val="center"/>
          </w:tcPr>
          <w:p w14:paraId="1A0D45CA">
            <w:pPr>
              <w:adjustRightInd w:val="0"/>
              <w:spacing w:line="240" w:lineRule="auto"/>
              <w:ind w:firstLine="0" w:firstLineChars="0"/>
              <w:jc w:val="center"/>
              <w:rPr>
                <w:color w:val="auto"/>
                <w:sz w:val="21"/>
                <w:szCs w:val="21"/>
                <w:highlight w:val="none"/>
              </w:rPr>
            </w:pPr>
            <w:r>
              <w:rPr>
                <w:rFonts w:hint="eastAsia"/>
                <w:color w:val="auto"/>
                <w:sz w:val="21"/>
                <w:szCs w:val="21"/>
                <w:highlight w:val="none"/>
              </w:rPr>
              <w:t>风险降至可接受范围内</w:t>
            </w:r>
          </w:p>
        </w:tc>
      </w:tr>
      <w:tr w14:paraId="584015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481" w:type="pct"/>
            <w:tcBorders>
              <w:tl2br w:val="nil"/>
              <w:tr2bl w:val="nil"/>
            </w:tcBorders>
            <w:tcMar>
              <w:left w:w="57" w:type="dxa"/>
              <w:right w:w="57" w:type="dxa"/>
            </w:tcMar>
            <w:vAlign w:val="center"/>
          </w:tcPr>
          <w:p w14:paraId="1A377D95">
            <w:pPr>
              <w:adjustRightInd w:val="0"/>
              <w:spacing w:line="240" w:lineRule="auto"/>
              <w:ind w:firstLine="0" w:firstLineChars="0"/>
              <w:jc w:val="center"/>
              <w:rPr>
                <w:color w:val="auto"/>
                <w:sz w:val="21"/>
                <w:szCs w:val="21"/>
                <w:highlight w:val="none"/>
              </w:rPr>
            </w:pPr>
            <w:r>
              <w:rPr>
                <w:color w:val="auto"/>
                <w:sz w:val="21"/>
                <w:szCs w:val="21"/>
                <w:highlight w:val="none"/>
              </w:rPr>
              <w:t>环境监测</w:t>
            </w:r>
          </w:p>
        </w:tc>
        <w:tc>
          <w:tcPr>
            <w:tcW w:w="934" w:type="pct"/>
            <w:tcBorders>
              <w:tl2br w:val="nil"/>
              <w:tr2bl w:val="nil"/>
            </w:tcBorders>
            <w:tcMar>
              <w:left w:w="57" w:type="dxa"/>
              <w:right w:w="57" w:type="dxa"/>
            </w:tcMar>
            <w:vAlign w:val="center"/>
          </w:tcPr>
          <w:p w14:paraId="5DD97B2B">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571" w:type="pct"/>
            <w:tcBorders>
              <w:tl2br w:val="nil"/>
              <w:tr2bl w:val="nil"/>
            </w:tcBorders>
            <w:tcMar>
              <w:left w:w="57" w:type="dxa"/>
              <w:right w:w="57" w:type="dxa"/>
            </w:tcMar>
            <w:vAlign w:val="center"/>
          </w:tcPr>
          <w:p w14:paraId="7B5709BE">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2080" w:type="pct"/>
            <w:tcBorders>
              <w:tl2br w:val="nil"/>
              <w:tr2bl w:val="nil"/>
            </w:tcBorders>
            <w:tcMar>
              <w:left w:w="57" w:type="dxa"/>
              <w:right w:w="57" w:type="dxa"/>
            </w:tcMar>
            <w:vAlign w:val="center"/>
          </w:tcPr>
          <w:p w14:paraId="551DB828">
            <w:pPr>
              <w:adjustRightInd w:val="0"/>
              <w:spacing w:line="240" w:lineRule="auto"/>
              <w:ind w:firstLine="0" w:firstLineChars="0"/>
              <w:jc w:val="left"/>
              <w:rPr>
                <w:b/>
                <w:bCs/>
                <w:color w:val="auto"/>
                <w:sz w:val="21"/>
                <w:szCs w:val="21"/>
                <w:highlight w:val="none"/>
              </w:rPr>
            </w:pPr>
            <w:r>
              <w:rPr>
                <w:rFonts w:hint="eastAsia"/>
                <w:b/>
                <w:bCs/>
                <w:color w:val="auto"/>
                <w:sz w:val="21"/>
                <w:szCs w:val="21"/>
                <w:highlight w:val="none"/>
              </w:rPr>
              <w:t>1、废气</w:t>
            </w:r>
          </w:p>
          <w:p w14:paraId="731E7180">
            <w:pPr>
              <w:adjustRightInd w:val="0"/>
              <w:spacing w:line="240" w:lineRule="auto"/>
              <w:ind w:firstLine="0" w:firstLineChars="0"/>
              <w:jc w:val="left"/>
              <w:rPr>
                <w:rFonts w:hint="eastAsia"/>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）DA001 排气筒设置 1 个监测点，监测频率为1年/次，监测因子：颗粒物。</w:t>
            </w:r>
          </w:p>
          <w:p w14:paraId="4AA3F903">
            <w:pPr>
              <w:adjustRightInd w:val="0"/>
              <w:spacing w:line="240" w:lineRule="auto"/>
              <w:ind w:firstLine="0" w:firstLineChars="0"/>
              <w:jc w:val="left"/>
              <w:rPr>
                <w:rFonts w:hint="eastAsia" w:eastAsia="宋体"/>
                <w:color w:val="auto"/>
                <w:sz w:val="21"/>
                <w:szCs w:val="21"/>
                <w:highlight w:val="none"/>
                <w:lang w:eastAsia="zh-CN"/>
              </w:rPr>
            </w:pPr>
            <w:r>
              <w:rPr>
                <w:rFonts w:hint="eastAsia"/>
                <w:color w:val="auto"/>
                <w:sz w:val="21"/>
                <w:szCs w:val="21"/>
                <w:highlight w:val="none"/>
                <w:lang w:eastAsia="zh-CN"/>
              </w:rPr>
              <w:t>（</w:t>
            </w:r>
            <w:r>
              <w:rPr>
                <w:rFonts w:hint="eastAsia"/>
                <w:color w:val="auto"/>
                <w:sz w:val="21"/>
                <w:szCs w:val="21"/>
                <w:highlight w:val="none"/>
                <w:lang w:val="en-US" w:eastAsia="zh-CN"/>
              </w:rPr>
              <w:t>2</w:t>
            </w:r>
            <w:r>
              <w:rPr>
                <w:rFonts w:hint="eastAsia"/>
                <w:color w:val="auto"/>
                <w:sz w:val="21"/>
                <w:szCs w:val="21"/>
                <w:highlight w:val="none"/>
                <w:lang w:eastAsia="zh-CN"/>
              </w:rPr>
              <w:t>）</w:t>
            </w:r>
            <w:r>
              <w:rPr>
                <w:rFonts w:hint="eastAsia"/>
                <w:color w:val="auto"/>
                <w:sz w:val="21"/>
                <w:szCs w:val="21"/>
                <w:highlight w:val="none"/>
              </w:rPr>
              <w:t>无组织监测因子：颗粒物；监测点位：上风向1个点、下风向3个点；监测频次：1年/次</w:t>
            </w:r>
            <w:r>
              <w:rPr>
                <w:rFonts w:hint="eastAsia"/>
                <w:color w:val="auto"/>
                <w:sz w:val="21"/>
                <w:szCs w:val="21"/>
                <w:highlight w:val="none"/>
                <w:lang w:eastAsia="zh-CN"/>
              </w:rPr>
              <w:t>。</w:t>
            </w:r>
          </w:p>
          <w:p w14:paraId="0F94B63E">
            <w:pPr>
              <w:adjustRightInd w:val="0"/>
              <w:spacing w:line="240" w:lineRule="auto"/>
              <w:ind w:firstLine="0" w:firstLineChars="0"/>
              <w:jc w:val="left"/>
              <w:rPr>
                <w:b/>
                <w:bCs/>
                <w:color w:val="auto"/>
                <w:sz w:val="21"/>
                <w:szCs w:val="21"/>
                <w:highlight w:val="none"/>
              </w:rPr>
            </w:pPr>
            <w:r>
              <w:rPr>
                <w:rFonts w:hint="eastAsia"/>
                <w:b/>
                <w:bCs/>
                <w:color w:val="auto"/>
                <w:sz w:val="21"/>
                <w:szCs w:val="21"/>
                <w:highlight w:val="none"/>
              </w:rPr>
              <w:t>2、噪声</w:t>
            </w:r>
          </w:p>
          <w:p w14:paraId="57202D4E">
            <w:pPr>
              <w:adjustRightInd w:val="0"/>
              <w:spacing w:line="240" w:lineRule="auto"/>
              <w:ind w:firstLine="0" w:firstLineChars="0"/>
              <w:jc w:val="left"/>
              <w:rPr>
                <w:color w:val="auto"/>
                <w:sz w:val="21"/>
                <w:szCs w:val="21"/>
                <w:highlight w:val="none"/>
              </w:rPr>
            </w:pPr>
            <w:r>
              <w:rPr>
                <w:rFonts w:hint="eastAsia"/>
                <w:color w:val="auto"/>
                <w:sz w:val="21"/>
                <w:szCs w:val="21"/>
                <w:highlight w:val="none"/>
              </w:rPr>
              <w:t>监测因子：Leq（A）；监测点位：东、南、西、北场界外；监测频次：1季度/次</w:t>
            </w:r>
          </w:p>
        </w:tc>
        <w:tc>
          <w:tcPr>
            <w:tcW w:w="932" w:type="pct"/>
            <w:tcBorders>
              <w:tl2br w:val="nil"/>
              <w:tr2bl w:val="nil"/>
            </w:tcBorders>
            <w:tcMar>
              <w:left w:w="57" w:type="dxa"/>
              <w:right w:w="57" w:type="dxa"/>
            </w:tcMar>
            <w:vAlign w:val="center"/>
          </w:tcPr>
          <w:p w14:paraId="48CDC635">
            <w:pPr>
              <w:adjustRightIn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1、有组织排放颗粒物满足《大气污染物综合排放标准（GB16297-1996）中表2要求；</w:t>
            </w:r>
          </w:p>
          <w:p w14:paraId="7F2571F3">
            <w:pPr>
              <w:adjustRightIn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2、无组织排放颗粒物满足《大气污染物综合排放标准(GB16297-1996）中表2无组织排放监控浓度限值要求；</w:t>
            </w:r>
          </w:p>
          <w:p w14:paraId="1F64981A">
            <w:pPr>
              <w:adjustRightInd w:val="0"/>
              <w:spacing w:line="240" w:lineRule="auto"/>
              <w:ind w:firstLine="0" w:firstLineChars="0"/>
              <w:jc w:val="center"/>
              <w:rPr>
                <w:rFonts w:hint="eastAsia"/>
                <w:color w:val="auto"/>
                <w:sz w:val="21"/>
                <w:szCs w:val="21"/>
                <w:highlight w:val="none"/>
              </w:rPr>
            </w:pPr>
            <w:r>
              <w:rPr>
                <w:rFonts w:hint="eastAsia"/>
                <w:color w:val="auto"/>
                <w:sz w:val="21"/>
                <w:szCs w:val="21"/>
                <w:highlight w:val="none"/>
              </w:rPr>
              <w:t>3、噪声满足《工业企业厂界环境噪声排放标准》</w:t>
            </w:r>
          </w:p>
          <w:p w14:paraId="0876FFCD">
            <w:pPr>
              <w:adjustRightInd w:val="0"/>
              <w:spacing w:line="240" w:lineRule="auto"/>
              <w:ind w:firstLine="0" w:firstLineChars="0"/>
              <w:jc w:val="center"/>
              <w:rPr>
                <w:color w:val="auto"/>
                <w:sz w:val="21"/>
                <w:szCs w:val="21"/>
                <w:highlight w:val="none"/>
              </w:rPr>
            </w:pPr>
            <w:r>
              <w:rPr>
                <w:rFonts w:hint="eastAsia"/>
                <w:color w:val="auto"/>
                <w:sz w:val="21"/>
                <w:szCs w:val="21"/>
                <w:highlight w:val="none"/>
              </w:rPr>
              <w:t>（GB12348-2008）中2类标准要求。</w:t>
            </w:r>
          </w:p>
        </w:tc>
      </w:tr>
      <w:tr w14:paraId="08AFBB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481" w:type="pct"/>
            <w:tcBorders>
              <w:tl2br w:val="nil"/>
              <w:tr2bl w:val="nil"/>
            </w:tcBorders>
            <w:tcMar>
              <w:left w:w="57" w:type="dxa"/>
              <w:right w:w="57" w:type="dxa"/>
            </w:tcMar>
            <w:vAlign w:val="center"/>
          </w:tcPr>
          <w:p w14:paraId="2D8A2671">
            <w:pPr>
              <w:adjustRightInd w:val="0"/>
              <w:spacing w:line="240" w:lineRule="auto"/>
              <w:ind w:firstLine="0" w:firstLineChars="0"/>
              <w:jc w:val="center"/>
              <w:rPr>
                <w:color w:val="auto"/>
                <w:sz w:val="21"/>
                <w:szCs w:val="21"/>
                <w:highlight w:val="none"/>
              </w:rPr>
            </w:pPr>
            <w:r>
              <w:rPr>
                <w:color w:val="auto"/>
                <w:sz w:val="21"/>
                <w:szCs w:val="21"/>
                <w:highlight w:val="none"/>
              </w:rPr>
              <w:t>其他</w:t>
            </w:r>
          </w:p>
        </w:tc>
        <w:tc>
          <w:tcPr>
            <w:tcW w:w="934" w:type="pct"/>
            <w:tcBorders>
              <w:tl2br w:val="nil"/>
              <w:tr2bl w:val="nil"/>
            </w:tcBorders>
            <w:tcMar>
              <w:left w:w="57" w:type="dxa"/>
              <w:right w:w="57" w:type="dxa"/>
            </w:tcMar>
            <w:vAlign w:val="center"/>
          </w:tcPr>
          <w:p w14:paraId="27F180F0">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571" w:type="pct"/>
            <w:tcBorders>
              <w:tl2br w:val="nil"/>
              <w:tr2bl w:val="nil"/>
            </w:tcBorders>
            <w:tcMar>
              <w:left w:w="57" w:type="dxa"/>
              <w:right w:w="57" w:type="dxa"/>
            </w:tcMar>
            <w:vAlign w:val="center"/>
          </w:tcPr>
          <w:p w14:paraId="76EC4064">
            <w:pPr>
              <w:adjustRightInd w:val="0"/>
              <w:spacing w:line="240" w:lineRule="auto"/>
              <w:ind w:firstLine="0" w:firstLineChars="0"/>
              <w:jc w:val="center"/>
              <w:rPr>
                <w:color w:val="auto"/>
                <w:sz w:val="21"/>
                <w:szCs w:val="21"/>
                <w:highlight w:val="none"/>
              </w:rPr>
            </w:pPr>
            <w:r>
              <w:rPr>
                <w:color w:val="auto"/>
                <w:sz w:val="21"/>
                <w:szCs w:val="21"/>
                <w:highlight w:val="none"/>
              </w:rPr>
              <w:t>/</w:t>
            </w:r>
          </w:p>
        </w:tc>
        <w:tc>
          <w:tcPr>
            <w:tcW w:w="2080" w:type="pct"/>
            <w:tcBorders>
              <w:tl2br w:val="nil"/>
              <w:tr2bl w:val="nil"/>
            </w:tcBorders>
            <w:tcMar>
              <w:left w:w="57" w:type="dxa"/>
              <w:right w:w="57" w:type="dxa"/>
            </w:tcMar>
            <w:vAlign w:val="center"/>
          </w:tcPr>
          <w:p w14:paraId="606F27EC">
            <w:pPr>
              <w:adjustRightInd w:val="0"/>
              <w:spacing w:line="240" w:lineRule="auto"/>
              <w:ind w:firstLine="0" w:firstLineChars="0"/>
              <w:jc w:val="center"/>
              <w:rPr>
                <w:color w:val="auto"/>
                <w:sz w:val="21"/>
                <w:szCs w:val="21"/>
                <w:highlight w:val="none"/>
              </w:rPr>
            </w:pPr>
            <w:r>
              <w:rPr>
                <w:rFonts w:hint="eastAsia"/>
                <w:color w:val="auto"/>
                <w:sz w:val="21"/>
                <w:szCs w:val="21"/>
                <w:highlight w:val="none"/>
              </w:rPr>
              <w:t>/</w:t>
            </w:r>
          </w:p>
        </w:tc>
        <w:tc>
          <w:tcPr>
            <w:tcW w:w="932" w:type="pct"/>
            <w:tcBorders>
              <w:tl2br w:val="nil"/>
              <w:tr2bl w:val="nil"/>
            </w:tcBorders>
            <w:tcMar>
              <w:left w:w="57" w:type="dxa"/>
              <w:right w:w="57" w:type="dxa"/>
            </w:tcMar>
            <w:vAlign w:val="center"/>
          </w:tcPr>
          <w:p w14:paraId="235B82A5">
            <w:pPr>
              <w:adjustRightInd w:val="0"/>
              <w:spacing w:line="240" w:lineRule="auto"/>
              <w:ind w:firstLine="0" w:firstLineChars="0"/>
              <w:jc w:val="center"/>
              <w:rPr>
                <w:color w:val="auto"/>
                <w:sz w:val="21"/>
                <w:szCs w:val="21"/>
                <w:highlight w:val="none"/>
              </w:rPr>
            </w:pPr>
            <w:r>
              <w:rPr>
                <w:color w:val="auto"/>
                <w:sz w:val="21"/>
                <w:szCs w:val="21"/>
                <w:highlight w:val="none"/>
              </w:rPr>
              <w:t>/</w:t>
            </w:r>
          </w:p>
        </w:tc>
      </w:tr>
    </w:tbl>
    <w:p w14:paraId="58C1827F">
      <w:pPr>
        <w:ind w:firstLine="480"/>
        <w:rPr>
          <w:color w:val="auto"/>
          <w:highlight w:val="none"/>
        </w:rPr>
        <w:sectPr>
          <w:headerReference r:id="rId11" w:type="default"/>
          <w:footerReference r:id="rId12" w:type="default"/>
          <w:pgSz w:w="11906" w:h="16838"/>
          <w:pgMar w:top="1440" w:right="1797" w:bottom="1440" w:left="1797" w:header="851" w:footer="992" w:gutter="0"/>
          <w:pgNumType w:fmt="numberInDash"/>
          <w:cols w:space="720" w:num="1"/>
          <w:docGrid w:type="lines" w:linePitch="326" w:charSpace="0"/>
        </w:sectPr>
      </w:pPr>
    </w:p>
    <w:p w14:paraId="12B81742">
      <w:pPr>
        <w:pStyle w:val="4"/>
        <w:jc w:val="center"/>
        <w:rPr>
          <w:color w:val="auto"/>
          <w:highlight w:val="none"/>
        </w:rPr>
      </w:pPr>
      <w:bookmarkStart w:id="43" w:name="_Toc4277"/>
      <w:r>
        <w:rPr>
          <w:color w:val="auto"/>
          <w:highlight w:val="none"/>
        </w:rPr>
        <w:t>七、结论</w:t>
      </w:r>
      <w:bookmarkEnd w:id="43"/>
    </w:p>
    <w:tbl>
      <w:tblPr>
        <w:tblStyle w:val="30"/>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57" w:type="dxa"/>
          <w:bottom w:w="0" w:type="dxa"/>
          <w:right w:w="57" w:type="dxa"/>
        </w:tblCellMar>
      </w:tblPr>
      <w:tblGrid>
        <w:gridCol w:w="8420"/>
      </w:tblGrid>
      <w:tr w14:paraId="0A161F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57" w:type="dxa"/>
            <w:bottom w:w="0" w:type="dxa"/>
            <w:right w:w="57" w:type="dxa"/>
          </w:tblCellMar>
        </w:tblPrEx>
        <w:trPr>
          <w:trHeight w:val="12607" w:hRule="atLeast"/>
          <w:jc w:val="center"/>
        </w:trPr>
        <w:tc>
          <w:tcPr>
            <w:tcW w:w="5000" w:type="pct"/>
          </w:tcPr>
          <w:p w14:paraId="3B60FFA4">
            <w:pPr>
              <w:spacing w:before="156" w:beforeLines="50"/>
              <w:ind w:firstLine="480"/>
              <w:rPr>
                <w:color w:val="auto"/>
                <w:szCs w:val="24"/>
                <w:highlight w:val="none"/>
              </w:rPr>
            </w:pPr>
            <w:r>
              <w:rPr>
                <w:color w:val="auto"/>
                <w:szCs w:val="24"/>
                <w:highlight w:val="none"/>
              </w:rPr>
              <w:t>综上所述，</w:t>
            </w:r>
            <w:r>
              <w:rPr>
                <w:rFonts w:hint="eastAsia"/>
                <w:color w:val="auto"/>
                <w:szCs w:val="24"/>
                <w:highlight w:val="none"/>
                <w:lang w:eastAsia="zh-CN"/>
              </w:rPr>
              <w:t>云南省寻甸县柯渡黄龙溏普通建筑材料用砂岩矿50万t/a扩建项目</w:t>
            </w:r>
            <w:r>
              <w:rPr>
                <w:color w:val="auto"/>
                <w:szCs w:val="24"/>
                <w:highlight w:val="none"/>
              </w:rPr>
              <w:t>符合国家产业政策和相关规划。项目在建设、开采过程中对当地环境会造成一定的不利影响，通过采取相应的措施，各项污染物均能实现达标排放，矿山开采造成的生态破坏均可通过相应的治理措施将影响降低至最低水平。本环评认为建设单位在落实各项环保措施和生态恢复治理措施的前提下，从环境保护角度分析，项目的建设是可行的。</w:t>
            </w:r>
          </w:p>
          <w:p w14:paraId="133C070E">
            <w:pPr>
              <w:spacing w:before="156" w:beforeLines="50"/>
              <w:ind w:firstLine="480"/>
              <w:rPr>
                <w:color w:val="auto"/>
                <w:szCs w:val="24"/>
                <w:highlight w:val="none"/>
              </w:rPr>
            </w:pPr>
          </w:p>
          <w:p w14:paraId="00E75AB6">
            <w:pPr>
              <w:spacing w:before="156" w:beforeLines="50"/>
              <w:ind w:firstLine="480"/>
              <w:rPr>
                <w:color w:val="auto"/>
                <w:szCs w:val="24"/>
                <w:highlight w:val="none"/>
              </w:rPr>
            </w:pPr>
          </w:p>
          <w:p w14:paraId="468FBB8D">
            <w:pPr>
              <w:spacing w:before="156" w:beforeLines="50"/>
              <w:ind w:firstLine="480"/>
              <w:rPr>
                <w:color w:val="auto"/>
                <w:szCs w:val="24"/>
                <w:highlight w:val="none"/>
              </w:rPr>
            </w:pPr>
          </w:p>
          <w:p w14:paraId="131AFC59">
            <w:pPr>
              <w:spacing w:before="156" w:beforeLines="50"/>
              <w:ind w:firstLine="480"/>
              <w:rPr>
                <w:color w:val="auto"/>
                <w:szCs w:val="24"/>
                <w:highlight w:val="none"/>
              </w:rPr>
            </w:pPr>
          </w:p>
          <w:p w14:paraId="0D4FA565">
            <w:pPr>
              <w:spacing w:before="156" w:beforeLines="50"/>
              <w:ind w:firstLine="480"/>
              <w:rPr>
                <w:color w:val="auto"/>
                <w:szCs w:val="24"/>
                <w:highlight w:val="none"/>
              </w:rPr>
            </w:pPr>
          </w:p>
          <w:p w14:paraId="4388DCF9">
            <w:pPr>
              <w:spacing w:before="156" w:beforeLines="50"/>
              <w:ind w:firstLine="480"/>
              <w:rPr>
                <w:color w:val="auto"/>
                <w:szCs w:val="24"/>
                <w:highlight w:val="none"/>
              </w:rPr>
            </w:pPr>
          </w:p>
          <w:p w14:paraId="749208A8">
            <w:pPr>
              <w:spacing w:before="156" w:beforeLines="50"/>
              <w:ind w:firstLine="480"/>
              <w:rPr>
                <w:color w:val="auto"/>
                <w:szCs w:val="24"/>
                <w:highlight w:val="none"/>
              </w:rPr>
            </w:pPr>
          </w:p>
          <w:p w14:paraId="21630AD2">
            <w:pPr>
              <w:spacing w:before="156" w:beforeLines="50"/>
              <w:ind w:firstLine="480"/>
              <w:rPr>
                <w:color w:val="auto"/>
                <w:szCs w:val="24"/>
                <w:highlight w:val="none"/>
              </w:rPr>
            </w:pPr>
          </w:p>
          <w:p w14:paraId="6FA2E271">
            <w:pPr>
              <w:spacing w:before="156" w:beforeLines="50"/>
              <w:ind w:firstLine="480"/>
              <w:rPr>
                <w:color w:val="auto"/>
                <w:szCs w:val="24"/>
                <w:highlight w:val="none"/>
              </w:rPr>
            </w:pPr>
          </w:p>
          <w:p w14:paraId="56D6062E">
            <w:pPr>
              <w:spacing w:before="156" w:beforeLines="50"/>
              <w:ind w:firstLine="480"/>
              <w:rPr>
                <w:color w:val="auto"/>
                <w:szCs w:val="24"/>
                <w:highlight w:val="none"/>
              </w:rPr>
            </w:pPr>
          </w:p>
          <w:p w14:paraId="6BB7F9BC">
            <w:pPr>
              <w:spacing w:before="156" w:beforeLines="50"/>
              <w:ind w:firstLine="480"/>
              <w:rPr>
                <w:color w:val="auto"/>
                <w:szCs w:val="24"/>
                <w:highlight w:val="none"/>
              </w:rPr>
            </w:pPr>
          </w:p>
          <w:p w14:paraId="0BF49823">
            <w:pPr>
              <w:spacing w:before="156" w:beforeLines="50"/>
              <w:ind w:firstLine="480"/>
              <w:rPr>
                <w:color w:val="auto"/>
                <w:szCs w:val="24"/>
                <w:highlight w:val="none"/>
              </w:rPr>
            </w:pPr>
          </w:p>
          <w:p w14:paraId="417D2D7D">
            <w:pPr>
              <w:spacing w:before="156" w:beforeLines="50"/>
              <w:ind w:firstLine="480"/>
              <w:rPr>
                <w:color w:val="auto"/>
                <w:szCs w:val="24"/>
                <w:highlight w:val="none"/>
              </w:rPr>
            </w:pPr>
          </w:p>
          <w:p w14:paraId="7A46E5C7">
            <w:pPr>
              <w:spacing w:before="156" w:beforeLines="50"/>
              <w:ind w:firstLine="480"/>
              <w:rPr>
                <w:color w:val="auto"/>
                <w:szCs w:val="24"/>
                <w:highlight w:val="none"/>
              </w:rPr>
            </w:pPr>
          </w:p>
          <w:p w14:paraId="0CEA0D8A">
            <w:pPr>
              <w:spacing w:before="156" w:beforeLines="50"/>
              <w:ind w:firstLine="0" w:firstLineChars="0"/>
              <w:rPr>
                <w:color w:val="auto"/>
                <w:szCs w:val="20"/>
                <w:highlight w:val="none"/>
              </w:rPr>
            </w:pPr>
          </w:p>
        </w:tc>
      </w:tr>
    </w:tbl>
    <w:p w14:paraId="480DF86D">
      <w:pPr>
        <w:ind w:firstLine="0" w:firstLineChars="0"/>
        <w:rPr>
          <w:color w:val="auto"/>
          <w:highlight w:val="none"/>
        </w:rPr>
      </w:pPr>
    </w:p>
    <w:sectPr>
      <w:pgSz w:w="11906" w:h="16838"/>
      <w:pgMar w:top="1440" w:right="1800" w:bottom="1440" w:left="1800" w:header="851" w:footer="992"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2E49BEB-CB7D-466F-92CF-A49A9D02071E}"/>
  </w:font>
  <w:font w:name="黑体">
    <w:panose1 w:val="02010609060101010101"/>
    <w:charset w:val="86"/>
    <w:family w:val="auto"/>
    <w:pitch w:val="default"/>
    <w:sig w:usb0="800002BF" w:usb1="38CF7CFA" w:usb2="00000016" w:usb3="00000000" w:csb0="00040001" w:csb1="00000000"/>
    <w:embedRegular r:id="rId2" w:fontKey="{F8E24AFE-2BD5-418F-A321-503148B01A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AB2BA255-8A9F-4457-8669-94495B297C98}"/>
  </w:font>
  <w:font w:name="華康娃娃體">
    <w:altName w:val="Microsoft JhengHei"/>
    <w:panose1 w:val="00000000000000000000"/>
    <w:charset w:val="88"/>
    <w:family w:val="auto"/>
    <w:pitch w:val="default"/>
    <w:sig w:usb0="00000000" w:usb1="00000000" w:usb2="00000016" w:usb3="00000000" w:csb0="00100001" w:csb1="00000000"/>
  </w:font>
  <w:font w:name="Microsoft JhengHei">
    <w:panose1 w:val="020B0604030504040204"/>
    <w:charset w:val="88"/>
    <w:family w:val="auto"/>
    <w:pitch w:val="default"/>
    <w:sig w:usb0="000002A7" w:usb1="28CF4400" w:usb2="00000016" w:usb3="00000000" w:csb0="00100009" w:csb1="00000000"/>
  </w:font>
  <w:font w:name="Tms Rmn">
    <w:altName w:val="Times New Roman"/>
    <w:panose1 w:val="02020603040505020304"/>
    <w:charset w:val="00"/>
    <w:family w:val="roman"/>
    <w:pitch w:val="default"/>
    <w:sig w:usb0="00000000" w:usb1="00000000" w:usb2="00000000" w:usb3="00000000" w:csb0="00000001" w:csb1="00000000"/>
  </w:font>
  <w:font w:name="華康中楷體">
    <w:altName w:val="Microsoft JhengHei"/>
    <w:panose1 w:val="00000000000000000000"/>
    <w:charset w:val="88"/>
    <w:family w:val="roman"/>
    <w:pitch w:val="default"/>
    <w:sig w:usb0="00000000" w:usb1="00000000" w:usb2="00000010" w:usb3="00000000" w:csb0="00100000" w:csb1="00000000"/>
  </w:font>
  <w:font w:name="??">
    <w:altName w:val="Times New Roman"/>
    <w:panose1 w:val="00000000000000000000"/>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4" w:fontKey="{924CB2EC-2993-4E13-B750-0E62B4C8BE3D}"/>
  </w:font>
  <w:font w:name="方正小标宋_GBK">
    <w:panose1 w:val="02000000000000000000"/>
    <w:charset w:val="86"/>
    <w:family w:val="script"/>
    <w:pitch w:val="default"/>
    <w:sig w:usb0="A00002BF" w:usb1="38CF7CFA" w:usb2="00082016" w:usb3="00000000" w:csb0="00040001" w:csb1="00000000"/>
    <w:embedRegular r:id="rId5" w:fontKey="{11FDCB8E-DA1D-4ABF-9EB9-A88809FD41A2}"/>
  </w:font>
  <w:font w:name="楷体_GB2312">
    <w:panose1 w:val="02010609030101010101"/>
    <w:charset w:val="86"/>
    <w:family w:val="modern"/>
    <w:pitch w:val="default"/>
    <w:sig w:usb0="00000001" w:usb1="080E0000" w:usb2="00000000" w:usb3="00000000" w:csb0="00040000" w:csb1="00000000"/>
    <w:embedRegular r:id="rId6" w:fontKey="{7076DD3D-4FC6-44E2-B0BB-21C7FC4043CE}"/>
  </w:font>
  <w:font w:name="Wingdings 2">
    <w:panose1 w:val="05020102010507070707"/>
    <w:charset w:val="02"/>
    <w:family w:val="roman"/>
    <w:pitch w:val="default"/>
    <w:sig w:usb0="00000000" w:usb1="00000000" w:usb2="00000000" w:usb3="00000000" w:csb0="80000000" w:csb1="00000000"/>
    <w:embedRegular r:id="rId7" w:fontKey="{D41A9A26-EFD0-4624-B6E5-0A7545F5390A}"/>
  </w:font>
  <w:font w:name="Cambria Math">
    <w:panose1 w:val="02040503050406030204"/>
    <w:charset w:val="00"/>
    <w:family w:val="roman"/>
    <w:pitch w:val="default"/>
    <w:sig w:usb0="E00006FF" w:usb1="420024FF" w:usb2="02000000" w:usb3="00000000" w:csb0="2000019F" w:csb1="00000000"/>
    <w:embedRegular r:id="rId8" w:fontKey="{2E22B895-D3A3-48F8-B508-20C706D007A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544AF">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77F06">
    <w:pPr>
      <w:pStyle w:val="18"/>
      <w:ind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6BB83">
    <w:pPr>
      <w:pStyle w:val="18"/>
      <w:ind w:firstLine="420"/>
      <w:jc w:val="center"/>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CB0AF">
                          <w:pPr>
                            <w:pStyle w:val="18"/>
                            <w:ind w:firstLine="420"/>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w:t>
                          </w:r>
                          <w:r>
                            <w:rPr>
                              <w:sz w:val="21"/>
                              <w:szCs w:val="21"/>
                            </w:rPr>
                            <w:t xml:space="preserve"> 56 -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BCB0AF">
                    <w:pPr>
                      <w:pStyle w:val="18"/>
                      <w:ind w:firstLine="420"/>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w:t>
                    </w:r>
                    <w:r>
                      <w:rPr>
                        <w:sz w:val="21"/>
                        <w:szCs w:val="21"/>
                      </w:rPr>
                      <w:t xml:space="preserve"> 56 -</w:t>
                    </w:r>
                    <w:r>
                      <w:rPr>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73E17">
    <w:pPr>
      <w:pStyle w:val="18"/>
      <w:ind w:firstLine="420"/>
      <w:jc w:val="center"/>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7538A">
                          <w:pPr>
                            <w:pStyle w:val="18"/>
                            <w:ind w:firstLine="420"/>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w:t>
                          </w:r>
                          <w:r>
                            <w:rPr>
                              <w:sz w:val="21"/>
                              <w:szCs w:val="21"/>
                            </w:rPr>
                            <w:t xml:space="preserve"> 56 -</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1F7538A">
                    <w:pPr>
                      <w:pStyle w:val="18"/>
                      <w:ind w:firstLine="420"/>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w:t>
                    </w:r>
                    <w:r>
                      <w:rPr>
                        <w:sz w:val="21"/>
                        <w:szCs w:val="21"/>
                      </w:rPr>
                      <w:t xml:space="preserve"> 56 -</w:t>
                    </w:r>
                    <w:r>
                      <w:rPr>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4028E">
    <w:pPr>
      <w:ind w:firstLine="480"/>
    </w:pPr>
  </w:p>
  <w:p w14:paraId="0DCD36D5">
    <w:pPr>
      <w:pStyle w:val="13"/>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6BDBA">
    <w:pPr>
      <w:pStyle w:val="19"/>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D3AF6">
    <w:pPr>
      <w:pStyle w:val="19"/>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6A51A">
    <w:pPr>
      <w:pStyle w:val="19"/>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D3953"/>
    <w:multiLevelType w:val="singleLevel"/>
    <w:tmpl w:val="8CCD3953"/>
    <w:lvl w:ilvl="0" w:tentative="0">
      <w:start w:val="1"/>
      <w:numFmt w:val="decimal"/>
      <w:suff w:val="nothing"/>
      <w:lvlText w:val="%1、"/>
      <w:lvlJc w:val="left"/>
    </w:lvl>
  </w:abstractNum>
  <w:abstractNum w:abstractNumId="1">
    <w:nsid w:val="917D97A0"/>
    <w:multiLevelType w:val="singleLevel"/>
    <w:tmpl w:val="917D97A0"/>
    <w:lvl w:ilvl="0" w:tentative="0">
      <w:start w:val="1"/>
      <w:numFmt w:val="decimal"/>
      <w:suff w:val="nothing"/>
      <w:lvlText w:val="（%1）"/>
      <w:lvlJc w:val="left"/>
    </w:lvl>
  </w:abstractNum>
  <w:abstractNum w:abstractNumId="2">
    <w:nsid w:val="BEBDDE95"/>
    <w:multiLevelType w:val="singleLevel"/>
    <w:tmpl w:val="BEBDDE95"/>
    <w:lvl w:ilvl="0" w:tentative="0">
      <w:start w:val="1"/>
      <w:numFmt w:val="bullet"/>
      <w:pStyle w:val="12"/>
      <w:lvlText w:val=""/>
      <w:lvlJc w:val="left"/>
      <w:pPr>
        <w:tabs>
          <w:tab w:val="left" w:pos="780"/>
        </w:tabs>
        <w:ind w:left="780" w:hanging="360"/>
      </w:pPr>
      <w:rPr>
        <w:rFonts w:hint="default" w:ascii="Wingdings" w:hAnsi="Wingdings"/>
      </w:rPr>
    </w:lvl>
  </w:abstractNum>
  <w:abstractNum w:abstractNumId="3">
    <w:nsid w:val="6B762E4B"/>
    <w:multiLevelType w:val="singleLevel"/>
    <w:tmpl w:val="6B762E4B"/>
    <w:lvl w:ilvl="0" w:tentative="0">
      <w:start w:val="6"/>
      <w:numFmt w:val="chineseCounting"/>
      <w:suff w:val="nothing"/>
      <w:lvlText w:val="%1、"/>
      <w:lvlJc w:val="left"/>
      <w:rPr>
        <w:rFonts w:hint="eastAsia"/>
      </w:rPr>
    </w:lvl>
  </w:abstractNum>
  <w:abstractNum w:abstractNumId="4">
    <w:nsid w:val="734E3F08"/>
    <w:multiLevelType w:val="singleLevel"/>
    <w:tmpl w:val="734E3F08"/>
    <w:lvl w:ilvl="0" w:tentative="0">
      <w:start w:val="1"/>
      <w:numFmt w:val="decimal"/>
      <w:lvlText w:val="%1."/>
      <w:lvlJc w:val="left"/>
      <w:pPr>
        <w:tabs>
          <w:tab w:val="left" w:pos="312"/>
        </w:tabs>
      </w:pPr>
    </w:lvl>
  </w:abstractNum>
  <w:num w:numId="1">
    <w:abstractNumId w:val="2"/>
  </w:num>
  <w:num w:numId="2">
    <w:abstractNumId w:val="4"/>
  </w:num>
  <w:num w:numId="3">
    <w:abstractNumId w:val="1"/>
  </w:num>
  <w:num w:numId="4">
    <w:abstractNumId w:val="0"/>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崔涛">
    <w15:presenceInfo w15:providerId="None" w15:userId="崔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3756"/>
    <w:rsid w:val="00003DD6"/>
    <w:rsid w:val="00005920"/>
    <w:rsid w:val="00010AE8"/>
    <w:rsid w:val="0001732B"/>
    <w:rsid w:val="00023FA5"/>
    <w:rsid w:val="000240A8"/>
    <w:rsid w:val="00026206"/>
    <w:rsid w:val="00026545"/>
    <w:rsid w:val="000306CD"/>
    <w:rsid w:val="00031A72"/>
    <w:rsid w:val="00036597"/>
    <w:rsid w:val="0004249D"/>
    <w:rsid w:val="00053F6F"/>
    <w:rsid w:val="00054354"/>
    <w:rsid w:val="00054FDF"/>
    <w:rsid w:val="00073ECD"/>
    <w:rsid w:val="000768E4"/>
    <w:rsid w:val="000773D5"/>
    <w:rsid w:val="00080D45"/>
    <w:rsid w:val="0008238D"/>
    <w:rsid w:val="00082F44"/>
    <w:rsid w:val="00086574"/>
    <w:rsid w:val="000870D2"/>
    <w:rsid w:val="00094347"/>
    <w:rsid w:val="000946F2"/>
    <w:rsid w:val="00096472"/>
    <w:rsid w:val="00097EE8"/>
    <w:rsid w:val="000A1A3E"/>
    <w:rsid w:val="000C0B5D"/>
    <w:rsid w:val="000C6CDE"/>
    <w:rsid w:val="000E20D3"/>
    <w:rsid w:val="000F4EBB"/>
    <w:rsid w:val="000F5FB7"/>
    <w:rsid w:val="000F622E"/>
    <w:rsid w:val="001000B2"/>
    <w:rsid w:val="00100444"/>
    <w:rsid w:val="00101BD4"/>
    <w:rsid w:val="00103590"/>
    <w:rsid w:val="0010578D"/>
    <w:rsid w:val="00116EAE"/>
    <w:rsid w:val="00120893"/>
    <w:rsid w:val="00120C29"/>
    <w:rsid w:val="00120D9A"/>
    <w:rsid w:val="001237CC"/>
    <w:rsid w:val="0012647E"/>
    <w:rsid w:val="00135899"/>
    <w:rsid w:val="001358C0"/>
    <w:rsid w:val="0013610D"/>
    <w:rsid w:val="001419E1"/>
    <w:rsid w:val="001517C5"/>
    <w:rsid w:val="001526B2"/>
    <w:rsid w:val="001657CF"/>
    <w:rsid w:val="00167684"/>
    <w:rsid w:val="00170612"/>
    <w:rsid w:val="00172A27"/>
    <w:rsid w:val="00174D55"/>
    <w:rsid w:val="001757E4"/>
    <w:rsid w:val="00175B27"/>
    <w:rsid w:val="00181B33"/>
    <w:rsid w:val="00184EA0"/>
    <w:rsid w:val="0019019C"/>
    <w:rsid w:val="00192973"/>
    <w:rsid w:val="00195D61"/>
    <w:rsid w:val="001A106F"/>
    <w:rsid w:val="001A19DB"/>
    <w:rsid w:val="001D0FB7"/>
    <w:rsid w:val="001D77C2"/>
    <w:rsid w:val="001E0CDE"/>
    <w:rsid w:val="001E1B2B"/>
    <w:rsid w:val="001E6141"/>
    <w:rsid w:val="001E7611"/>
    <w:rsid w:val="001F4BD1"/>
    <w:rsid w:val="002018B8"/>
    <w:rsid w:val="00202B0F"/>
    <w:rsid w:val="0021225D"/>
    <w:rsid w:val="0021634C"/>
    <w:rsid w:val="0022345C"/>
    <w:rsid w:val="00223A67"/>
    <w:rsid w:val="00223C5B"/>
    <w:rsid w:val="002256D8"/>
    <w:rsid w:val="002272CD"/>
    <w:rsid w:val="0022788B"/>
    <w:rsid w:val="00233B9C"/>
    <w:rsid w:val="00243645"/>
    <w:rsid w:val="00245F9F"/>
    <w:rsid w:val="00245FDD"/>
    <w:rsid w:val="00246DA3"/>
    <w:rsid w:val="002510D1"/>
    <w:rsid w:val="002520B1"/>
    <w:rsid w:val="00255853"/>
    <w:rsid w:val="002626C6"/>
    <w:rsid w:val="002626FC"/>
    <w:rsid w:val="002640CF"/>
    <w:rsid w:val="00265A71"/>
    <w:rsid w:val="0027324A"/>
    <w:rsid w:val="002772BD"/>
    <w:rsid w:val="0029086B"/>
    <w:rsid w:val="002925CB"/>
    <w:rsid w:val="002A01E5"/>
    <w:rsid w:val="002B6B3E"/>
    <w:rsid w:val="002B7CE6"/>
    <w:rsid w:val="002C18AE"/>
    <w:rsid w:val="002D7F20"/>
    <w:rsid w:val="002E420E"/>
    <w:rsid w:val="002E6402"/>
    <w:rsid w:val="002F7A8A"/>
    <w:rsid w:val="00302EDF"/>
    <w:rsid w:val="0030532E"/>
    <w:rsid w:val="00311768"/>
    <w:rsid w:val="003172D6"/>
    <w:rsid w:val="00320522"/>
    <w:rsid w:val="0032106C"/>
    <w:rsid w:val="003216AC"/>
    <w:rsid w:val="00322EBB"/>
    <w:rsid w:val="0032309F"/>
    <w:rsid w:val="00323EAA"/>
    <w:rsid w:val="003331A6"/>
    <w:rsid w:val="00370D92"/>
    <w:rsid w:val="00377782"/>
    <w:rsid w:val="00383B92"/>
    <w:rsid w:val="00385234"/>
    <w:rsid w:val="0039181B"/>
    <w:rsid w:val="00391D95"/>
    <w:rsid w:val="003A5E3A"/>
    <w:rsid w:val="003A6073"/>
    <w:rsid w:val="003A692C"/>
    <w:rsid w:val="003A7E8E"/>
    <w:rsid w:val="003B1FB2"/>
    <w:rsid w:val="003C00DA"/>
    <w:rsid w:val="003C0D62"/>
    <w:rsid w:val="003D771D"/>
    <w:rsid w:val="003D7B5B"/>
    <w:rsid w:val="003E2AA2"/>
    <w:rsid w:val="003E33FB"/>
    <w:rsid w:val="003E3F59"/>
    <w:rsid w:val="003E54FD"/>
    <w:rsid w:val="003F6151"/>
    <w:rsid w:val="003F6DA3"/>
    <w:rsid w:val="003F7E27"/>
    <w:rsid w:val="00403373"/>
    <w:rsid w:val="00411A1B"/>
    <w:rsid w:val="004121E5"/>
    <w:rsid w:val="00413A9D"/>
    <w:rsid w:val="00420E50"/>
    <w:rsid w:val="004244EA"/>
    <w:rsid w:val="00424E40"/>
    <w:rsid w:val="00431E93"/>
    <w:rsid w:val="004420E5"/>
    <w:rsid w:val="0044463C"/>
    <w:rsid w:val="00450C10"/>
    <w:rsid w:val="00460277"/>
    <w:rsid w:val="00464A69"/>
    <w:rsid w:val="00467FAB"/>
    <w:rsid w:val="0047451D"/>
    <w:rsid w:val="00474FAB"/>
    <w:rsid w:val="00480917"/>
    <w:rsid w:val="0048316F"/>
    <w:rsid w:val="0048348C"/>
    <w:rsid w:val="0049052A"/>
    <w:rsid w:val="004A2546"/>
    <w:rsid w:val="004B2D14"/>
    <w:rsid w:val="004B2D1D"/>
    <w:rsid w:val="004C1E23"/>
    <w:rsid w:val="004C4917"/>
    <w:rsid w:val="004C59C7"/>
    <w:rsid w:val="004C684C"/>
    <w:rsid w:val="004C7AC6"/>
    <w:rsid w:val="004D0913"/>
    <w:rsid w:val="004D4266"/>
    <w:rsid w:val="004D5D2C"/>
    <w:rsid w:val="004F44C7"/>
    <w:rsid w:val="004F5ACE"/>
    <w:rsid w:val="00500C02"/>
    <w:rsid w:val="005031EF"/>
    <w:rsid w:val="00504D0A"/>
    <w:rsid w:val="00511695"/>
    <w:rsid w:val="005144E7"/>
    <w:rsid w:val="00520554"/>
    <w:rsid w:val="00521795"/>
    <w:rsid w:val="00525316"/>
    <w:rsid w:val="005421A0"/>
    <w:rsid w:val="005436F5"/>
    <w:rsid w:val="005566C5"/>
    <w:rsid w:val="00557C78"/>
    <w:rsid w:val="00566EAD"/>
    <w:rsid w:val="00567197"/>
    <w:rsid w:val="00570A7E"/>
    <w:rsid w:val="00574161"/>
    <w:rsid w:val="00575866"/>
    <w:rsid w:val="00581065"/>
    <w:rsid w:val="00582EA3"/>
    <w:rsid w:val="0058780D"/>
    <w:rsid w:val="005A2FE4"/>
    <w:rsid w:val="005A362A"/>
    <w:rsid w:val="005A5A84"/>
    <w:rsid w:val="005C073C"/>
    <w:rsid w:val="005C1E93"/>
    <w:rsid w:val="005C31CF"/>
    <w:rsid w:val="005D0BE7"/>
    <w:rsid w:val="005E3BFB"/>
    <w:rsid w:val="005E5BA3"/>
    <w:rsid w:val="005E65CC"/>
    <w:rsid w:val="005E7F26"/>
    <w:rsid w:val="005F2436"/>
    <w:rsid w:val="00606093"/>
    <w:rsid w:val="00607155"/>
    <w:rsid w:val="0060769B"/>
    <w:rsid w:val="0061625F"/>
    <w:rsid w:val="00624CE2"/>
    <w:rsid w:val="00642F00"/>
    <w:rsid w:val="00672C14"/>
    <w:rsid w:val="00676941"/>
    <w:rsid w:val="00680C07"/>
    <w:rsid w:val="00682046"/>
    <w:rsid w:val="00683273"/>
    <w:rsid w:val="00683C64"/>
    <w:rsid w:val="0069314C"/>
    <w:rsid w:val="0069543F"/>
    <w:rsid w:val="006972C1"/>
    <w:rsid w:val="006B0478"/>
    <w:rsid w:val="006B0C28"/>
    <w:rsid w:val="006B624A"/>
    <w:rsid w:val="006B724F"/>
    <w:rsid w:val="006C2836"/>
    <w:rsid w:val="006C62A5"/>
    <w:rsid w:val="006C663F"/>
    <w:rsid w:val="006D0675"/>
    <w:rsid w:val="006E2BF5"/>
    <w:rsid w:val="006E3E2B"/>
    <w:rsid w:val="006E7A59"/>
    <w:rsid w:val="006F414F"/>
    <w:rsid w:val="00706772"/>
    <w:rsid w:val="007104BB"/>
    <w:rsid w:val="00711397"/>
    <w:rsid w:val="00725731"/>
    <w:rsid w:val="00732886"/>
    <w:rsid w:val="00732CAA"/>
    <w:rsid w:val="00733798"/>
    <w:rsid w:val="007357B4"/>
    <w:rsid w:val="007454CF"/>
    <w:rsid w:val="00747E8C"/>
    <w:rsid w:val="00750F7C"/>
    <w:rsid w:val="00752BA7"/>
    <w:rsid w:val="0075353B"/>
    <w:rsid w:val="0075740A"/>
    <w:rsid w:val="00765765"/>
    <w:rsid w:val="00767F07"/>
    <w:rsid w:val="0077254B"/>
    <w:rsid w:val="007757F5"/>
    <w:rsid w:val="0077736D"/>
    <w:rsid w:val="00780279"/>
    <w:rsid w:val="0078582F"/>
    <w:rsid w:val="007920D6"/>
    <w:rsid w:val="0079228D"/>
    <w:rsid w:val="007A0040"/>
    <w:rsid w:val="007A5E91"/>
    <w:rsid w:val="007C0E49"/>
    <w:rsid w:val="007C4D38"/>
    <w:rsid w:val="007C5E50"/>
    <w:rsid w:val="007C5FBB"/>
    <w:rsid w:val="007C6AF6"/>
    <w:rsid w:val="007D18DE"/>
    <w:rsid w:val="007D5514"/>
    <w:rsid w:val="007F09AA"/>
    <w:rsid w:val="007F14FD"/>
    <w:rsid w:val="007F2AC1"/>
    <w:rsid w:val="007F5EBD"/>
    <w:rsid w:val="00800DEB"/>
    <w:rsid w:val="008131C2"/>
    <w:rsid w:val="00823CD4"/>
    <w:rsid w:val="00827FE1"/>
    <w:rsid w:val="0083479B"/>
    <w:rsid w:val="00863EC0"/>
    <w:rsid w:val="00866CDF"/>
    <w:rsid w:val="008805D2"/>
    <w:rsid w:val="008922F5"/>
    <w:rsid w:val="00893BF7"/>
    <w:rsid w:val="00894BFE"/>
    <w:rsid w:val="008A1A49"/>
    <w:rsid w:val="008A3849"/>
    <w:rsid w:val="008A5187"/>
    <w:rsid w:val="008B02D2"/>
    <w:rsid w:val="008B4319"/>
    <w:rsid w:val="008B5025"/>
    <w:rsid w:val="008B5111"/>
    <w:rsid w:val="008C25F5"/>
    <w:rsid w:val="008D398E"/>
    <w:rsid w:val="008D3DED"/>
    <w:rsid w:val="008E0183"/>
    <w:rsid w:val="008E6710"/>
    <w:rsid w:val="008F1471"/>
    <w:rsid w:val="008F3DF7"/>
    <w:rsid w:val="00904773"/>
    <w:rsid w:val="009051CC"/>
    <w:rsid w:val="0091316B"/>
    <w:rsid w:val="00922969"/>
    <w:rsid w:val="00926E3A"/>
    <w:rsid w:val="009312A4"/>
    <w:rsid w:val="00932407"/>
    <w:rsid w:val="00954666"/>
    <w:rsid w:val="00955AB7"/>
    <w:rsid w:val="00955C86"/>
    <w:rsid w:val="009608CD"/>
    <w:rsid w:val="00971345"/>
    <w:rsid w:val="0097189E"/>
    <w:rsid w:val="00983019"/>
    <w:rsid w:val="00992E5F"/>
    <w:rsid w:val="009932F9"/>
    <w:rsid w:val="00995AB2"/>
    <w:rsid w:val="009A6281"/>
    <w:rsid w:val="009B0B31"/>
    <w:rsid w:val="009B3A4E"/>
    <w:rsid w:val="009C0CEB"/>
    <w:rsid w:val="009C6B3C"/>
    <w:rsid w:val="009D67A5"/>
    <w:rsid w:val="009E7AE6"/>
    <w:rsid w:val="009F4888"/>
    <w:rsid w:val="009F50DD"/>
    <w:rsid w:val="00A03ABD"/>
    <w:rsid w:val="00A04D7E"/>
    <w:rsid w:val="00A159AF"/>
    <w:rsid w:val="00A21948"/>
    <w:rsid w:val="00A23778"/>
    <w:rsid w:val="00A303F6"/>
    <w:rsid w:val="00A31BC0"/>
    <w:rsid w:val="00A33B32"/>
    <w:rsid w:val="00A40B35"/>
    <w:rsid w:val="00A41894"/>
    <w:rsid w:val="00A50828"/>
    <w:rsid w:val="00A55ACC"/>
    <w:rsid w:val="00A561BC"/>
    <w:rsid w:val="00A606CB"/>
    <w:rsid w:val="00A62344"/>
    <w:rsid w:val="00A73434"/>
    <w:rsid w:val="00A7616F"/>
    <w:rsid w:val="00A80AD4"/>
    <w:rsid w:val="00A80D9C"/>
    <w:rsid w:val="00A8316B"/>
    <w:rsid w:val="00A838DB"/>
    <w:rsid w:val="00A84BAB"/>
    <w:rsid w:val="00A91089"/>
    <w:rsid w:val="00AA245C"/>
    <w:rsid w:val="00AA51A3"/>
    <w:rsid w:val="00AB4471"/>
    <w:rsid w:val="00AC2E25"/>
    <w:rsid w:val="00AE19F3"/>
    <w:rsid w:val="00AE1CCF"/>
    <w:rsid w:val="00AF1F27"/>
    <w:rsid w:val="00AF2182"/>
    <w:rsid w:val="00AF5658"/>
    <w:rsid w:val="00B001A6"/>
    <w:rsid w:val="00B0255C"/>
    <w:rsid w:val="00B11517"/>
    <w:rsid w:val="00B12952"/>
    <w:rsid w:val="00B15AB7"/>
    <w:rsid w:val="00B2166D"/>
    <w:rsid w:val="00B246CC"/>
    <w:rsid w:val="00B24B59"/>
    <w:rsid w:val="00B27012"/>
    <w:rsid w:val="00B439FA"/>
    <w:rsid w:val="00B47414"/>
    <w:rsid w:val="00B52794"/>
    <w:rsid w:val="00B750C6"/>
    <w:rsid w:val="00B902FC"/>
    <w:rsid w:val="00B92329"/>
    <w:rsid w:val="00BB32E8"/>
    <w:rsid w:val="00BB44D8"/>
    <w:rsid w:val="00BB4AAA"/>
    <w:rsid w:val="00BC0A03"/>
    <w:rsid w:val="00BC260B"/>
    <w:rsid w:val="00BC271B"/>
    <w:rsid w:val="00BC5CA7"/>
    <w:rsid w:val="00BC688E"/>
    <w:rsid w:val="00BD407D"/>
    <w:rsid w:val="00BD7FA4"/>
    <w:rsid w:val="00BE0AF9"/>
    <w:rsid w:val="00BE1F4D"/>
    <w:rsid w:val="00BE48E5"/>
    <w:rsid w:val="00BE7A86"/>
    <w:rsid w:val="00BF0E9B"/>
    <w:rsid w:val="00BF3DFC"/>
    <w:rsid w:val="00C0182B"/>
    <w:rsid w:val="00C04273"/>
    <w:rsid w:val="00C07E23"/>
    <w:rsid w:val="00C16FED"/>
    <w:rsid w:val="00C173E3"/>
    <w:rsid w:val="00C17748"/>
    <w:rsid w:val="00C247DA"/>
    <w:rsid w:val="00C2528C"/>
    <w:rsid w:val="00C25AEB"/>
    <w:rsid w:val="00C27CB3"/>
    <w:rsid w:val="00C30F05"/>
    <w:rsid w:val="00C31A54"/>
    <w:rsid w:val="00C37152"/>
    <w:rsid w:val="00C37C88"/>
    <w:rsid w:val="00C461A6"/>
    <w:rsid w:val="00C53E7B"/>
    <w:rsid w:val="00C57FBE"/>
    <w:rsid w:val="00C63B12"/>
    <w:rsid w:val="00C677BD"/>
    <w:rsid w:val="00C71A23"/>
    <w:rsid w:val="00C71BEE"/>
    <w:rsid w:val="00C9414B"/>
    <w:rsid w:val="00CB46F3"/>
    <w:rsid w:val="00CB6176"/>
    <w:rsid w:val="00CB744B"/>
    <w:rsid w:val="00CC3516"/>
    <w:rsid w:val="00CD0DBA"/>
    <w:rsid w:val="00CD2B0C"/>
    <w:rsid w:val="00CD6ECC"/>
    <w:rsid w:val="00CE1F8F"/>
    <w:rsid w:val="00CE7C82"/>
    <w:rsid w:val="00CF6BA3"/>
    <w:rsid w:val="00D01697"/>
    <w:rsid w:val="00D06723"/>
    <w:rsid w:val="00D234C3"/>
    <w:rsid w:val="00D25395"/>
    <w:rsid w:val="00D25E36"/>
    <w:rsid w:val="00D601F8"/>
    <w:rsid w:val="00D710DF"/>
    <w:rsid w:val="00D725C9"/>
    <w:rsid w:val="00D86935"/>
    <w:rsid w:val="00DA105F"/>
    <w:rsid w:val="00DA60BD"/>
    <w:rsid w:val="00DB0AAA"/>
    <w:rsid w:val="00DB40F8"/>
    <w:rsid w:val="00DB64C6"/>
    <w:rsid w:val="00DC5112"/>
    <w:rsid w:val="00DD60D2"/>
    <w:rsid w:val="00DE03DC"/>
    <w:rsid w:val="00DF02ED"/>
    <w:rsid w:val="00DF2E71"/>
    <w:rsid w:val="00DF3616"/>
    <w:rsid w:val="00DF54F4"/>
    <w:rsid w:val="00DF5F80"/>
    <w:rsid w:val="00E01428"/>
    <w:rsid w:val="00E018BD"/>
    <w:rsid w:val="00E06B07"/>
    <w:rsid w:val="00E06FD5"/>
    <w:rsid w:val="00E07F13"/>
    <w:rsid w:val="00E07FEA"/>
    <w:rsid w:val="00E12452"/>
    <w:rsid w:val="00E1248B"/>
    <w:rsid w:val="00E14BC5"/>
    <w:rsid w:val="00E1651A"/>
    <w:rsid w:val="00E16A34"/>
    <w:rsid w:val="00E2166D"/>
    <w:rsid w:val="00E23428"/>
    <w:rsid w:val="00E250A0"/>
    <w:rsid w:val="00E30D89"/>
    <w:rsid w:val="00E321E0"/>
    <w:rsid w:val="00E325C2"/>
    <w:rsid w:val="00E35D68"/>
    <w:rsid w:val="00E37609"/>
    <w:rsid w:val="00E43017"/>
    <w:rsid w:val="00E614A3"/>
    <w:rsid w:val="00E628C0"/>
    <w:rsid w:val="00E65E51"/>
    <w:rsid w:val="00E67E4E"/>
    <w:rsid w:val="00EA076A"/>
    <w:rsid w:val="00EC00AD"/>
    <w:rsid w:val="00EC13CB"/>
    <w:rsid w:val="00EC33DC"/>
    <w:rsid w:val="00EC3D8C"/>
    <w:rsid w:val="00EC50B6"/>
    <w:rsid w:val="00EC7DAC"/>
    <w:rsid w:val="00ED2A0A"/>
    <w:rsid w:val="00ED3C91"/>
    <w:rsid w:val="00EE00E6"/>
    <w:rsid w:val="00EE0741"/>
    <w:rsid w:val="00EE0BA3"/>
    <w:rsid w:val="00EE0D8E"/>
    <w:rsid w:val="00EE6256"/>
    <w:rsid w:val="00EF01F4"/>
    <w:rsid w:val="00EF7677"/>
    <w:rsid w:val="00EF78BC"/>
    <w:rsid w:val="00F030FA"/>
    <w:rsid w:val="00F10B68"/>
    <w:rsid w:val="00F170B5"/>
    <w:rsid w:val="00F1767D"/>
    <w:rsid w:val="00F20EF1"/>
    <w:rsid w:val="00F23EF9"/>
    <w:rsid w:val="00F25BB9"/>
    <w:rsid w:val="00F3358C"/>
    <w:rsid w:val="00F371E1"/>
    <w:rsid w:val="00F410AB"/>
    <w:rsid w:val="00F41343"/>
    <w:rsid w:val="00F54F90"/>
    <w:rsid w:val="00F6083D"/>
    <w:rsid w:val="00F62590"/>
    <w:rsid w:val="00F64A7A"/>
    <w:rsid w:val="00F70BF9"/>
    <w:rsid w:val="00F74EF6"/>
    <w:rsid w:val="00F74FA4"/>
    <w:rsid w:val="00F80601"/>
    <w:rsid w:val="00F80985"/>
    <w:rsid w:val="00F822B3"/>
    <w:rsid w:val="00F93621"/>
    <w:rsid w:val="00F957C0"/>
    <w:rsid w:val="00F969B7"/>
    <w:rsid w:val="00FA62F5"/>
    <w:rsid w:val="00FB1173"/>
    <w:rsid w:val="00FB70AE"/>
    <w:rsid w:val="00FB79E8"/>
    <w:rsid w:val="00FC0262"/>
    <w:rsid w:val="00FC2732"/>
    <w:rsid w:val="00FE1A2A"/>
    <w:rsid w:val="00FE1B09"/>
    <w:rsid w:val="00FE2091"/>
    <w:rsid w:val="00FE79BF"/>
    <w:rsid w:val="00FE7CA6"/>
    <w:rsid w:val="00FF2B7C"/>
    <w:rsid w:val="00FF4E6B"/>
    <w:rsid w:val="015D0D5E"/>
    <w:rsid w:val="020435E9"/>
    <w:rsid w:val="029A1B3E"/>
    <w:rsid w:val="0313544C"/>
    <w:rsid w:val="03C87E63"/>
    <w:rsid w:val="047B14DB"/>
    <w:rsid w:val="04AE7B23"/>
    <w:rsid w:val="065B1F66"/>
    <w:rsid w:val="069B0266"/>
    <w:rsid w:val="06DA11F3"/>
    <w:rsid w:val="06E65352"/>
    <w:rsid w:val="06E917BF"/>
    <w:rsid w:val="072C19CE"/>
    <w:rsid w:val="079E5C2C"/>
    <w:rsid w:val="081752C1"/>
    <w:rsid w:val="08A2766C"/>
    <w:rsid w:val="08B66FA6"/>
    <w:rsid w:val="08D4671D"/>
    <w:rsid w:val="09EF1DBA"/>
    <w:rsid w:val="0A284923"/>
    <w:rsid w:val="0B361BB3"/>
    <w:rsid w:val="0BBD779C"/>
    <w:rsid w:val="0CB05E38"/>
    <w:rsid w:val="0E9C3A80"/>
    <w:rsid w:val="0F0A7D6D"/>
    <w:rsid w:val="0F5F0397"/>
    <w:rsid w:val="0F873994"/>
    <w:rsid w:val="0FBC3B88"/>
    <w:rsid w:val="0FED3C3F"/>
    <w:rsid w:val="0FEE6083"/>
    <w:rsid w:val="10833C11"/>
    <w:rsid w:val="10B03A6C"/>
    <w:rsid w:val="11C377C0"/>
    <w:rsid w:val="121D4375"/>
    <w:rsid w:val="12624579"/>
    <w:rsid w:val="127E0B34"/>
    <w:rsid w:val="12ED279D"/>
    <w:rsid w:val="136715C8"/>
    <w:rsid w:val="13706EBE"/>
    <w:rsid w:val="13AC1380"/>
    <w:rsid w:val="13B860EB"/>
    <w:rsid w:val="144C4685"/>
    <w:rsid w:val="14785EF3"/>
    <w:rsid w:val="149D43C2"/>
    <w:rsid w:val="15C74614"/>
    <w:rsid w:val="16F615E1"/>
    <w:rsid w:val="17051824"/>
    <w:rsid w:val="18B05628"/>
    <w:rsid w:val="1A9A68F5"/>
    <w:rsid w:val="1BCA4DEA"/>
    <w:rsid w:val="1BF00B53"/>
    <w:rsid w:val="1C120E9C"/>
    <w:rsid w:val="1C784846"/>
    <w:rsid w:val="1C9541D4"/>
    <w:rsid w:val="1CAB0E2A"/>
    <w:rsid w:val="1CC24675"/>
    <w:rsid w:val="1CC83411"/>
    <w:rsid w:val="1D39260F"/>
    <w:rsid w:val="1DAA4ED3"/>
    <w:rsid w:val="1E522E75"/>
    <w:rsid w:val="1E7B3D90"/>
    <w:rsid w:val="1F961A97"/>
    <w:rsid w:val="1FF61523"/>
    <w:rsid w:val="201C373B"/>
    <w:rsid w:val="209E23A2"/>
    <w:rsid w:val="20CD4FA8"/>
    <w:rsid w:val="211D776A"/>
    <w:rsid w:val="21381551"/>
    <w:rsid w:val="229108E1"/>
    <w:rsid w:val="2302130E"/>
    <w:rsid w:val="2366189C"/>
    <w:rsid w:val="236E2B22"/>
    <w:rsid w:val="23F925C2"/>
    <w:rsid w:val="24172B97"/>
    <w:rsid w:val="241F6D41"/>
    <w:rsid w:val="256058D7"/>
    <w:rsid w:val="26993D37"/>
    <w:rsid w:val="26BC17D3"/>
    <w:rsid w:val="272D4FB8"/>
    <w:rsid w:val="27F71672"/>
    <w:rsid w:val="28395E4A"/>
    <w:rsid w:val="284827A1"/>
    <w:rsid w:val="28773C04"/>
    <w:rsid w:val="28B90428"/>
    <w:rsid w:val="28C07D4D"/>
    <w:rsid w:val="28ED4ABB"/>
    <w:rsid w:val="2A9343D5"/>
    <w:rsid w:val="2ADC6D2B"/>
    <w:rsid w:val="2B164EBE"/>
    <w:rsid w:val="2B3834D4"/>
    <w:rsid w:val="2B8F74B6"/>
    <w:rsid w:val="2BAA0E71"/>
    <w:rsid w:val="2BC25ADE"/>
    <w:rsid w:val="2C9E69C6"/>
    <w:rsid w:val="2D39592C"/>
    <w:rsid w:val="2D426ED6"/>
    <w:rsid w:val="2E1538DB"/>
    <w:rsid w:val="2E330409"/>
    <w:rsid w:val="2E33377B"/>
    <w:rsid w:val="2E4343FF"/>
    <w:rsid w:val="2ED022C0"/>
    <w:rsid w:val="2F043CC3"/>
    <w:rsid w:val="2F342400"/>
    <w:rsid w:val="2F77273B"/>
    <w:rsid w:val="2FE27C15"/>
    <w:rsid w:val="30155E33"/>
    <w:rsid w:val="302D729E"/>
    <w:rsid w:val="30801AC4"/>
    <w:rsid w:val="31397652"/>
    <w:rsid w:val="31BE6B7B"/>
    <w:rsid w:val="32BF2D77"/>
    <w:rsid w:val="33D94143"/>
    <w:rsid w:val="33DB773D"/>
    <w:rsid w:val="33E41B9C"/>
    <w:rsid w:val="3494526F"/>
    <w:rsid w:val="34C4321A"/>
    <w:rsid w:val="35327830"/>
    <w:rsid w:val="358A2C38"/>
    <w:rsid w:val="362A0508"/>
    <w:rsid w:val="36315910"/>
    <w:rsid w:val="36624DE9"/>
    <w:rsid w:val="36C02E61"/>
    <w:rsid w:val="3762240D"/>
    <w:rsid w:val="37941652"/>
    <w:rsid w:val="38261E72"/>
    <w:rsid w:val="3872114C"/>
    <w:rsid w:val="38EC7806"/>
    <w:rsid w:val="392C27E9"/>
    <w:rsid w:val="3B1C4220"/>
    <w:rsid w:val="3B32436D"/>
    <w:rsid w:val="3B835E64"/>
    <w:rsid w:val="3BD72EE0"/>
    <w:rsid w:val="3BDB5B18"/>
    <w:rsid w:val="3BF4655F"/>
    <w:rsid w:val="3D0C0513"/>
    <w:rsid w:val="3DF22D06"/>
    <w:rsid w:val="3E6B7393"/>
    <w:rsid w:val="3ECE2250"/>
    <w:rsid w:val="3FF76211"/>
    <w:rsid w:val="3FFC1167"/>
    <w:rsid w:val="4070745F"/>
    <w:rsid w:val="40AD4AAD"/>
    <w:rsid w:val="415058B4"/>
    <w:rsid w:val="415152F8"/>
    <w:rsid w:val="41B33765"/>
    <w:rsid w:val="42296680"/>
    <w:rsid w:val="42443965"/>
    <w:rsid w:val="42472441"/>
    <w:rsid w:val="427C0E32"/>
    <w:rsid w:val="431A7B56"/>
    <w:rsid w:val="43AD0658"/>
    <w:rsid w:val="441F174E"/>
    <w:rsid w:val="45802584"/>
    <w:rsid w:val="45D16BF2"/>
    <w:rsid w:val="465429F3"/>
    <w:rsid w:val="469C7200"/>
    <w:rsid w:val="46C53B12"/>
    <w:rsid w:val="46F53B97"/>
    <w:rsid w:val="471C20EE"/>
    <w:rsid w:val="478E0E8B"/>
    <w:rsid w:val="4839282C"/>
    <w:rsid w:val="4A8A62E2"/>
    <w:rsid w:val="4B054C48"/>
    <w:rsid w:val="4D471547"/>
    <w:rsid w:val="4D734DB2"/>
    <w:rsid w:val="4E8A2CE5"/>
    <w:rsid w:val="4F5C220D"/>
    <w:rsid w:val="50462262"/>
    <w:rsid w:val="505C2A2F"/>
    <w:rsid w:val="5119144D"/>
    <w:rsid w:val="51644798"/>
    <w:rsid w:val="51947440"/>
    <w:rsid w:val="51AF7912"/>
    <w:rsid w:val="520143BB"/>
    <w:rsid w:val="52021EE1"/>
    <w:rsid w:val="53117559"/>
    <w:rsid w:val="532F6D06"/>
    <w:rsid w:val="53545FFA"/>
    <w:rsid w:val="535D0132"/>
    <w:rsid w:val="536900E8"/>
    <w:rsid w:val="53933738"/>
    <w:rsid w:val="54121F55"/>
    <w:rsid w:val="552328B1"/>
    <w:rsid w:val="557C4123"/>
    <w:rsid w:val="55B97FBB"/>
    <w:rsid w:val="564F1D64"/>
    <w:rsid w:val="56FF1F96"/>
    <w:rsid w:val="5718516B"/>
    <w:rsid w:val="571B4AF5"/>
    <w:rsid w:val="574B6BE1"/>
    <w:rsid w:val="575C0526"/>
    <w:rsid w:val="57D47073"/>
    <w:rsid w:val="57FA1ED8"/>
    <w:rsid w:val="58CD4FF7"/>
    <w:rsid w:val="58FB7AAC"/>
    <w:rsid w:val="59636527"/>
    <w:rsid w:val="5A3C62E9"/>
    <w:rsid w:val="5A9A7EA7"/>
    <w:rsid w:val="5B1C3A9F"/>
    <w:rsid w:val="5B34049B"/>
    <w:rsid w:val="5B6D2AC1"/>
    <w:rsid w:val="5B706E36"/>
    <w:rsid w:val="5B716D9F"/>
    <w:rsid w:val="5BFB1E7B"/>
    <w:rsid w:val="5C0A270F"/>
    <w:rsid w:val="5D0F71CD"/>
    <w:rsid w:val="5DA54437"/>
    <w:rsid w:val="5E75720F"/>
    <w:rsid w:val="5E7A5084"/>
    <w:rsid w:val="5E993BCD"/>
    <w:rsid w:val="5EAF76A6"/>
    <w:rsid w:val="5EB116BD"/>
    <w:rsid w:val="5F675C28"/>
    <w:rsid w:val="600642C4"/>
    <w:rsid w:val="60FA70A5"/>
    <w:rsid w:val="61DF1A53"/>
    <w:rsid w:val="61EB410B"/>
    <w:rsid w:val="625422E5"/>
    <w:rsid w:val="62C54F90"/>
    <w:rsid w:val="62F15D85"/>
    <w:rsid w:val="62F50F9E"/>
    <w:rsid w:val="647E189B"/>
    <w:rsid w:val="65206DF6"/>
    <w:rsid w:val="657D4FF1"/>
    <w:rsid w:val="659B26BD"/>
    <w:rsid w:val="66090676"/>
    <w:rsid w:val="664D7D9C"/>
    <w:rsid w:val="668E5B4E"/>
    <w:rsid w:val="66D659BE"/>
    <w:rsid w:val="66DD2554"/>
    <w:rsid w:val="6711040B"/>
    <w:rsid w:val="674566A0"/>
    <w:rsid w:val="684756A2"/>
    <w:rsid w:val="68556DB7"/>
    <w:rsid w:val="68C161FA"/>
    <w:rsid w:val="69150824"/>
    <w:rsid w:val="6921668A"/>
    <w:rsid w:val="69476A6B"/>
    <w:rsid w:val="6A9A6657"/>
    <w:rsid w:val="6AD71D05"/>
    <w:rsid w:val="6B581098"/>
    <w:rsid w:val="6B6D4755"/>
    <w:rsid w:val="6BCD623C"/>
    <w:rsid w:val="6BFA38B5"/>
    <w:rsid w:val="6C3727C1"/>
    <w:rsid w:val="6CD36BBF"/>
    <w:rsid w:val="6CEA20A3"/>
    <w:rsid w:val="6CFD7CAA"/>
    <w:rsid w:val="6E3C2BCA"/>
    <w:rsid w:val="6F264C97"/>
    <w:rsid w:val="706C78FB"/>
    <w:rsid w:val="70EA562A"/>
    <w:rsid w:val="71633483"/>
    <w:rsid w:val="71B40089"/>
    <w:rsid w:val="71D666E1"/>
    <w:rsid w:val="721E6481"/>
    <w:rsid w:val="725D285C"/>
    <w:rsid w:val="725E47D4"/>
    <w:rsid w:val="72BE1AEA"/>
    <w:rsid w:val="72D64281"/>
    <w:rsid w:val="73057ADD"/>
    <w:rsid w:val="73D72AE8"/>
    <w:rsid w:val="73DD4830"/>
    <w:rsid w:val="73E62FB9"/>
    <w:rsid w:val="740331D0"/>
    <w:rsid w:val="74D47BEE"/>
    <w:rsid w:val="74EE6049"/>
    <w:rsid w:val="750722DF"/>
    <w:rsid w:val="76115163"/>
    <w:rsid w:val="765608C9"/>
    <w:rsid w:val="7780039E"/>
    <w:rsid w:val="7817112C"/>
    <w:rsid w:val="786E06B1"/>
    <w:rsid w:val="78C95383"/>
    <w:rsid w:val="78CF6711"/>
    <w:rsid w:val="79312349"/>
    <w:rsid w:val="79EE2F80"/>
    <w:rsid w:val="7B0F1047"/>
    <w:rsid w:val="7B4306E3"/>
    <w:rsid w:val="7BD5390A"/>
    <w:rsid w:val="7C702B07"/>
    <w:rsid w:val="7C7C095E"/>
    <w:rsid w:val="7E3E1B66"/>
    <w:rsid w:val="7EE36A72"/>
    <w:rsid w:val="7F463BFE"/>
    <w:rsid w:val="7F630F09"/>
    <w:rsid w:val="7FA26A81"/>
    <w:rsid w:val="7FC561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iPriority="0" w:semiHidden="0" w:name="header"/>
    <w:lsdException w:qFormat="1"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styleId="4">
    <w:name w:val="heading 1"/>
    <w:basedOn w:val="1"/>
    <w:next w:val="1"/>
    <w:link w:val="51"/>
    <w:qFormat/>
    <w:uiPriority w:val="0"/>
    <w:pPr>
      <w:keepNext/>
      <w:keepLines/>
      <w:ind w:firstLine="0" w:firstLineChars="0"/>
      <w:outlineLvl w:val="0"/>
    </w:pPr>
    <w:rPr>
      <w:b/>
      <w:bCs/>
      <w:kern w:val="44"/>
      <w:sz w:val="30"/>
      <w:szCs w:val="44"/>
    </w:rPr>
  </w:style>
  <w:style w:type="paragraph" w:styleId="5">
    <w:name w:val="heading 2"/>
    <w:basedOn w:val="1"/>
    <w:next w:val="1"/>
    <w:link w:val="6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61"/>
    <w:semiHidden/>
    <w:unhideWhenUsed/>
    <w:qFormat/>
    <w:uiPriority w:val="0"/>
    <w:pPr>
      <w:keepNext/>
      <w:keepLines/>
      <w:spacing w:before="260" w:after="260" w:line="416" w:lineRule="auto"/>
      <w:outlineLvl w:val="2"/>
    </w:pPr>
    <w:rPr>
      <w:b/>
      <w:bCs/>
      <w:sz w:val="32"/>
      <w:szCs w:val="32"/>
    </w:rPr>
  </w:style>
  <w:style w:type="paragraph" w:styleId="7">
    <w:name w:val="heading 4"/>
    <w:basedOn w:val="1"/>
    <w:next w:val="1"/>
    <w:link w:val="62"/>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76"/>
    <w:unhideWhenUsed/>
    <w:qFormat/>
    <w:uiPriority w:val="99"/>
    <w:pPr>
      <w:spacing w:after="120" w:line="240" w:lineRule="auto"/>
      <w:ind w:firstLine="0" w:firstLineChars="0"/>
    </w:pPr>
    <w:rPr>
      <w:kern w:val="0"/>
      <w:sz w:val="20"/>
      <w:szCs w:val="24"/>
    </w:rPr>
  </w:style>
  <w:style w:type="paragraph" w:customStyle="1" w:styleId="3">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styleId="8">
    <w:name w:val="Normal Indent"/>
    <w:basedOn w:val="1"/>
    <w:link w:val="63"/>
    <w:qFormat/>
    <w:uiPriority w:val="0"/>
    <w:pPr>
      <w:spacing w:line="240" w:lineRule="auto"/>
      <w:ind w:firstLine="420"/>
    </w:pPr>
    <w:rPr>
      <w:kern w:val="0"/>
      <w:sz w:val="20"/>
      <w:szCs w:val="20"/>
    </w:rPr>
  </w:style>
  <w:style w:type="paragraph" w:styleId="9">
    <w:name w:val="caption"/>
    <w:basedOn w:val="1"/>
    <w:next w:val="1"/>
    <w:link w:val="48"/>
    <w:qFormat/>
    <w:uiPriority w:val="0"/>
    <w:pPr>
      <w:widowControl/>
      <w:spacing w:line="240" w:lineRule="auto"/>
      <w:ind w:firstLine="0" w:firstLineChars="0"/>
      <w:jc w:val="center"/>
    </w:pPr>
    <w:rPr>
      <w:rFonts w:eastAsia="仿宋_GB2312"/>
      <w:b/>
      <w:kern w:val="0"/>
      <w:sz w:val="21"/>
      <w:szCs w:val="20"/>
    </w:rPr>
  </w:style>
  <w:style w:type="paragraph" w:styleId="10">
    <w:name w:val="annotation text"/>
    <w:basedOn w:val="1"/>
    <w:link w:val="46"/>
    <w:unhideWhenUsed/>
    <w:qFormat/>
    <w:uiPriority w:val="0"/>
    <w:pPr>
      <w:jc w:val="left"/>
    </w:pPr>
  </w:style>
  <w:style w:type="paragraph" w:styleId="11">
    <w:name w:val="Body Text Indent"/>
    <w:basedOn w:val="1"/>
    <w:qFormat/>
    <w:uiPriority w:val="0"/>
    <w:pPr>
      <w:spacing w:line="240" w:lineRule="auto"/>
      <w:ind w:firstLine="540" w:firstLineChars="0"/>
    </w:pPr>
    <w:rPr>
      <w:rFonts w:ascii="宋体" w:hAnsi="Calibri"/>
      <w:kern w:val="0"/>
      <w:sz w:val="28"/>
      <w:szCs w:val="20"/>
    </w:rPr>
  </w:style>
  <w:style w:type="paragraph" w:styleId="12">
    <w:name w:val="List Bullet 2"/>
    <w:basedOn w:val="1"/>
    <w:next w:val="1"/>
    <w:qFormat/>
    <w:uiPriority w:val="0"/>
    <w:pPr>
      <w:numPr>
        <w:ilvl w:val="0"/>
        <w:numId w:val="1"/>
      </w:numPr>
    </w:pPr>
  </w:style>
  <w:style w:type="paragraph" w:styleId="13">
    <w:name w:val="Plain Text"/>
    <w:basedOn w:val="1"/>
    <w:next w:val="14"/>
    <w:link w:val="52"/>
    <w:qFormat/>
    <w:uiPriority w:val="0"/>
    <w:pPr>
      <w:spacing w:line="240" w:lineRule="auto"/>
      <w:ind w:firstLine="0" w:firstLineChars="0"/>
    </w:pPr>
    <w:rPr>
      <w:rFonts w:ascii="宋体" w:hAnsi="Courier New"/>
      <w:kern w:val="0"/>
      <w:sz w:val="28"/>
      <w:szCs w:val="20"/>
    </w:rPr>
  </w:style>
  <w:style w:type="paragraph" w:customStyle="1" w:styleId="14">
    <w:name w:val="Default"/>
    <w:basedOn w:val="15"/>
    <w:qFormat/>
    <w:uiPriority w:val="0"/>
    <w:pPr>
      <w:autoSpaceDE w:val="0"/>
      <w:autoSpaceDN w:val="0"/>
      <w:adjustRightInd w:val="0"/>
      <w:spacing w:line="240" w:lineRule="auto"/>
      <w:ind w:firstLine="0" w:firstLineChars="0"/>
      <w:jc w:val="left"/>
    </w:pPr>
    <w:rPr>
      <w:rFonts w:ascii="宋体" w:hAnsi="Calibri" w:eastAsia="Calibri" w:cs="宋体"/>
      <w:color w:val="000000"/>
      <w:szCs w:val="24"/>
    </w:rPr>
  </w:style>
  <w:style w:type="paragraph" w:customStyle="1" w:styleId="15">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styleId="16">
    <w:name w:val="Date"/>
    <w:basedOn w:val="1"/>
    <w:next w:val="1"/>
    <w:qFormat/>
    <w:uiPriority w:val="0"/>
    <w:pPr>
      <w:ind w:left="100" w:leftChars="2500"/>
    </w:pPr>
    <w:rPr>
      <w:sz w:val="20"/>
    </w:rPr>
  </w:style>
  <w:style w:type="paragraph" w:styleId="17">
    <w:name w:val="Balloon Text"/>
    <w:basedOn w:val="1"/>
    <w:link w:val="80"/>
    <w:qFormat/>
    <w:uiPriority w:val="0"/>
    <w:pPr>
      <w:spacing w:line="240" w:lineRule="auto"/>
      <w:ind w:firstLine="0" w:firstLineChars="0"/>
    </w:pPr>
    <w:rPr>
      <w:kern w:val="0"/>
      <w:sz w:val="18"/>
      <w:szCs w:val="20"/>
    </w:rPr>
  </w:style>
  <w:style w:type="paragraph" w:styleId="18">
    <w:name w:val="footer"/>
    <w:basedOn w:val="1"/>
    <w:unhideWhenUsed/>
    <w:qFormat/>
    <w:uiPriority w:val="0"/>
    <w:pPr>
      <w:tabs>
        <w:tab w:val="center" w:pos="4153"/>
        <w:tab w:val="right" w:pos="8306"/>
      </w:tabs>
      <w:snapToGrid w:val="0"/>
      <w:spacing w:line="240" w:lineRule="auto"/>
      <w:jc w:val="left"/>
    </w:pPr>
    <w:rPr>
      <w:sz w:val="18"/>
      <w:szCs w:val="18"/>
    </w:rPr>
  </w:style>
  <w:style w:type="paragraph" w:styleId="19">
    <w:name w:val="header"/>
    <w:basedOn w:val="1"/>
    <w:next w:val="20"/>
    <w:unhideWhenUsed/>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customStyle="1" w:styleId="20">
    <w:name w:val="样式5"/>
    <w:basedOn w:val="21"/>
    <w:qFormat/>
    <w:uiPriority w:val="0"/>
    <w:pPr>
      <w:tabs>
        <w:tab w:val="left" w:pos="420"/>
        <w:tab w:val="left" w:pos="1589"/>
      </w:tabs>
      <w:adjustRightInd w:val="0"/>
      <w:spacing w:line="480" w:lineRule="exact"/>
      <w:ind w:firstLine="480"/>
      <w:jc w:val="left"/>
    </w:pPr>
    <w:rPr>
      <w:rFonts w:ascii="宋体" w:hAnsi="宋体"/>
      <w:b/>
      <w:snapToGrid w:val="0"/>
      <w:szCs w:val="24"/>
    </w:rPr>
  </w:style>
  <w:style w:type="paragraph" w:customStyle="1" w:styleId="21">
    <w:name w:val="正文1"/>
    <w:basedOn w:val="1"/>
    <w:qFormat/>
    <w:uiPriority w:val="0"/>
    <w:pPr>
      <w:snapToGrid w:val="0"/>
      <w:spacing w:line="270" w:lineRule="exact"/>
      <w:jc w:val="center"/>
    </w:pPr>
    <w:rPr>
      <w:spacing w:val="8"/>
      <w:kern w:val="21"/>
      <w:szCs w:val="20"/>
    </w:rPr>
  </w:style>
  <w:style w:type="paragraph" w:styleId="22">
    <w:name w:val="toc 1"/>
    <w:basedOn w:val="1"/>
    <w:next w:val="1"/>
    <w:unhideWhenUsed/>
    <w:qFormat/>
    <w:uiPriority w:val="39"/>
  </w:style>
  <w:style w:type="paragraph" w:styleId="23">
    <w:name w:val="List"/>
    <w:basedOn w:val="1"/>
    <w:next w:val="12"/>
    <w:qFormat/>
    <w:uiPriority w:val="0"/>
    <w:pPr>
      <w:ind w:left="200" w:hanging="200" w:hangingChars="200"/>
    </w:pPr>
    <w:rPr>
      <w:szCs w:val="20"/>
    </w:rPr>
  </w:style>
  <w:style w:type="paragraph" w:styleId="24">
    <w:name w:val="Body Text 2"/>
    <w:basedOn w:val="1"/>
    <w:qFormat/>
    <w:uiPriority w:val="0"/>
    <w:pPr>
      <w:spacing w:after="120" w:line="480" w:lineRule="auto"/>
    </w:pPr>
  </w:style>
  <w:style w:type="paragraph" w:styleId="25">
    <w:name w:val="Normal (Web)"/>
    <w:basedOn w:val="1"/>
    <w:link w:val="65"/>
    <w:unhideWhenUsed/>
    <w:qFormat/>
    <w:uiPriority w:val="99"/>
    <w:pPr>
      <w:widowControl/>
      <w:spacing w:before="100" w:beforeAutospacing="1" w:after="100" w:afterAutospacing="1" w:line="240" w:lineRule="auto"/>
      <w:ind w:firstLine="0" w:firstLineChars="0"/>
      <w:jc w:val="left"/>
    </w:pPr>
    <w:rPr>
      <w:rFonts w:ascii="宋体" w:hAnsi="宋体" w:cs="宋体"/>
      <w:kern w:val="0"/>
      <w:szCs w:val="24"/>
    </w:rPr>
  </w:style>
  <w:style w:type="paragraph" w:styleId="26">
    <w:name w:val="index 1"/>
    <w:basedOn w:val="1"/>
    <w:next w:val="1"/>
    <w:qFormat/>
    <w:uiPriority w:val="0"/>
    <w:pPr>
      <w:spacing w:line="240" w:lineRule="auto"/>
      <w:ind w:firstLine="0" w:firstLineChars="0"/>
    </w:pPr>
    <w:rPr>
      <w:rFonts w:ascii="宋体" w:hAnsi="宋体"/>
      <w:spacing w:val="10"/>
      <w:sz w:val="21"/>
      <w:szCs w:val="24"/>
    </w:rPr>
  </w:style>
  <w:style w:type="paragraph" w:styleId="27">
    <w:name w:val="annotation subject"/>
    <w:basedOn w:val="10"/>
    <w:next w:val="10"/>
    <w:link w:val="47"/>
    <w:qFormat/>
    <w:uiPriority w:val="0"/>
    <w:rPr>
      <w:b/>
      <w:bCs/>
    </w:rPr>
  </w:style>
  <w:style w:type="paragraph" w:styleId="28">
    <w:name w:val="Body Text First Indent"/>
    <w:basedOn w:val="2"/>
    <w:next w:val="1"/>
    <w:qFormat/>
    <w:uiPriority w:val="0"/>
    <w:pPr>
      <w:ind w:firstLine="420" w:firstLineChars="100"/>
    </w:pPr>
  </w:style>
  <w:style w:type="paragraph" w:styleId="29">
    <w:name w:val="Body Text First Indent 2"/>
    <w:basedOn w:val="11"/>
    <w:next w:val="28"/>
    <w:qFormat/>
    <w:uiPriority w:val="0"/>
    <w:pPr>
      <w:ind w:firstLine="420" w:firstLineChars="200"/>
    </w:pPr>
  </w:style>
  <w:style w:type="table" w:styleId="31">
    <w:name w:val="Table Grid"/>
    <w:basedOn w:val="30"/>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0"/>
    <w:rPr>
      <w:b/>
    </w:rPr>
  </w:style>
  <w:style w:type="character" w:styleId="34">
    <w:name w:val="Hyperlink"/>
    <w:basedOn w:val="32"/>
    <w:qFormat/>
    <w:uiPriority w:val="0"/>
    <w:rPr>
      <w:color w:val="0563C1" w:themeColor="hyperlink"/>
      <w:u w:val="single"/>
      <w14:textFill>
        <w14:solidFill>
          <w14:schemeClr w14:val="hlink"/>
        </w14:solidFill>
      </w14:textFill>
    </w:rPr>
  </w:style>
  <w:style w:type="character" w:styleId="35">
    <w:name w:val="annotation reference"/>
    <w:basedOn w:val="32"/>
    <w:qFormat/>
    <w:uiPriority w:val="0"/>
    <w:rPr>
      <w:sz w:val="21"/>
      <w:szCs w:val="21"/>
    </w:rPr>
  </w:style>
  <w:style w:type="paragraph" w:customStyle="1" w:styleId="36">
    <w:name w:val="样式 标题 1 + 四号 段前: 0 磅 段后: 0 磅 行距: 1.5 倍行距"/>
    <w:basedOn w:val="37"/>
    <w:next w:val="1"/>
    <w:qFormat/>
    <w:uiPriority w:val="0"/>
    <w:pPr>
      <w:widowControl/>
      <w:snapToGrid w:val="0"/>
      <w:ind w:firstLine="588" w:firstLineChars="196"/>
      <w:jc w:val="center"/>
    </w:pPr>
    <w:rPr>
      <w:rFonts w:hAnsi="黑体" w:eastAsia="華康娃娃體" w:cs="黑体"/>
      <w:szCs w:val="30"/>
    </w:rPr>
  </w:style>
  <w:style w:type="paragraph" w:customStyle="1" w:styleId="37">
    <w:name w:val="1正文"/>
    <w:qFormat/>
    <w:uiPriority w:val="0"/>
    <w:pPr>
      <w:snapToGrid w:val="0"/>
      <w:spacing w:line="360" w:lineRule="auto"/>
      <w:ind w:firstLine="200" w:firstLineChars="200"/>
      <w:jc w:val="both"/>
    </w:pPr>
    <w:rPr>
      <w:rFonts w:ascii="Tms Rmn" w:hAnsi="Tms Rmn" w:eastAsia="華康中楷體" w:cs="??"/>
      <w:kern w:val="2"/>
      <w:sz w:val="24"/>
      <w:szCs w:val="24"/>
      <w:lang w:val="en-US" w:eastAsia="zh-CN" w:bidi="ar-SA"/>
    </w:rPr>
  </w:style>
  <w:style w:type="paragraph" w:customStyle="1" w:styleId="38">
    <w:name w:val="样式 HC 正文 + 字距调整小四"/>
    <w:basedOn w:val="39"/>
    <w:next w:val="1"/>
    <w:qFormat/>
    <w:uiPriority w:val="0"/>
    <w:rPr>
      <w:kern w:val="24"/>
    </w:rPr>
  </w:style>
  <w:style w:type="paragraph" w:customStyle="1" w:styleId="39">
    <w:name w:val="HC 正文"/>
    <w:basedOn w:val="1"/>
    <w:qFormat/>
    <w:uiPriority w:val="0"/>
    <w:pPr>
      <w:autoSpaceDE w:val="0"/>
      <w:snapToGrid w:val="0"/>
      <w:ind w:firstLine="480"/>
    </w:pPr>
    <w:rPr>
      <w:color w:val="0000FF"/>
    </w:rPr>
  </w:style>
  <w:style w:type="paragraph" w:customStyle="1" w:styleId="40">
    <w:name w:val="文本正文"/>
    <w:basedOn w:val="1"/>
    <w:qFormat/>
    <w:uiPriority w:val="0"/>
    <w:pPr>
      <w:snapToGrid w:val="0"/>
      <w:ind w:firstLine="510" w:firstLineChars="0"/>
      <w:jc w:val="left"/>
    </w:pPr>
    <w:rPr>
      <w:spacing w:val="4"/>
      <w:kern w:val="24"/>
      <w:sz w:val="21"/>
      <w:szCs w:val="24"/>
      <w:lang w:val="zh-CN"/>
    </w:rPr>
  </w:style>
  <w:style w:type="paragraph" w:customStyle="1" w:styleId="41">
    <w:name w:val="_Style 4"/>
    <w:basedOn w:val="4"/>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42">
    <w:name w:val="表格1"/>
    <w:basedOn w:val="1"/>
    <w:qFormat/>
    <w:uiPriority w:val="0"/>
    <w:pPr>
      <w:adjustRightInd w:val="0"/>
      <w:spacing w:line="240" w:lineRule="auto"/>
      <w:ind w:firstLine="0" w:firstLineChars="0"/>
      <w:jc w:val="center"/>
      <w:textAlignment w:val="center"/>
    </w:pPr>
    <w:rPr>
      <w:kern w:val="0"/>
      <w:sz w:val="21"/>
      <w:szCs w:val="20"/>
    </w:rPr>
  </w:style>
  <w:style w:type="paragraph" w:customStyle="1" w:styleId="43">
    <w:name w:val="表格文字1"/>
    <w:basedOn w:val="1"/>
    <w:qFormat/>
    <w:uiPriority w:val="0"/>
    <w:pPr>
      <w:adjustRightInd w:val="0"/>
      <w:snapToGrid w:val="0"/>
      <w:spacing w:line="360" w:lineRule="atLeast"/>
      <w:ind w:firstLine="0" w:firstLineChars="0"/>
      <w:jc w:val="center"/>
    </w:pPr>
    <w:rPr>
      <w:rFonts w:hint="eastAsia" w:ascii="宋体" w:hAnsi="宋体"/>
      <w:szCs w:val="21"/>
    </w:rPr>
  </w:style>
  <w:style w:type="paragraph" w:customStyle="1" w:styleId="44">
    <w:name w:val="p0"/>
    <w:basedOn w:val="1"/>
    <w:qFormat/>
    <w:uiPriority w:val="0"/>
    <w:pPr>
      <w:widowControl/>
      <w:spacing w:line="240" w:lineRule="auto"/>
      <w:ind w:firstLine="0" w:firstLineChars="0"/>
    </w:pPr>
    <w:rPr>
      <w:rFonts w:ascii="Calibri" w:hAnsi="Calibri" w:cs="Calibri"/>
      <w:kern w:val="0"/>
      <w:sz w:val="21"/>
      <w:szCs w:val="21"/>
    </w:rPr>
  </w:style>
  <w:style w:type="paragraph" w:customStyle="1" w:styleId="45">
    <w:name w:val="样式1"/>
    <w:basedOn w:val="1"/>
    <w:qFormat/>
    <w:uiPriority w:val="0"/>
    <w:rPr>
      <w:sz w:val="28"/>
      <w:szCs w:val="24"/>
    </w:rPr>
  </w:style>
  <w:style w:type="character" w:customStyle="1" w:styleId="46">
    <w:name w:val="批注文字 字符"/>
    <w:basedOn w:val="32"/>
    <w:link w:val="10"/>
    <w:qFormat/>
    <w:uiPriority w:val="0"/>
    <w:rPr>
      <w:kern w:val="2"/>
      <w:sz w:val="24"/>
      <w:szCs w:val="22"/>
    </w:rPr>
  </w:style>
  <w:style w:type="character" w:customStyle="1" w:styleId="47">
    <w:name w:val="批注主题 字符"/>
    <w:basedOn w:val="46"/>
    <w:link w:val="27"/>
    <w:qFormat/>
    <w:uiPriority w:val="0"/>
    <w:rPr>
      <w:b/>
      <w:bCs/>
      <w:kern w:val="2"/>
      <w:sz w:val="24"/>
      <w:szCs w:val="22"/>
    </w:rPr>
  </w:style>
  <w:style w:type="character" w:customStyle="1" w:styleId="48">
    <w:name w:val="题注 字符"/>
    <w:link w:val="9"/>
    <w:qFormat/>
    <w:locked/>
    <w:uiPriority w:val="0"/>
    <w:rPr>
      <w:rFonts w:eastAsia="仿宋_GB2312"/>
      <w:b/>
      <w:sz w:val="21"/>
    </w:rPr>
  </w:style>
  <w:style w:type="paragraph" w:customStyle="1" w:styleId="49">
    <w:name w:val="Table Text"/>
    <w:basedOn w:val="1"/>
    <w:semiHidden/>
    <w:qFormat/>
    <w:uiPriority w:val="0"/>
    <w:pPr>
      <w:spacing w:line="240" w:lineRule="auto"/>
      <w:ind w:firstLine="0" w:firstLineChars="0"/>
    </w:pPr>
    <w:rPr>
      <w:rFonts w:ascii="宋体" w:hAnsi="宋体" w:cs="宋体"/>
      <w:szCs w:val="24"/>
      <w:lang w:eastAsia="en-US"/>
    </w:rPr>
  </w:style>
  <w:style w:type="paragraph" w:customStyle="1" w:styleId="50">
    <w:name w:val="样式 (西文) Times New Roman 小四 行距: 1.5 倍行距 首行缩进:  2 字符"/>
    <w:basedOn w:val="1"/>
    <w:qFormat/>
    <w:uiPriority w:val="0"/>
    <w:pPr>
      <w:ind w:firstLine="480"/>
    </w:pPr>
    <w:rPr>
      <w:rFonts w:cs="宋体"/>
      <w:szCs w:val="20"/>
    </w:rPr>
  </w:style>
  <w:style w:type="character" w:customStyle="1" w:styleId="51">
    <w:name w:val="标题 1 字符"/>
    <w:link w:val="4"/>
    <w:qFormat/>
    <w:uiPriority w:val="0"/>
    <w:rPr>
      <w:b/>
      <w:bCs/>
      <w:kern w:val="44"/>
      <w:sz w:val="30"/>
      <w:szCs w:val="44"/>
    </w:rPr>
  </w:style>
  <w:style w:type="character" w:customStyle="1" w:styleId="52">
    <w:name w:val="纯文本 字符"/>
    <w:link w:val="13"/>
    <w:qFormat/>
    <w:locked/>
    <w:uiPriority w:val="0"/>
    <w:rPr>
      <w:rFonts w:ascii="宋体" w:hAnsi="Courier New"/>
      <w:sz w:val="28"/>
    </w:rPr>
  </w:style>
  <w:style w:type="character" w:customStyle="1" w:styleId="53">
    <w:name w:val="表格 Char"/>
    <w:link w:val="54"/>
    <w:qFormat/>
    <w:locked/>
    <w:uiPriority w:val="0"/>
    <w:rPr>
      <w:rFonts w:ascii="宋体"/>
      <w:sz w:val="21"/>
    </w:rPr>
  </w:style>
  <w:style w:type="paragraph" w:customStyle="1" w:styleId="54">
    <w:name w:val="表格"/>
    <w:basedOn w:val="55"/>
    <w:next w:val="1"/>
    <w:link w:val="53"/>
    <w:qFormat/>
    <w:uiPriority w:val="0"/>
    <w:pPr>
      <w:adjustRightInd w:val="0"/>
      <w:snapToGrid w:val="0"/>
      <w:spacing w:beforeLines="10" w:afterLines="10" w:line="259" w:lineRule="auto"/>
      <w:ind w:firstLine="0" w:firstLineChars="0"/>
      <w:jc w:val="center"/>
    </w:pPr>
    <w:rPr>
      <w:rFonts w:ascii="宋体"/>
      <w:kern w:val="0"/>
      <w:sz w:val="21"/>
      <w:szCs w:val="20"/>
    </w:rPr>
  </w:style>
  <w:style w:type="paragraph" w:customStyle="1" w:styleId="55">
    <w:name w:val="表头"/>
    <w:basedOn w:val="56"/>
    <w:next w:val="54"/>
    <w:link w:val="67"/>
    <w:qFormat/>
    <w:uiPriority w:val="0"/>
    <w:pPr>
      <w:autoSpaceDE w:val="0"/>
      <w:autoSpaceDN w:val="0"/>
      <w:adjustRightInd w:val="0"/>
      <w:snapToGrid w:val="0"/>
      <w:jc w:val="center"/>
    </w:pPr>
    <w:rPr>
      <w:rFonts w:cs="宋体"/>
      <w:bCs/>
      <w:szCs w:val="20"/>
    </w:rPr>
  </w:style>
  <w:style w:type="paragraph" w:customStyle="1" w:styleId="56">
    <w:name w:val="二级正文"/>
    <w:basedOn w:val="57"/>
    <w:next w:val="1"/>
    <w:qFormat/>
    <w:uiPriority w:val="0"/>
    <w:pPr>
      <w:ind w:firstLine="562" w:firstLineChars="200"/>
    </w:pPr>
  </w:style>
  <w:style w:type="paragraph" w:customStyle="1" w:styleId="57">
    <w:name w:val="一级正文"/>
    <w:basedOn w:val="1"/>
    <w:next w:val="1"/>
    <w:qFormat/>
    <w:uiPriority w:val="0"/>
    <w:rPr>
      <w:b/>
    </w:rPr>
  </w:style>
  <w:style w:type="paragraph" w:customStyle="1" w:styleId="58">
    <w:name w:val="正文文字"/>
    <w:basedOn w:val="1"/>
    <w:qFormat/>
    <w:uiPriority w:val="0"/>
    <w:pPr>
      <w:adjustRightInd/>
      <w:snapToGrid w:val="0"/>
      <w:spacing w:line="360" w:lineRule="auto"/>
      <w:ind w:firstLine="480" w:firstLineChars="200"/>
      <w:jc w:val="both"/>
      <w:textAlignment w:val="auto"/>
    </w:pPr>
    <w:rPr>
      <w:rFonts w:cs="宋体"/>
      <w:kern w:val="2"/>
      <w:szCs w:val="24"/>
    </w:rPr>
  </w:style>
  <w:style w:type="character" w:styleId="59">
    <w:name w:val="Placeholder Text"/>
    <w:basedOn w:val="32"/>
    <w:semiHidden/>
    <w:qFormat/>
    <w:uiPriority w:val="99"/>
    <w:rPr>
      <w:color w:val="808080"/>
    </w:rPr>
  </w:style>
  <w:style w:type="character" w:customStyle="1" w:styleId="60">
    <w:name w:val="标题 2 字符"/>
    <w:basedOn w:val="32"/>
    <w:link w:val="5"/>
    <w:semiHidden/>
    <w:qFormat/>
    <w:uiPriority w:val="0"/>
    <w:rPr>
      <w:rFonts w:asciiTheme="majorHAnsi" w:hAnsiTheme="majorHAnsi" w:eastAsiaTheme="majorEastAsia" w:cstheme="majorBidi"/>
      <w:b/>
      <w:bCs/>
      <w:kern w:val="2"/>
      <w:sz w:val="32"/>
      <w:szCs w:val="32"/>
    </w:rPr>
  </w:style>
  <w:style w:type="character" w:customStyle="1" w:styleId="61">
    <w:name w:val="标题 3 字符"/>
    <w:basedOn w:val="32"/>
    <w:link w:val="6"/>
    <w:semiHidden/>
    <w:qFormat/>
    <w:uiPriority w:val="0"/>
    <w:rPr>
      <w:b/>
      <w:bCs/>
      <w:kern w:val="2"/>
      <w:sz w:val="32"/>
      <w:szCs w:val="32"/>
    </w:rPr>
  </w:style>
  <w:style w:type="character" w:customStyle="1" w:styleId="62">
    <w:name w:val="标题 4 字符"/>
    <w:basedOn w:val="32"/>
    <w:link w:val="7"/>
    <w:semiHidden/>
    <w:qFormat/>
    <w:uiPriority w:val="0"/>
    <w:rPr>
      <w:rFonts w:asciiTheme="majorHAnsi" w:hAnsiTheme="majorHAnsi" w:eastAsiaTheme="majorEastAsia" w:cstheme="majorBidi"/>
      <w:b/>
      <w:bCs/>
      <w:kern w:val="2"/>
      <w:sz w:val="28"/>
      <w:szCs w:val="28"/>
    </w:rPr>
  </w:style>
  <w:style w:type="character" w:customStyle="1" w:styleId="63">
    <w:name w:val="正文缩进 字符"/>
    <w:link w:val="8"/>
    <w:qFormat/>
    <w:uiPriority w:val="0"/>
  </w:style>
  <w:style w:type="character" w:customStyle="1" w:styleId="64">
    <w:name w:val="批注文字 字符2"/>
    <w:qFormat/>
    <w:locked/>
    <w:uiPriority w:val="99"/>
    <w:rPr>
      <w:rFonts w:ascii="Times New Roman" w:hAnsi="Times New Roman" w:eastAsia="宋体"/>
      <w:sz w:val="24"/>
    </w:rPr>
  </w:style>
  <w:style w:type="character" w:customStyle="1" w:styleId="65">
    <w:name w:val="普通(网站) 字符"/>
    <w:link w:val="25"/>
    <w:qFormat/>
    <w:locked/>
    <w:uiPriority w:val="99"/>
    <w:rPr>
      <w:rFonts w:ascii="宋体" w:hAnsi="宋体" w:cs="宋体"/>
      <w:sz w:val="24"/>
      <w:szCs w:val="24"/>
    </w:rPr>
  </w:style>
  <w:style w:type="paragraph" w:customStyle="1" w:styleId="66">
    <w:name w:val="1设计正文"/>
    <w:basedOn w:val="1"/>
    <w:qFormat/>
    <w:uiPriority w:val="0"/>
    <w:pPr>
      <w:spacing w:line="240" w:lineRule="auto"/>
      <w:ind w:firstLine="0" w:firstLineChars="0"/>
    </w:pPr>
    <w:rPr>
      <w:rFonts w:eastAsia="仿宋"/>
      <w:kern w:val="0"/>
      <w:sz w:val="21"/>
      <w:szCs w:val="28"/>
    </w:rPr>
  </w:style>
  <w:style w:type="character" w:customStyle="1" w:styleId="67">
    <w:name w:val="表头 Char"/>
    <w:link w:val="55"/>
    <w:qFormat/>
    <w:uiPriority w:val="0"/>
    <w:rPr>
      <w:rFonts w:cs="宋体"/>
      <w:b/>
      <w:bCs/>
      <w:kern w:val="2"/>
      <w:sz w:val="24"/>
    </w:rPr>
  </w:style>
  <w:style w:type="paragraph" w:customStyle="1" w:styleId="68">
    <w:name w:val="Table Paragraph"/>
    <w:basedOn w:val="1"/>
    <w:qFormat/>
    <w:uiPriority w:val="1"/>
    <w:pPr>
      <w:spacing w:line="240" w:lineRule="auto"/>
      <w:ind w:firstLine="0" w:firstLineChars="0"/>
      <w:jc w:val="center"/>
    </w:pPr>
    <w:rPr>
      <w:rFonts w:ascii="宋体" w:hAnsi="宋体" w:cs="宋体"/>
      <w:sz w:val="21"/>
      <w:szCs w:val="20"/>
      <w:lang w:val="zh-CN" w:bidi="zh-CN"/>
    </w:rPr>
  </w:style>
  <w:style w:type="paragraph" w:customStyle="1" w:styleId="69">
    <w:name w:val="报告表正文"/>
    <w:basedOn w:val="1"/>
    <w:qFormat/>
    <w:uiPriority w:val="0"/>
    <w:pPr>
      <w:adjustRightInd w:val="0"/>
      <w:ind w:firstLine="488" w:firstLineChars="0"/>
      <w:jc w:val="left"/>
      <w:textAlignment w:val="baseline"/>
    </w:pPr>
    <w:rPr>
      <w:rFonts w:eastAsia="Times New Roman"/>
      <w:sz w:val="21"/>
      <w:szCs w:val="20"/>
    </w:rPr>
  </w:style>
  <w:style w:type="table" w:customStyle="1" w:styleId="70">
    <w:name w:val="Table Normal"/>
    <w:unhideWhenUsed/>
    <w:qFormat/>
    <w:uiPriority w:val="0"/>
    <w:tblPr>
      <w:tblCellMar>
        <w:top w:w="0" w:type="dxa"/>
        <w:left w:w="0" w:type="dxa"/>
        <w:bottom w:w="0" w:type="dxa"/>
        <w:right w:w="0" w:type="dxa"/>
      </w:tblCellMar>
    </w:tblPr>
  </w:style>
  <w:style w:type="paragraph" w:customStyle="1" w:styleId="71">
    <w:name w:val="表五号"/>
    <w:basedOn w:val="1"/>
    <w:qFormat/>
    <w:uiPriority w:val="0"/>
    <w:pPr>
      <w:widowControl/>
      <w:spacing w:line="312" w:lineRule="auto"/>
      <w:ind w:firstLine="0" w:firstLineChars="0"/>
      <w:jc w:val="center"/>
    </w:pPr>
    <w:rPr>
      <w:kern w:val="0"/>
      <w:sz w:val="21"/>
      <w:szCs w:val="21"/>
    </w:rPr>
  </w:style>
  <w:style w:type="paragraph" w:customStyle="1" w:styleId="72">
    <w:name w:val="图表标题"/>
    <w:basedOn w:val="73"/>
    <w:qFormat/>
    <w:uiPriority w:val="0"/>
    <w:pPr>
      <w:wordWrap w:val="0"/>
      <w:autoSpaceDN w:val="0"/>
      <w:spacing w:line="240" w:lineRule="auto"/>
      <w:ind w:firstLine="0" w:firstLineChars="0"/>
      <w:jc w:val="center"/>
    </w:pPr>
    <w:rPr>
      <w:sz w:val="21"/>
      <w:szCs w:val="24"/>
    </w:rPr>
  </w:style>
  <w:style w:type="paragraph" w:customStyle="1" w:styleId="73">
    <w:name w:val="加黑文字"/>
    <w:basedOn w:val="1"/>
    <w:qFormat/>
    <w:uiPriority w:val="0"/>
    <w:pPr>
      <w:ind w:firstLine="480"/>
    </w:pPr>
    <w:rPr>
      <w:b/>
    </w:rPr>
  </w:style>
  <w:style w:type="paragraph" w:customStyle="1" w:styleId="74">
    <w:name w:val="表格内容"/>
    <w:basedOn w:val="55"/>
    <w:next w:val="4"/>
    <w:qFormat/>
    <w:uiPriority w:val="0"/>
    <w:pPr>
      <w:widowControl/>
      <w:tabs>
        <w:tab w:val="left" w:pos="5327"/>
        <w:tab w:val="left" w:pos="6326"/>
        <w:tab w:val="left" w:pos="7230"/>
        <w:tab w:val="left" w:pos="9301"/>
      </w:tabs>
      <w:wordWrap w:val="0"/>
      <w:topLinePunct/>
      <w:spacing w:line="240" w:lineRule="auto"/>
      <w:ind w:firstLine="0" w:firstLineChars="0"/>
      <w:jc w:val="center"/>
    </w:pPr>
    <w:rPr>
      <w:kern w:val="0"/>
      <w:sz w:val="21"/>
      <w:szCs w:val="24"/>
    </w:rPr>
  </w:style>
  <w:style w:type="paragraph" w:customStyle="1" w:styleId="75">
    <w:name w:val="表头标题"/>
    <w:basedOn w:val="21"/>
    <w:next w:val="1"/>
    <w:qFormat/>
    <w:uiPriority w:val="0"/>
    <w:pPr>
      <w:widowControl/>
      <w:adjustRightInd w:val="0"/>
      <w:spacing w:line="240" w:lineRule="auto"/>
      <w:ind w:firstLine="0" w:firstLineChars="0"/>
    </w:pPr>
    <w:rPr>
      <w:b/>
      <w:color w:val="0000FF"/>
      <w:spacing w:val="0"/>
      <w:kern w:val="0"/>
    </w:rPr>
  </w:style>
  <w:style w:type="character" w:customStyle="1" w:styleId="76">
    <w:name w:val="正文文本 字符"/>
    <w:basedOn w:val="32"/>
    <w:link w:val="2"/>
    <w:qFormat/>
    <w:uiPriority w:val="99"/>
    <w:rPr>
      <w:szCs w:val="24"/>
    </w:rPr>
  </w:style>
  <w:style w:type="paragraph" w:customStyle="1" w:styleId="77">
    <w:name w:val="表中文字-lxd"/>
    <w:next w:val="1"/>
    <w:qFormat/>
    <w:uiPriority w:val="0"/>
    <w:pPr>
      <w:widowControl w:val="0"/>
      <w:tabs>
        <w:tab w:val="center" w:pos="383"/>
      </w:tabs>
      <w:jc w:val="center"/>
    </w:pPr>
    <w:rPr>
      <w:rFonts w:ascii="Times New Roman" w:hAnsi="Times New Roman" w:eastAsia="宋体" w:cs="Arial"/>
      <w:kern w:val="2"/>
      <w:sz w:val="21"/>
      <w:szCs w:val="24"/>
      <w:lang w:val="en-US" w:eastAsia="zh-CN" w:bidi="ar-SA"/>
    </w:rPr>
  </w:style>
  <w:style w:type="paragraph" w:customStyle="1" w:styleId="78">
    <w:name w:val="文本"/>
    <w:basedOn w:val="1"/>
    <w:link w:val="79"/>
    <w:qFormat/>
    <w:uiPriority w:val="0"/>
    <w:pPr>
      <w:ind w:firstLine="480"/>
    </w:pPr>
    <w:rPr>
      <w:rFonts w:eastAsia="仿宋_GB2312" w:cs="仿宋_GB2312"/>
      <w:szCs w:val="28"/>
    </w:rPr>
  </w:style>
  <w:style w:type="character" w:customStyle="1" w:styleId="79">
    <w:name w:val="文本 字符"/>
    <w:basedOn w:val="32"/>
    <w:link w:val="78"/>
    <w:qFormat/>
    <w:uiPriority w:val="0"/>
    <w:rPr>
      <w:rFonts w:eastAsia="仿宋_GB2312" w:cs="仿宋_GB2312"/>
      <w:kern w:val="2"/>
      <w:sz w:val="24"/>
      <w:szCs w:val="28"/>
    </w:rPr>
  </w:style>
  <w:style w:type="character" w:customStyle="1" w:styleId="80">
    <w:name w:val="批注框文本 字符"/>
    <w:basedOn w:val="32"/>
    <w:link w:val="17"/>
    <w:qFormat/>
    <w:uiPriority w:val="0"/>
    <w:rPr>
      <w:sz w:val="18"/>
    </w:rPr>
  </w:style>
  <w:style w:type="paragraph" w:customStyle="1" w:styleId="81">
    <w:name w:val="Char1"/>
    <w:basedOn w:val="1"/>
    <w:qFormat/>
    <w:uiPriority w:val="0"/>
    <w:pPr>
      <w:spacing w:line="240" w:lineRule="auto"/>
      <w:ind w:firstLine="0" w:firstLineChars="0"/>
    </w:pPr>
    <w:rPr>
      <w:sz w:val="21"/>
      <w:szCs w:val="21"/>
    </w:rPr>
  </w:style>
  <w:style w:type="character" w:customStyle="1" w:styleId="82">
    <w:name w:val="Unresolved Mention"/>
    <w:basedOn w:val="32"/>
    <w:semiHidden/>
    <w:unhideWhenUsed/>
    <w:qFormat/>
    <w:uiPriority w:val="99"/>
    <w:rPr>
      <w:color w:val="605E5C"/>
      <w:shd w:val="clear" w:color="auto" w:fill="E1DFDD"/>
    </w:rPr>
  </w:style>
  <w:style w:type="paragraph" w:customStyle="1" w:styleId="83">
    <w:name w:val="5 Char"/>
    <w:basedOn w:val="1"/>
    <w:qFormat/>
    <w:uiPriority w:val="0"/>
    <w:pPr>
      <w:spacing w:line="240" w:lineRule="auto"/>
      <w:ind w:firstLine="0" w:firstLineChars="0"/>
    </w:pPr>
    <w:rPr>
      <w:szCs w:val="24"/>
    </w:rPr>
  </w:style>
  <w:style w:type="paragraph" w:styleId="84">
    <w:name w:val="List Paragraph"/>
    <w:basedOn w:val="1"/>
    <w:qFormat/>
    <w:uiPriority w:val="99"/>
    <w:pPr>
      <w:spacing w:line="240" w:lineRule="auto"/>
      <w:ind w:firstLine="420"/>
    </w:pPr>
    <w:rPr>
      <w:rFonts w:ascii="Calibri" w:hAnsi="Calibri"/>
      <w:sz w:val="21"/>
      <w:szCs w:val="24"/>
    </w:rPr>
  </w:style>
  <w:style w:type="paragraph" w:customStyle="1" w:styleId="85">
    <w:name w:val="表头W"/>
    <w:basedOn w:val="1"/>
    <w:qFormat/>
    <w:uiPriority w:val="0"/>
    <w:pPr>
      <w:adjustRightInd/>
      <w:snapToGrid/>
      <w:spacing w:line="240" w:lineRule="auto"/>
      <w:ind w:firstLine="0" w:firstLineChars="0"/>
      <w:jc w:val="center"/>
    </w:pPr>
    <w:rPr>
      <w:rFonts w:eastAsia="宋体" w:cs="Times New Roman"/>
      <w:b/>
      <w:kern w:val="0"/>
      <w:sz w:val="21"/>
      <w:szCs w:val="21"/>
    </w:rPr>
  </w:style>
  <w:style w:type="paragraph" w:customStyle="1" w:styleId="86">
    <w:name w:val="正文格式"/>
    <w:basedOn w:val="1"/>
    <w:autoRedefine/>
    <w:qFormat/>
    <w:uiPriority w:val="0"/>
    <w:pPr>
      <w:spacing w:line="360" w:lineRule="auto"/>
      <w:ind w:firstLine="480" w:firstLineChars="200"/>
    </w:pPr>
    <w:rPr>
      <w:rFonts w:hAnsi="宋体"/>
      <w:sz w:val="24"/>
      <w:szCs w:val="20"/>
    </w:rPr>
  </w:style>
  <w:style w:type="paragraph" w:customStyle="1" w:styleId="87">
    <w:name w:val="翔一正文"/>
    <w:basedOn w:val="1"/>
    <w:next w:val="1"/>
    <w:semiHidden/>
    <w:qFormat/>
    <w:uiPriority w:val="0"/>
    <w:pPr>
      <w:wordWrap/>
      <w:autoSpaceDN/>
      <w:ind w:firstLine="1446"/>
    </w:pPr>
    <w:rPr>
      <w:szCs w:val="21"/>
    </w:rPr>
  </w:style>
  <w:style w:type="paragraph" w:customStyle="1" w:styleId="88">
    <w:name w:val="表格文字"/>
    <w:basedOn w:val="24"/>
    <w:next w:val="1"/>
    <w:qFormat/>
    <w:uiPriority w:val="0"/>
    <w:pPr>
      <w:spacing w:before="10" w:beforeLines="10" w:after="10" w:afterLines="10" w:line="0" w:lineRule="atLeast"/>
      <w:jc w:val="center"/>
    </w:pPr>
    <w:rPr>
      <w:kern w:val="2"/>
      <w:sz w:val="18"/>
      <w:szCs w:val="21"/>
      <w:lang w:val="en-US" w:eastAsia="zh-CN" w:bidi="ar-SA"/>
    </w:rPr>
  </w:style>
  <w:style w:type="paragraph" w:customStyle="1" w:styleId="89">
    <w:name w:val="加黑正文"/>
    <w:basedOn w:val="1"/>
    <w:qFormat/>
    <w:uiPriority w:val="0"/>
    <w:pPr>
      <w:topLinePunct/>
      <w:autoSpaceDE w:val="0"/>
      <w:autoSpaceDN/>
      <w:adjustRightInd w:val="0"/>
      <w:textAlignment w:val="baseline"/>
    </w:pPr>
    <w:rPr>
      <w:b/>
      <w:kern w:val="0"/>
      <w:szCs w:val="20"/>
    </w:rPr>
  </w:style>
  <w:style w:type="paragraph" w:customStyle="1" w:styleId="90">
    <w:name w:val="样式 文本正文 + 首行缩进:  2 字符3"/>
    <w:basedOn w:val="1"/>
    <w:qFormat/>
    <w:uiPriority w:val="0"/>
    <w:pPr>
      <w:autoSpaceDE w:val="0"/>
      <w:autoSpaceDN w:val="0"/>
      <w:adjustRightInd w:val="0"/>
      <w:spacing w:line="360" w:lineRule="auto"/>
      <w:ind w:firstLine="496" w:firstLineChars="200"/>
      <w:textAlignment w:val="baseline"/>
    </w:pPr>
    <w:rPr>
      <w:rFonts w:ascii="宋体" w:hAnsi="宋体" w:cs="宋体"/>
      <w:snapToGrid w:val="0"/>
      <w:color w:val="000000"/>
      <w:kern w:val="21"/>
      <w:sz w:val="24"/>
    </w:rPr>
  </w:style>
  <w:style w:type="paragraph" w:customStyle="1" w:styleId="91">
    <w:name w:val="翔一表格"/>
    <w:basedOn w:val="1"/>
    <w:next w:val="1"/>
    <w:semiHidden/>
    <w:qFormat/>
    <w:uiPriority w:val="0"/>
    <w:pPr>
      <w:wordWrap/>
      <w:autoSpaceDE w:val="0"/>
      <w:spacing w:line="240" w:lineRule="auto"/>
      <w:ind w:firstLine="0" w:firstLineChars="0"/>
      <w:jc w:val="center"/>
      <w:textAlignment w:val="baseline"/>
    </w:pPr>
    <w:rPr>
      <w:kern w:val="0"/>
      <w:sz w:val="21"/>
      <w:szCs w:val="21"/>
    </w:rPr>
  </w:style>
  <w:style w:type="paragraph" w:customStyle="1" w:styleId="92">
    <w:name w:val="报告表格"/>
    <w:basedOn w:val="1"/>
    <w:qFormat/>
    <w:uiPriority w:val="0"/>
    <w:pPr>
      <w:topLinePunct/>
      <w:autoSpaceDE w:val="0"/>
      <w:adjustRightInd w:val="0"/>
      <w:spacing w:line="240" w:lineRule="auto"/>
      <w:ind w:firstLine="0" w:firstLineChars="0"/>
      <w:jc w:val="center"/>
      <w:textAlignment w:val="baseline"/>
    </w:pPr>
    <w:rPr>
      <w:kern w:val="0"/>
      <w:sz w:val="21"/>
      <w:szCs w:val="20"/>
      <w:lang w:val="zh-CN" w:eastAsia="zh-CN"/>
    </w:rPr>
  </w:style>
  <w:style w:type="character" w:customStyle="1" w:styleId="93">
    <w:name w:val="正文文本 Char1"/>
    <w:qFormat/>
    <w:uiPriority w:val="0"/>
    <w:rPr>
      <w:rFonts w:eastAsia="宋体"/>
      <w:kern w:val="2"/>
      <w:sz w:val="28"/>
      <w:szCs w:val="24"/>
      <w:lang w:val="en-US" w:eastAsia="zh-CN" w:bidi="ar-SA"/>
    </w:rPr>
  </w:style>
  <w:style w:type="paragraph" w:customStyle="1" w:styleId="94">
    <w:name w:val="XG表文"/>
    <w:basedOn w:val="1"/>
    <w:unhideWhenUsed/>
    <w:qFormat/>
    <w:uiPriority w:val="0"/>
    <w:pPr>
      <w:snapToGrid w:val="0"/>
      <w:spacing w:beforeLines="0" w:afterLines="0" w:line="240" w:lineRule="auto"/>
      <w:ind w:firstLine="0" w:firstLineChars="0"/>
      <w:jc w:val="center"/>
    </w:pPr>
    <w:rPr>
      <w:rFonts w:hint="eastAsia"/>
      <w:sz w:val="21"/>
    </w:rPr>
  </w:style>
  <w:style w:type="paragraph" w:customStyle="1" w:styleId="95">
    <w:name w:val="正文▲"/>
    <w:qFormat/>
    <w:uiPriority w:val="0"/>
    <w:pPr>
      <w:spacing w:line="360" w:lineRule="auto"/>
      <w:ind w:firstLine="200" w:firstLineChars="200"/>
    </w:pPr>
    <w:rPr>
      <w:rFonts w:ascii="Times New Roman" w:hAnsi="Times New Roman" w:eastAsia="宋体" w:cs="Times New Roman"/>
      <w:color w:val="000000"/>
      <w:kern w:val="2"/>
      <w:sz w:val="24"/>
      <w:szCs w:val="24"/>
      <w:lang w:val="en-US" w:eastAsia="zh-CN" w:bidi="ar-SA"/>
    </w:rPr>
  </w:style>
  <w:style w:type="paragraph" w:customStyle="1" w:styleId="96">
    <w:name w:val="表1"/>
    <w:basedOn w:val="1"/>
    <w:next w:val="1"/>
    <w:qFormat/>
    <w:uiPriority w:val="0"/>
    <w:pPr>
      <w:adjustRightInd w:val="0"/>
      <w:snapToGrid w:val="0"/>
      <w:spacing w:line="240" w:lineRule="auto"/>
      <w:ind w:firstLine="0" w:firstLineChars="0"/>
      <w:jc w:val="center"/>
    </w:pPr>
    <w:rPr>
      <w:kern w:val="0"/>
      <w:sz w:val="21"/>
      <w:szCs w:val="21"/>
    </w:rPr>
  </w:style>
  <w:style w:type="character" w:customStyle="1" w:styleId="97">
    <w:name w:val="NormalCharacter"/>
    <w:autoRedefine/>
    <w:qFormat/>
    <w:uiPriority w:val="0"/>
  </w:style>
  <w:style w:type="paragraph" w:customStyle="1" w:styleId="98">
    <w:name w:val="sb-正文"/>
    <w:basedOn w:val="1"/>
    <w:qFormat/>
    <w:uiPriority w:val="0"/>
    <w:pPr>
      <w:spacing w:line="360" w:lineRule="auto"/>
      <w:ind w:firstLine="496" w:firstLineChars="200"/>
      <w:jc w:val="left"/>
    </w:pPr>
    <w:rPr>
      <w:rFonts w:eastAsia="仿宋_GB2312"/>
      <w:spacing w:val="4"/>
      <w:sz w:val="24"/>
    </w:rPr>
  </w:style>
  <w:style w:type="paragraph" w:customStyle="1" w:styleId="99">
    <w:name w:val="报告正文"/>
    <w:basedOn w:val="100"/>
    <w:qFormat/>
    <w:uiPriority w:val="0"/>
    <w:pPr>
      <w:widowControl w:val="0"/>
      <w:overflowPunct w:val="0"/>
      <w:topLinePunct/>
      <w:spacing w:line="360" w:lineRule="auto"/>
      <w:ind w:firstLine="496"/>
    </w:pPr>
    <w:rPr>
      <w:rFonts w:hAnsi="宋体"/>
      <w:bCs/>
      <w:spacing w:val="4"/>
      <w:kern w:val="2"/>
      <w:sz w:val="24"/>
      <w:szCs w:val="24"/>
      <w:lang w:val="zh-CN"/>
    </w:rPr>
  </w:style>
  <w:style w:type="paragraph" w:customStyle="1" w:styleId="100">
    <w:name w:val="环评正文"/>
    <w:basedOn w:val="16"/>
    <w:next w:val="1"/>
    <w:qFormat/>
    <w:uiPriority w:val="0"/>
    <w:pPr>
      <w:spacing w:line="500" w:lineRule="exact"/>
      <w:ind w:left="0" w:leftChars="0" w:firstLine="560"/>
    </w:pPr>
    <w:rPr>
      <w:rFonts w:ascii="仿宋_GB2312" w:eastAsia="仿宋_GB2312"/>
      <w:sz w:val="28"/>
      <w:szCs w:val="20"/>
    </w:rPr>
  </w:style>
  <w:style w:type="character" w:customStyle="1" w:styleId="101">
    <w:name w:val="font41"/>
    <w:qFormat/>
    <w:uiPriority w:val="0"/>
    <w:rPr>
      <w:rFonts w:hint="default" w:ascii="Times New Roman" w:hAnsi="Times New Roman" w:cs="Times New Roman"/>
      <w:color w:val="000000"/>
      <w:sz w:val="21"/>
      <w:szCs w:val="21"/>
      <w:u w:val="none"/>
    </w:rPr>
  </w:style>
  <w:style w:type="paragraph" w:customStyle="1" w:styleId="102">
    <w:name w:val="ice表内"/>
    <w:basedOn w:val="1"/>
    <w:qFormat/>
    <w:uiPriority w:val="0"/>
    <w:pPr>
      <w:widowControl/>
      <w:spacing w:line="240" w:lineRule="auto"/>
      <w:ind w:firstLine="0" w:firstLineChars="0"/>
      <w:jc w:val="center"/>
    </w:pPr>
    <w:rPr>
      <w:rFonts w:ascii="宋体" w:hAnsi="宋体" w:cs="宋体"/>
      <w:kern w:val="0"/>
    </w:rPr>
  </w:style>
  <w:style w:type="paragraph" w:customStyle="1" w:styleId="103">
    <w:name w:val="表格中文字"/>
    <w:basedOn w:val="1"/>
    <w:qFormat/>
    <w:uiPriority w:val="0"/>
    <w:rPr>
      <w:szCs w:val="5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8" Type="http://schemas.microsoft.com/office/2011/relationships/people" Target="people.xml"/><Relationship Id="rId37" Type="http://schemas.openxmlformats.org/officeDocument/2006/relationships/fontTable" Target="fontTable.xml"/><Relationship Id="rId36" Type="http://schemas.openxmlformats.org/officeDocument/2006/relationships/customXml" Target="../customXml/item3.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wmf"/><Relationship Id="rId27" Type="http://schemas.openxmlformats.org/officeDocument/2006/relationships/oleObject" Target="embeddings/oleObject3.bin"/><Relationship Id="rId26" Type="http://schemas.openxmlformats.org/officeDocument/2006/relationships/image" Target="media/image11.png"/><Relationship Id="rId25" Type="http://schemas.openxmlformats.org/officeDocument/2006/relationships/image" Target="media/image10.emf"/><Relationship Id="rId24" Type="http://schemas.openxmlformats.org/officeDocument/2006/relationships/oleObject" Target="embeddings/oleObject2.bin"/><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jpeg"/><Relationship Id="rId20" Type="http://schemas.openxmlformats.org/officeDocument/2006/relationships/image" Target="media/image6.jpeg"/><Relationship Id="rId2" Type="http://schemas.openxmlformats.org/officeDocument/2006/relationships/settings" Target="settings.xml"/><Relationship Id="rId19" Type="http://schemas.openxmlformats.org/officeDocument/2006/relationships/image" Target="media/image5.jpeg"/><Relationship Id="rId18" Type="http://schemas.openxmlformats.org/officeDocument/2006/relationships/image" Target="media/image4.emf"/><Relationship Id="rId17" Type="http://schemas.openxmlformats.org/officeDocument/2006/relationships/oleObject" Target="embeddings/oleObject1.bin"/><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extobjs>
    <extobj name="ECB019B1-382A-4266-B25C-5B523AA43C14-1">
      <extobjdata type="ECB019B1-382A-4266-B25C-5B523AA43C14" data="ewoJIkZpbGVJZCIgOiAiMzc1NzU0NjQ3MDczIiwKCSJHcm91cElkIiA6ICIyNDg1ODg0MTkyIiwKCSJJbWFnZSIgOiAiaVZCT1J3MEtHZ29BQUFBTlNVaEVVZ0FBQk9nQUFBRlFDQVlBQUFBRm5rRldBQUFBQVhOU1IwSUFyczRjNlFBQUlBQkpSRUZVZUp6czNYbWNXMVg1UC9EUGMyNG15WlIyU2dzRGdpTVdxVkRTYVhMUGljaFBVR1NUVFdSWEFVVUVSRVZCV1dSWEZsRytncklwOGkyYkc0cTRzRU9SNVN1S0d3Snp6MDJtRGZSTDFSSG5pMEJsc1MwenlVeHluOThmYzFQVFRES1QyYWVkNS8xNjlUV1RjODg5OTdscGNpZDU3bGtB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vaE5VQVNBTTlWQkNDRTJib2xFSWpyVk1RZ2hoQkJDQ0NIRVpJdE1kUURUUlNLUmVFczhIcC9kU04wMWE5YjhZOVdxVllXUkhzTjEzUThUMFcwQXJySFduai9pSUNlQjF2bzhBRWYzOXZidTg5eHp6NzNhNEQ3ZklhTFBsRXFsZ3pPWnpDT2pQYll4NW1JQVp3QTR3L084NzQrMkhTR21TanFkbnN2TXJZM1VEWUxnWDc3dnZ6SFNZN1MzdDIvZDFOVDBkd0FkMXRyZFJ4emtKTkJhN3d2Z1cwUjBydWQ1RHplNHp6RUFiZ2J3YlFBWGpPSFkreERSbmN4OHA3WDJwTkcySTRRUVFnZ2hoQkNUU1JKMG9WZ3N0aFRBb1kzVW5UTm56aTRBbmhucE1ZaklJYUlZTXplTmROOEpSZ3NXTEloMWRYWGxpYWdOUUVvcDFRUUF5V1J5KzJ3Mis3Zkt5c2FZU3dETVplYkxyYldyaWVnRkFFMUtxWFlBbzA3UU1YTXpFYzFsNXRoWVRtWWlhSzF2QnJEOU9EYTUybHA3ekRpMko2WUJaajRCd0RVTlZqOGJ3TGRHZW93Z0NJaUlZZ0NtM2Zza25VN1A2dWpvNkFHd09SR2xtSGtlQUNTVHliYW1wcWFYT3pvNitzdDF0ZFpIQVRnQXdGSnI3VFBNdkVvcHRSa3p0NDhsQmlKcUFqQ1hpRFliU3pzVHdSaHpLak1mTnM3TmZzSmErK0k0dHltRUVFSUlJWVNZWkRNaVFaZE1KcmVQUkNLRGttODlQVDIzVmZVU1c4UE1SdzdSMUlGRWRHWjFvZGI2WENMYVpyZzRtSGxIQUNDaXZZd3gxelpRZjQyMTlxTGg2bzFGT3AyZXhjelBNZk1QdTdxNnZsSzlMUWlDWjdYV25yVjJ0N0RZWWViVEFNVFdybDE3SGdDVVNxVS9PWTREQUx1TTVOaExsaXhaMHRuWjJkbEFqRHQwZEhUOFpTUnRUNEQzRU5GaVpoNXh6OGthb2dEa0MvVkdKcDFPTnpIejU2dkxtZmx4YTIybXNpd0lncE9KcUt0T1U5c1MwUStyQzdYV1J4TFIreG9JWlZaNDNMYzFjaDBCZ0dLeGVIazJtMzJsa2JxanBiVytNK3c5dUVmMU5zZHg3bURtSlZycmhkYmExV0h4Y1VSMFNCQUUzdy9yK015Y0I1QUdvQUFFalJ3M21VeTJaN1BaRlFCNG1IcmJaN1BacnVIcVRiQkZSTFFQTS9lTk5RNGlLazhyTUd0Y0loTkNDQ0dFRUVKTXFSbVJvSXRFSW90Um8xZExOQnA5REVCbGdxN2ZXdnRZdlhaYzExMUFSTFUySFFkZzhYQnhWT3hyd24vRGVSbkFoQ2JvT2pvNmVyVFdMd0g0ZVBXeG1IbnZzS2ZPNCtVeXJmWHVSRFNmbWU4dEQvUHQ3KzkveW5HY2Z4SFJvYTdyYnQ3SXNEMWp6Q1hNZkpFeDVselA4NzVacjU3VytrUm12a2xyZmFHMTlvcFJuK2c0WU9ZM3JiVjFoMEduMCtsdGdpQjRhMDlQejhxVksxZXVyVmZQR0xPS21lTVRFNldZS0wyOXZiRjRQRDdvT2tKRXB3R29UdEE5bWMxbWw5ZHF4eGl6c0ZZNUVlMEZZRkFDc0I0aTJnckFGeHVwMjlUVXRCVEFoQ2JvaU9ndnpIeDRNcG5jb0tkcE9PeDNWMlorcXB5Y0M1UC9lelB6YTc3dlB3a0FIUjBkL1ZyclI0bm9ROGFZRHpReU5OWVlzejh6MzJ1TVdVWkVINjNzb1ZjcGxVcHB4M0VlMTFvL3FwUTZQdXpsTjVWMnQ5Ylc3SVdkU0NSbXgyS3hSUUJlSEtwbm5OYjZGaUtTSWJ4Q0NDR0VFRUpzSXRSVUJ6Q1pnaUQ0WkxGWWZCc3pmMldJYXBGNi81UlNOWit2MWF0WDc1TFA1K2NNOXk4SWdrOENBRE4vdTVINlNxbDNqUE5UVU05OVJMVEFkZDNkS2d1WnVkenI4TWZsTWlMNlhQanpwK1d5WEM3WHg4dy9CTkFNNFBqaERtYU11UkRBeFFENmd5RElEVldYbWY4QjRFMGkrb2JXK2dmVGVRTDVJQWhPSXFLbm01dWIwMU1kaTVnNHpIeGplQjNadDE0ZFo2QkxhYzNyU0xGWXJMbVlTajZmUDdPUjYwSi9mLzhPNFM2MmtmcjVmSDVPUjBmSHluRitHZ1lwbFVyM0VSRkZJcEZqcThvUHhzQzUzMVl1QzRMZ0UwUTBHOERQQVpUSzVVUjBVL2pyWjRjN1hqalAzVDFFRkF1Q0lGY3ZPUmUyK3pvenYwaEVSekh6RTFycmJVZDJkcE9ucWFuSkphS25pZWpUVXgyTEVFSUlJWVFRWXZMTWlCNTBaVXFwVjMzZjd6YkcxT3ZodFlVeHB1Nlh2SHE2dTd0N0c2bW50UzRQait6UDVYTHJSbnFjaVJJRXdZT080MXltbEZvL0oxb3NGb3NSMFljQmVKN25QUXNBV3V1M0F6Z0N3RCtKNks3S05wajVSZ0JuRU5GRjdlM3RkeXhmdnZ6bFdzY0tGNkg0R2pQM01mTVJ2dTgvT0ZSc3Z1OC9ta3dtZDNjYzUyRWlPajRlaisrd2VQSGlRMWVzV1BIYUdFOWJpTkZhbDgxbXU1UEo1T2FSU08xTEtCSDV4alRTU2ZZL2NybGNINEMrNGVvbEVvblpUVTFOQUJCTXArdElKcFA1azliNk5RREhBTGlrWEs2VU9nNUFmMjl2N3kvQ0lnZkFGd0FnQ0lMcks5dndQRytaMXJxTGlBNUxwVkw3MVZ0MHhoaXpONEQ3QU1TRElQaTY3L3RmSGlvMjMvZTd3aHNROXhMUkhnQ2VUcVZTQjJjeUdUdksweFZDQ0NHRUVFS0ljVFdqRW5URFllWjF6SHhHdmUxRTlGNGlxdHRETE93WlZuY0Z4NUhNUWVkNTNwbG9jQTZtc2Nwa01sWnIvWGNBelVUVUc4YTRNNEFpTTk5ZVVmVTZBRTBBcnFudXJlTDcvdk5hNit1SjZBdlJhSFFwZ01PckR1Tm9yYThsb2xNYlRjNlZaYlBaNVZycjNaajVFU0o2Ynl3Vys0UHJ1Z2Y2dmw5dmpxOEpwYlgrQWhHOXU3cThQTGs5RVYxb2pQbFVqVjN2OER6dmdRa1BVRXc1WnI2WW1lc05UMnhWU2wxZWIxOWp6RWNCdkdlSTVodWVnNjVVS3QyUXlXVCtkOWlBeDBjSndLOEE3QWlnSlN5TE12TjJSUFJ3ZWI1UFk4eHBBSFptNW1XWlRHWkZWUnRCT00vblhZN2ozTHh3NGNJbHExYXRXbE5aUVd0OUhEUGZRa1RSUnBKelpiN3Z2N0Znd1lMOTU4MmJkd2NSSGVvNHptOWQxejNTOS8xSHgzVFdvK1M2N2dlVVVyWCtucFQvaGh4Ulp6aDBacWhwQVlRUVFnZ2hoQkFicHhtZm9FdW4wMDBBNWdJNHBWZ3Nxa2drVWdDQWRldldGVmF1WExrMmtVaEVtNXViV3dDZ1VDamNyNVQ2c3VNNGhYUTZQYmVqbytQZlZjMmRBR0FIMURIQ09laStoRWxLMEFIQTZ0V3JkKzd1N3U0MXhsd1BBUGw4M205dWJ0NG1YQkVSV3V1amllaFFabDVWS0JTdXE5VkdvVkM0TUI2UEh3N2dNTmQxci9aOS8wd0FTQ2FUbTBVaWtUc0FITXpNNjRJZ09MSmV6NWg2ckxWL2IyOXYzeU9jTjdCZEtmVkgxM1VQOG4zZkg5T0pqd0lSN1ZKbkpjYW1jUHQ3bWJsVVk3czNzWkdKcVpST3A3Y3NGQW8vVlVyOTBuR2NndU00bk0vbmc3QzNKNlhUNlMyQWdWVllpOFhpYlVFUTlLZlQ2UzA3T2pyK1Zka09NMytna2JuRkdwbURUaW4xQUlESlN0Qmg5ZXJWbitydTd1NE5WMmdGZ0Q1cmJTS2RUczhGQU5kMTN3bmdxd0Q2UzZYU29BVjNBTUR6dkx1Tk1YY0RPTHlscGVXQlpESjVZRGFiZlJNQXROWVhFZEdsWWRVTGZkK3ZtK2lzcGF1cks5L1YxWFdVMXZwSFJIU01VdXBCWTh5Sm51ZjllUGk5eDVkU2F2dGExeEVpS2srbHNJaVpCMDF6TUIxWHB4VkNDQ0dFRUVLTTNZeFAwQVZCOEg0aWVoUUFITWNCODhEQ2VyTm16Ym9Ud0ZHeFdPd1FadjRGQUVTajBjcjlmZ3RnejhxMmlDaloyOXM3WHZQNkZjZXBuU0V0V2JKa1hpUVN1UVlBV2x0YkFXQlhBSWpINDljRlFkQUxBTWFZeHdEY3hNd0JnRlBDb1hpRDVISzVkYWxVNmxDbDFLK1ZVbWNZWTE3eVBPOUt4M0craW9IazNHb0FCMlV5bVpxVG93OW4rZkxsTHk5YXRHalA1dWJteDRqSVZVcnRCMkRTRTNTZTV4MVhxMXhyL1dVQWx3VkJjS0R2KzcrWjVMREUxSW93OCtyS2F3UXpJeGFMdlFwZ3kzUTZ2VVg0K2djUm9UdzBOcnplYkxEeXpOcTFhejhmalVaUEg0K2djcmxjUThQdng0UHJ1bGNRMGRiaGRlVHRZZkVwV3VzRGdpQ0FNZWEzekh3ZWdEbk0vTlZzTmx0M1hyeisvdjZUSXBISU80am9mWTdqL0FMQVFjYVlEd0c0RkVDSm1UOXRyZjNlS0VNdFdtcy9yclh1STZMam1ma1lBRC9CSksvdTZubmVUUUJ1cWk1UHBWTHZkUnpuZHdBdXQ5WmVNbmhQSVlRUVFnZ2h4S1pveGlmb3lzS0ZJNTREQUNLNnVrYVZNOE1GQzRDQkw0bURUSU9WQVVjc0VvazBBeWozZGdFenp3cDcraDJNOEFzck16OE13Q09pWlo3bjFWM2xGbGcvWFBZZ0FDZXNXYk5tS1FEMDlQUmNNbXZXckIyWStXemY5NThmUzd6UFBmZmNxNHNYTDk0bkdvMSswbHBiNi85SmlDbkR6SGNBdUROOGVCSVI3VksxL1ZZTURBTUZFWDBFd0llcjJ3aFhSeTVVbDA5M1Nxa0RtSGtIQUFoWGZ3WUdFdjVwQUdEbUZ6Q3dJdlRmckxVMXI2RmxuWjJkcjJ1dFA4RE0xekh6eFFEZ2VkNzl4cGdiQVB6S1dudi9HTU1OckxVbmFxMmZWVXA5QjVPY25CTkNDQ0dFRUVLSWFwS2dDd1ZCOEp0TUp2TjdBTkJhRCtxMVVDd1dIODFtczh2RDdhZldhaU9aVExaRklwRi8xTm8yRXFWUzZYM2xXQ2FhdGZaRkFMTUJJSjFPejJMbVZ3SEU4L244RHJsYzdxVnlQZGQxSHdMd0ZhMzF0NFpyTXdpQ1J6S1p6UG9WQ0ZldVhMa1dRSzBob1Jzb0ZBcGZBM0R0bWpWcnFvY09ieUFjTWpqbHlibHdSZG5LVldXakFFQkV6WWxFWW5hNU1KZkw1VEZKUFNMRmxGdGhyZjBsQUJoajlnU3dRWUtPaUh6UDg4cmIyK3MxWW94WmhTR0d5emVDbWI5aXJmM2FXTm9ZQ2MvelV1WGZqVEZQQUhnZmdFOWFhKytvckdlTXVVQnJmV1VEVGY3RldydkJpckNlNTMxK3VKM3krZnl2QVd6VDNOdzhYTy9Cd0ZwN1JRTnhURFFua1VnMGx4OFFVVE1BTUhPMDhqclMxOWZYSHladmhSQkNDQ0dFRUpzZ1NkQ0ZpT2g5cnV0dUdmNCtwenpVdGN4eG5MMWQxeTFQMkwwbGdIK2hEbVora1lqdXJySHBuUUQyWStZL0VkR2crY2lZZVU4aVdqenFreGlqSUFqMkphSTRBRVNqMFhSN2Uvc3psYXV4aHBPM0Q0dUlYZ1V3b2pubXdtUHVRVVI3YjdYVlZ2ZDJkM2YvYnFUN1Q3WjRQSDQxZ0VFSkF5SmFGby9IMXovV1dwOWlyVjA2bWJHSktiT3o2N3FIQVFBemIxOHg3MlJac3J3ZHdLSUcydnR1amJKWkdKanY4Z1VBdFhxU3ZSUEFmbzJGTy82V0xGa3lEOEJ1QU1ETVd4dGowcDduZFpTM00vTkhpQ2hWdDRIL2VBVEFmNC8wK0pGSVpIdkhjVTR1bFVyTEFmeGdwUHRQTnEzMTRVVDBpK3B5SWpvL0hvK2ZYMzRjajhkL0J1RG9TUTFPQ0NHRUVFSUlNV2trUVJlcXNhcmkwNVVQaU9pNnlpL2J6UHpiSVpwNzN2TzhRYjNzd29VVzlnTnduK2Q1MzZpeGZTbUFLVXZRaFVQdXlyL2YxZFRVOUFRR3Z1aXo3L3R2SkJLSk9RQVFqOGVYQXZoWXNWaE1GNHZGOVJQUXgrUHhqd0ZZcXBRYTFieFhSTFFIRVowRm9CdkF0RS9RbFFWQmNJMVNhazJOVFFzQmZHeXk0eEZUaDRpT0phTEtYbCt2VmxVNVdTbDFjcVB0MWJxT0pCS0p0OFRqOFJNQVBEdk1kV1pLT0k1ekpBQUhBSWpvU2dDdmFhMlQxdHJWQUxCNjllcjN0TFMwT09YclJSQUVwL2YxOWQxYTNqOFdpMjFIUkN1WWVWVFhrVWdrc2oyQXN3RGNpNDBnUVZmaGJnRFo2c0lnQ0NKS3FRdW5JQjRoaEJCQ0NDSEVKSnJ4Q1RvaVdzZk1Ld0NjWGlnVWxnTkFQQjQvRGNDcld1dDNNWE1QZ0Z1SjZOdjVmUDRWQUlqRllsY1JVYzJGRWpaV1lhK1hJd0gwWUtDSHpsVkVkTDdXK296eVhHKzVYRzRkQUdpdHR5QWlGSXZGRjh0bEFHQ01LWGM3bkxTSjZhZURJQWl1OW4yL3U3cmNHSE1BSkVFM1UzQjRIZmwrb1ZENENRQkVvOUdEbFZLTFhkZDFTNlVTaU9oV1pyNi9yNi92endBUWo4Yy93Y3lmbU5Lb0p3QVJuWXp3T2tKRTF3RTRFOEN0QUE0QmdPN3U3bDRBMEZwdlRrUWdvcGNycnlPcFZLcm9PQTR3dzY0akFPNnF0WnJzZ2dVTDR2UG56NWNFblJCQ0NDR0VFSnU0R1orZzh6enZTUURWYzBGZDZMcXVxNVN5ekh5MnRmWlRWZHZySlYwMkcvOElKMGNrRXZrMGdDWm12cHVJamdKd1BZRDlBVnllVENZZktjKy9Cd0JFbEFEUW04dmxYcWxzZzVsalJJUXdxYm1CdHJhMjV0Ylcxb2VHaW9HSTNoSCtlcXJXdXU2Y2RVUlU4anh2bjhiUFRvZ0pWN0xXVmw5SGJnRUFZOHdiQUg3dmVkN0JWZHV2RFAvVnNsRmVTNUxKNUs1RTlHNW12b09Jam1abWo0aXVKNkl2dXE3N0tkLzNiNm1vbmdBQUl1cXFiQ01JZ2xpWW9LdTU2STR4NWtabTNtbUlNT2FIN2I1WGF6M2thc3JGWXZHMHpzN096a2JPVFFpeGNVb2tFdEY2cTg4TE1jVWlHRmlrcURUVmdRZ2hoSmdlWm55Q1RtdTlETUMyTlRZMUF3QVJuYUcxL25pdGZZbm9GNTduZmIzOE9CS0piQldXdjcraU4xbXQvZjdMR1BOZlk0dDgvQ1NUeWMwQW5NWE1EeFBSeXdCUUtCU0NhRFQ2QlNKNkloS0o3QTVnT1RBd3ZBN0FkZ0E2QUFTVjdaUW5OMGVOTDlZdExTME9FYjIvd1pCMklLS2hKc2lmVmg5a2lHaFc1V1R1WlVFUXhKVlNVeEdTbUdSYTY2OGk3Q0ZXalpubkVOSDd0TlorcmUxRTlEZlA4dzZ2TE1MQVBKY1k2am9DWVA5aHRrODZ4M0V1WnViWGlPaEJoUE9sRWRIRlFSQWNxNVRhRTJIU01pemZsWmw1N2RxMXVjbzJsRkoxcnlPaE5CR2xHd2huaStHdU9VcXB1UTIwTXltWU9WYm5PaEtyVlYvTURPbDBlaTR6dHpaU053aUNmL20rLzhaSWo5SGUzcjUxVTFQVDN3RjBXR3QzSDNHUWswQnJ2UytBYnhIUnVaN25QZHpnUHNjQXVCbkF0d0ZjTUlaajcwTkVkekx6bmRiYWswYmJqdGgwYWEzUEEzQjBiMi92UHM4OTkxejExQmIxOXZrT0VYMm1WQ29kbk1sa1JqeHZjNWt4NW1JQVp3QTR3L084NzQrMm5VMVZLcFY2cStNNFZ3UkJzTXozL2R1bk9oNGhoQmpPVEV2US9VSnJYV0xtcG9yNTVQNUpSRUZWdmIwd01Nd1RSTFF0TTg4bG9rRTlNWUlnZUwycTZPMEF3TXhQRWRHZlJoSGYzZ0NXakdLL01ZbEVJbWNEYUdYbTZ3RjhzRnp1Ky80ZmxpeFo0bGIyTUluSDQ0Y0NRQkFFLzFPanFicGZySE81M0xvRkN4WTBWNWRYbWo5Ly9tVUF2aFFFd2RsdnZQSEc5VVBFTzkyU0VpdkRIajlpQmlDaUwyaXRQMHRFcXFMc05Rek1uYmdlTTZlSXFDMTgyRUpFS1daK2pJZ0tWZlZlcW55Y1RDYmZDaUFTTGpZemFQR0E0VER6amtSMDRFajNHeXZYZGZja29nT0RJTGdTUUw1OGplM282UGgzS3BYYUs1UEpyRS9FSlpQSm5RRHNCT0NwVmF0V2JUQi9ZemxCVjZzbkxnRGs4L25kZW5wNjZtYSs1OCtmL3dFQTl6SHovYSsvL3ZwSDZ0VURnSzZ1cm1tektpb1IzUktQeDI4WnZxYVlTWmo1QkFEWE5GajliQUREcnJSZUxRZ0NJcUlZZ0dtWERFNm4wN002T2pwNkFHd2VYa1BuQVVBeW1XeHJhbXA2dWFPam83OWNWMnQ5RklBREFDeTExajdEekt1VVVwc3hjOTBWc3h0QlJFMEE1aExSUnRteldVd1lXckJnUWF5cnF5c2YvcTFQS2FXYUFDQ1pURzZmeldiL1ZsblpHSE1KZ0xuTWZMbTFkalVSdlFDZ1NTblZqbEVzckZiR3pNMUVOSmVacDkzN1YydDlNNER0eDdISjFkYmFZMGF5US9qK1BVUXBkWWpydWsvN3Z2LzhPTVlqaEJEamJrWWw2Smo1Y1F5c2ZBaG1odU00cjFYZURXMXJhMnZlYXF1dGJzWkFjdTV1QUljejh4TUEzaGNFd1FyZjk4L0RRRmYwZXZZUDI3N09XanZpdXpUR21CTUE3QVBnbGVwdDZYUjZtMkt4cURLWnpQK050TjFoanJtUW1jOGpJbXV0L1pVeDVvT1YyMnNNLy9wYytQT1hOWm9yZjNoOXM5YXh1cnE2OGtQRk1tL2V2QklSUVNsVkhLNXV0WWw2ZmhvaGkwVE1MTXljQS9Ca2VhVm5abDd1Ky81dkFGeGJybU9NT1lPSURtRG1Sd0hzUmtSL0JiQXRFYWszMzN6em1KVXJWNjZ0MTc3ak9Qc0RBQkU5NkhuZTZTT056eGp6L3dDOHhzeTFobTVHWE5kdDkzMi9abSsrMFVva0VsRWl1Z0ZBcitNNDF3WkJzRUV2bkV3bXM2THlzZU00bndjQUlocDBIV0htemNLNTZXcGVSNFlicWpaLy92enlGL1pncE5jUlRORHoweUJaSkdLR1NhZlRUY3c4YUNWd1puN2NXcHVwTEF1QzRPVHE0ZUFWdGlXaUgxWVhhcTJQSktMM05SREtyUEM0YnpQR1hEdGNaUUFvRm91WFo3UFpRWjlWeHBQVytzNnc5K0FlMWRzY3g3bURtWmRvclJlV0Y2QUJjQndSSFJJRXdmZkRPajR6NXdHa0FTaFU5ZnF2SjVsTXRtZXoyUlVZK3ZOZU9RblROVnc5c2VsSnA5T3ptUGs1WnY1aFYxZlhWNnEzQlVId3JOYmFzOWJ1RmhZN3pId2FnTmphdFd2UEE0QlNxZlNuOE9idUxpTTU5cElsUzVZME1qVkRPcDNlb2FPajR5OGphWHNDdkllSUZqUHplTndNaXdKNHNicXdyYTJ0dWFXbHBlNWQ4cjYrdm4vRjQvRUxBSHhIS2ZYMVJDSng0bEFIYVc1dURzS2JBa0lJTVNWbVZJS09pRzd3UE8rQld0dTAxdThIY0RNejcwQkVad1JCOEJ1bDFPSE1mTDlTNmg0aXVscHJiZnI3KzA5Y3ZuejVQNnIzRDRlSkhnaWdOTXdLcjNXRlhkTUhkVTkzWFhkelp2NjE0emh6VTZuVVlabE01cW5SdEYvSE5rUVVLNVZLd3lVZm9iVStEa0NTbWYvbysvN1QxZHVaZVRZUm9WUXFyYXV4KzRTWjRPZW5yaUFJSGlPaXZPTTRsM1YwZFB5N2Vuc3ltZHpKY1p5WGlHZ3F2dXlMaWZPWXRmWkx0VGE0cnJ0QUtYVWpnUDJZK1k1Q29YQjhQQjUvQmNBTFFSQ2NvcFI2WkxQTk5yT3BWT3FUbVV6bTkzWGFQd29BbVBuWG93a3VuRmZ6eVZyYnROYTNBVGhDYS8wNWErMnR0ZXFNVWpUc2JYeXQ1M24vMUZyWHJlaTY3anVKNkdSbVhsY3NGZ2YxR0dQbThqRFBTYjJPQUJQNi9OUlZMQlpYUmlLUnEwcWwwdTNaYk5hclVTV2l0WTR6czUyTWVNVGs2ZTN0amNYajhVRzk0NGpvTkFEVkNib25LK2VDcldTTVdWaXJuSWoyQWpBb0FWZ1BFVzBGNEl1TjFHMXFhbHFLR2pjVHh4TVIvWVdaRDA4bWt4djB3QW1IL2U3S3pFK1ZrM05oVW1SdlpuN045LzBuQWFDam82TmZhLzBvRVgzSUdQT0JSb2JHR21QMlorWjdqVEhMaU9pamxUMzBLcVZTS2UwNHp1TmE2MGVWVXNmTEYvcVpwYU9qbzBkci9SS0Fqd080cUhJYk0rOGQ5a2g5dkZ5bXRkNmRpT1l6ODcyclZxMHFBRUIvZi85VGp1UDhpNGdPZFYxMzgwYUdweHRqTG1IbWk0d3g1M3FlOTgxNjliVFdKekx6VFZyckM2MjFWNHo2Uk1jQk03OXByUjAwZlVOWk9wM2VKZ2lDdC9iMDlLd2M2dWFsTVdZVk04ZXJ5MXRiVzU4bW9zVU5odlBoZUR6KzRXSGlYUWxnVVlQdENTSEV1SnNSQ2JvMWE5WThNWHYyYkwxdTNicS9WbTh6eHV3TTRGSm1Qb3FJWGk2VlN2dG1NcG5IWGRkMXkzVTh6N3ZHZGQxMVNxa2JvdEhvU3EzMWY1ZEtwV3V5MmV6NklXMUtxZk1CYkFIZzd2SHV4ZVg3L2h0YTY3dUo2SHpIY1g2anRUN09XbnZuZUxUdGVkN3Z0TmJuRFRmL1JUZ2s3VHBtRGxEbkF6d1JiUWtBa1Vpa1ZtK3lDVE9Sejg4d3g3MEh3RDMxdG1lejJaVUFhaVp5eE1Zbmw4djF1SzZyaVdqUWw5SkZpeFp0RVkvSHoxRktuY3JNRVdZKzNmZjk2d0RBR0FOZ1lNaDRLcFhhU3luMWdGTHFDV1BNUFFDKzdubGVSN21kY0s2akE1ajU1VUtoY05kNG53TXovMHdwZFNpQVcxelgzYkdCWHNFTnllVnk2N1RXRnltbGhoeWlHWDZKdmgxQW5Jak83T3pzcko0bVlQMTFoSmtuOVRvU0huTkNucCtoaEQwaGhycE9GT3NsaE1XbWdabHZMSlZLWDNNY1p5Y2llcXhXSFdlZ3EwM056MnpGWXRHSlJBWnZ5dWZ6WndJNGI3ampPNDZ6VlZOVDAxOEEySHcrUDZpM1dpMjVYSzVtRDlmeFZDcVY3bk1jNSt4SUpISnMrS1c1WEg2d1Vpb0M0TFp5V1JBRW55Q2kyY3k4RkJYejFCTFJUUUErQk9DekFJWk0wSVh6M04xRFJMRWdDSEsrNzlkTXpvWHR2aDVPUTNBVU0yK3Z0VDdFV2p1b2Q0L1lwTjFIUkplNXJydGJaU0V6SHhwTzhiQitWVzRpK2x6NDg2ZmxzbHd1MTZlMS9pRVJuUVhnZUFEWERYVXdZOHlGQUM0RzBCY0VRVzZvdXN6OER5SjZrNGkrb2JYZXVWQW9mSHE2THBRU0JNRkpSSFJaYzNQelhnQ0dYTmhwQ1AzTS9PM3hpS2ZXWnp3aGhKaE1NeUpCRjg1eHRFRXZwbFFxdFYvNFpmcURBSWlJZmtoRVoyY3ltWC9WYXNQMy9adGQxODBSMFErSTZFekhjVTdYV3YvTVdudXNNV1p2WnY0U2dINEFsMHpFT1Zockw5QmF2d0RndXdCK3JyVSsxVnI3MytQVTlwQjMxMXpYZFlub2ZpS2FCK0Fjei9PZXFhNnpjT0hDRm1iZUEwQ2Z0WGFEWVRqR21JZVp1WkZKMmhZQ0FET2Zvcld1WHZHeVh1ejdoajhuN1BtcDBEemNxcEFOZWl1QWhpWVJGdE5LVUQzMFVXdWRBSEFhZ0krSFh3Ny9VQ3dXVDZrMy9DU1R5VHpWM3Q2ZWJtcHF1aFhBNFFBT044WmsrL3Y3OXlTaXpjSXZrd0J3eVVSOG1QWjkvNTR3Q1hpL1V1b2NZOHkybnVlZEFLQTQxcmF0dFVOK09GNjBhTkVXUVJEY1NVVHZBdkNBNTNtMXZveVFVdW9nQUZCS3JhemNZSXk1a3BuTmNIRXc4eGJobDZQZHROWTFreDAxbkdXdHpVems4MU9KaUc3VVd0ZnRLZEJnRzBPdFpDczJMdXV5Mld4M01wbmN2RmFpRFFDSXlDOG4reHNWWGtPR3ZZNGtFb25aVFUxTkFCRGtjcmxKNzdsYVR5YVQrWlBXK2pVQXg2RGlzNVZTNmpnQS9iMjl2ZVU1T2gwQVh3Q0FJQWcybUwvVzg3eGxXdXN1SWpvc2xVcnRWKzltcERGbWJ3RDNBWWdIUWZCMTMvZS9QRlJzdnU5M2hZbVplNGxvRHdCUHAxS3Bnek9aalBSMG5TR0NJSGpRY1p6TGxGTHI1MFNMeFdJeEl2b3dBTS96dkdjQlFHdjlkZ0JIWUdETzZ3MXV2REh6alFET0lLS0wydHZiNzFpK2ZQbkx0WTRWTGtMeE5XYnVZK1lqZk45L2NLallmTjkvTkpsTTd1NDR6c05FZEh3OEh0OWg4ZUxGaDY1WXNlSzFNWjcydE1UTWZlVWJXZWwwZXB0WFgzMzE5ZklVRjFycmR4SFJ4d0Q4TEJ4aEFBQndYZmRqQUhaMkhPZHk2UUVyaEpoT1prU0NyaFlpU2hQUmg1ajVOOHg4b2JYMmo4UHQ0L3YrSDlMcGRDb0lnak1CbkVsRXk5THA5SGJNZkgvWW5mM0xudWNObWtOb3ZGaHJsMnF0ZXdCOG40aHUwRnF2c05ZK01WSEhBd0N0OVNrQXJnblA3OUp5bC9xMnRyYm0xdGJXVlVUMEVqT3ZEYjhzYm8yQmVaU3F2OHp1UTBRTnI2SkFSRHNDMkhHa3NVNzA4ME5FaXBuZk5kWjJwdU5Fdm1MVXRpU2lrNWk1aTVrdnM5YitHTVAwdUFxSHlPL251dTZ4UkhReGdLYzdPenZmTU1ZQmcwVnRBQUFnQUVsRVFWUThBZUFkelB5b3RmYkdpUXJZV3Z1bjhNdm9yd0Y4WEd2OXZMWDJxeE4xUEFCd1hYYzNwZFNkQU43Q3pNdEtwZExSQ09lRDBsby9CT0J0NFVJYnJRQVdNZk9McTFldjN1QkdBRE1iSXRxbjBXTVNVU3NHNXZRY1ZoQUU4OHEvVDlMenN6TWFuQTlyQ0hJZG1VR1krV0ptcnRkRHExVXBkWG05ZlkweEh3WHduaUdhYjNnT3VsS3BkRU1tay9uZllRTWVIeVVBdjhMQTU0R1dzQ3pLek5zUjBjUGwxVEtOTWFjQjJKbVpsMVhQZHdrZ0lLSXpBZHpsT003TkN4Y3VYRks5TUkzVytqaG12b1dJb28wazU4cDgzMzlqd1lJRis4K2JOKzhPSWpyVWNaemZ1cTU3cE8vN2o0N3ByTVZHSVpQSldLMzEzd0UwRTFFdkFCRFJ6Z0NLekZ3NUQvVjFBSm9BWEZNOVpOcjMvZWUxMXRjVDBSZWkwZWhTRE55NHErUm9yYThsb2xNYlRjNlZaYlBaNVZycjNaajVFU0o2Ynl3Vys0UHJ1Z2Y2dmw5dkxzc0pwYlgrQWhHOXU3cTh2SWdMRVYxb2pQbFVqVjN2cURjOVVTMUJFUHh5L3Z6NXVxV2xaVUU0VCtZK0FFNW5aZy8vbWY1REVkR3hSSFFRTXg5bmpEblY4N3o3UjNGYVFnZ3g3bVpzZ3M3My9mOUtwVksvR3VuZHp2QXV5OWQyMm1tbjY4cHpKV2l0ZndxQXJiVmZuNGhZSzFscmYrUzZyZ0xRUHRISk9RQlFTajBZQk1Fbmd5QzQzUGY5ZTh2bDNkM2R2YTJ0cmE4d3N5WWlZdVkrQUk4R1FYQmFkUnZGWW5GdXNWaWs2dktKTUpIUHozRHphRFNxM2p3YVl1TmpyWDFDYTcyTHRYWTVLb1pWTmNMMy9kc0IvQ3lkVHNjQU1ETmZTVVNucjEyNzlpaE04TEJLei9PeXJ1dnVTMFNYbGtxbHF5YnlXQUN3YnQyNmpwYVdsbWVDSVBpajcvdFhZc1BuNm44QjdBZEE4Y0RLRzdrZ0NEN1QzZDNkVzluRzY2Ky9mdkNzV2JNbTVHOVdMcGZiNEZnVC9md3c4eDdXMmtFOWtVZENhMzBMRVowMGZFMnhzVXFuMDFzV0NvV2ZLcVYrNlRoT3dYRWN6dWZ6UWRnTGh0THA5QmJBd0Nxc3hXTHh0aUFJK3RQcDlKWWRIUjBiakFSZzVnODA4bHBwWkE0NnBkUURHSGpQVG9yVnExZC9xcnU3dXpkY29SVVk2S1dmU0tmVGM0R0JPUzBCZkJWQWY2bFVPck5XRzU3bjNXMk11UnZBNFMwdExROGtrOGtEczluc213Q2d0YjZJaUM0TnExN28rMzdkUkdjdFhWMWQrYTZ1cnFPMDFqOGlvbU9VVWc4YVkwNzBQTy9Idys4dE5uYXJWNi9ldWJ1N3U5Y1ljejBBNVBONXY3bTVlWnR3NVZCb3JZOG1va09aZVZXaFVLZzVoTFZRS0Z3WWo4Y1BCM0NZNjdwWCs3NS9KakF3dDNVa0Vya0R3TUhNdkM0SWdpT0htNDZtbXJYMjcrM3Q3WHRFbzlISEFMUXJwZjdvdXU1QlU3RVFFaEh0d3N5SDFkalVGRzUvTHpQWCtoeFZhMjdXbWxLcDFHSWkyZzNBUFJXTDJDVERuNVVkS0FKcjdjSEdtTThCK0NhQSs0d3grM2llTjZxNWY0VVFZanhOU3RKa1U1ZElKS0s1WEs2SXNmZUkyQmhSSXBGbzJ0VFBQNUZJUlB2NitxZzh1YThRRTZHdHJhMjVPakUxZzVTVGIrTTZuSFNhaVN4WXNDRFMxZFZWZ0t6OE9PTWxFb25aOFhoOExUTmZaYTM5VWpLWmJJOUVJcDBBVHZNOGI2a3hwdFljYUs5Nm5yZGxPcDNla3BsWDE5Z096L00yK0d5M2NPSENXRFFhYlJxUG1NTms5b2h1Um95VzY3cFhFTkhXNGNPM0U5R2V6UHdFZ0w4QkFCSDlObHlGZmtkbS9xcTE5dUo2YlMxWnNtUmVKQko1bkloU3pQeVF0ZllnWTh5SE1EQ3N0Y1RNbjdiV2ZxL1d2c2FZQXdBOGhJRWhja2ZYT1lUU1duK1BpSTVuNW1YVzJvTWg3L0ZOVnZoNldyL0FDeEh0aW9HRkJYN096T1hlZEk4QnVDa2NOYkcvdGJidWxBdXBWRW9ycFg1TlJKc0RPTmZ6dkN1MTFsY1IwWm5oKy95Z2VqZDF0TmJmSUtKem1ma1VhKzNTV25VV0xWcTBSWE56ODJORTVKYmJIL1hKajREV2VqbUFCVVBkM05aYWY1bUlMZ3VDWUMvZjkrdE9JMU8rdVcydGJhdDNESzMxdDRub05HYmV0MUFvL0JrQVlySFlrMFMwVTZGUTJEcnNUTENCV0N5MmlJajJ6dWZ6TjRSRmZkTjF2ajRoeE13d1kzdlFqYWNaZmlIbm1YRCtNK0VjeGRTYndjazVZTk5PekpVVnU3cTZac0o1aW5IQ3pIY0FLQzk2ZEJJUjdWSzEvVllNREFNRkVYMEV3S0FWQ3NNYlN4dmR6U1dsMUFITXZBTUFoTk5zQU1DdUFOSUF3TXd2WUdDbHpMOVpheSt0M2NxQXpzN08xN1hXSDJEbTY1ajVZZ0R3UE85K1k4d05BSDVsclIzcjhMYkFXbnVpMXZwWnBkUjNJTW01VFZva0VtbEd1T0k2QUREenJIRHUwL1dKV1daK0dJQkhSTXM4enh0eVB0Und1T3hCQUU1WXMyYk5VZ0RvNmVtNVpOYXNXVHN3ODltKzd6OC9sbmlmZSs2NVZ4Y3ZYcnhQTkJyOXBMWDI2ckcwTlowUjBhSGh6OGZpOFEwSHFzUmlzU0huZm83SDQrWDV1TDhMNE5RSkNWQUlJUm9nQ1RvaGhCQkNpT2xwaGJYMmx3QmdqTmtUd0FZSk9pTHlQYzhyYjIrdjE0Z3haaFdBSGNZU0NETi94VnI3dGJHME1SS2U1NlhLdjRkemRMNFB3Q2V0dFhkVTFqUEdYS0MxYnFSSDBGK3N0Y2RXSGVQencrMlV6K2QvRFdDYjV1Ym00VzZnQk1NdHVpVTJEZUdLdmJPQmdkWEptZmxWQVBGOFByOURMcGQ3cVZ6UGRkMkhBSHhGYS8ydDRkb01ndUNSVENiejZmTGpjQnFkV2tOQ04xQW9GTDRHNE5vMWE5YjhlNmg2NGRENEtVL09KUktKS0lCb1JWRVVBSWlvT1pGSXJPOXBsOHZsOGhqaGpidndoa1ZMUmRGaUlqcUFtWDhMb0tGcEpaajU5eU01cGhCQ2pEZEowQWtoaEJCQ1RFODd1NjU3R0FBdzgvWmhMNTFLeWZKMkRBeXhHODUzYTVUTkFuQUNnQmNBMU9wSjlrNE16Qk01SlpZc1dUSVB3RzRBd014YkcyUFNudWQxbExjejgwZUlLRlczZ2Y5NEJNQ0lWM2VQUkNMYk80NXpjcWxVV2c3Z0J5UGRYMnphZ2lEWWw0amlBQkNOUnRQdDdlM1BWSzdHR2k1U01pd2llaFVEcjlFUmlVYWpleERSM2x0dHRkVzkzZDNkdnh2cC9wTXRIbzlmRFdCUVlweUlsbFgyZXROYTF4MnlXeVdHc0lkdzlZSk94cGpiQUtCVUtwMmJ6V2IvUEphNGhSQmlza2lDVGdnaGhCQmlHZ3BYR3F6czlWVTlUT3RrcGRUSmpiYm5lZDZnb1Z1SlJPSXQ4WGo4QkFEUDF0b2VUblEvWlFrNngzR09CT0FBQUJGZENlQTFyWFhTV3JzYUFGYXZYdjJlbHBZV0p4NlBmd3pBMGlBSVR1L3I2N3Uxdkg4c0Z0dU9pRmFVNXdZYnFVZ2tzajJBc3dEY0MwblFpU3JoMFBMeTczYzFOVFU5Z1lHRU52dSsvMFlpa1pnREFQRjRmQ21BanhXTHhYU3hXRnkvMEVyNWRhdVVHdFhyazRqMklLS3pBSFFEbVBZSnVySWdDSzVSU3EycHNXa2hnSTgxMmc0UnpXYm10ZFhsYlcxdHpjeDhHQkVWSGNjNXlCaHo0RkR0bEVxbFpabE01cWxHanl1RUVCTkZFblJDQ0NHRUVOTUxNL01LQU44dkZBby9BWUJvTkhxd1VtcXg2N3B1cVZRQ0VkM0t6UGYzOWZYOUdRRGk4ZmdubVBrVFV4cjFCQ0Npa3dIMEFKaEZSTmNCT0JQQXJRQU9BZjR6ZDZmV2VuTWlBaEc5bk12bDFwWDNUNlZTUmNkeEFHQW16L0VwSmtEWXUvTkloSzlQQUZjUjBmbGE2elBLYzcyVlg0dGE2eTJJQ01WaThjWEsxNmN4cGp4ZjRZeDZmUVpCY0xYdis5M1Y1ZUdpTEEwbjZKaDVOaEVOV2pDbnRiWDFNQ0thRFFCRWRORnc3VGlPc3hxQUpPaUVFRk5PRW5SQ0NDR0VFTk5MeVZwYlBhZmNMUUJnakhrRHdPODl6enU0YXZ1VjRiOWFOaHZuK0NaRk1wbmNsWWplemN4M0VOSFJ6T3dSMGZWRTlFWFhkVC9sKy80dEZkVVRBRUJFWFpWdEJFRVFDeE4wUGJXT1lZeTVrWmwzR2lLTStXRzc3OVZhMTExbEVnQ0t4ZUpwbloyZG5ZMmNtOWo0UlNLUlR3Tm9ZdWE3aWVnb0FOY0QyQi9BNWNsazhwRnNOcnU4WEplSUVnQjZjN25jSzVWdE1IT01pTURNZzE2ZmJXMXR6YTJ0clE4TkZRTVJ2U1A4OVZTdGRkMDU2NGlvNUhuZVBvMmYzZlMzY09IQ0dJRE5tTG02Sng0Qk9KZVpBd0QvSktKMS9mMzk3eW1WU2h1c2pLMlUycXlwcWVsUFJMUjFYMS9mZlpNVnR4QkNERVVTZE5OWUtwVjZxK000VndSQnNNejMvZHVuT3A2Um11ajRYZGM5bjRoMjZPM3RQZmU1NTU0YmNuVW1JV2FxQlFzV3hPZlBuMzhlZ00wOXp6dDlxdU1acVltTzN4aHpCRE1meE16ZjgzMy9qK1BkdmhDam9iWCtLc0llWXRXWWVRNFJ2VTlyN2RmYVRrUi84enp2OE1vaUFGc0NHL1RXcVdYL1liWlBPc2R4TG1ibTE0am9RUUJIQXdBUlhSd0V3YkZLcVQwUkppM0Q4bDJabWRldVhadXJiRU1wMVJ6K1dqTkJCeUJOUk9rR3d0bUNpTjQvVkFXbDFOd0cyaEdiZ0dReXVSbUFzNWo1WVNKNkdRQUtoVUlRalVhL1FFUlBSQ0tSM1FFc0J3YUdrUVBZRGtBSGdLQ3lIU0txKy9wc2FXbHhobnZOVmRpQmlJWmFDS2JVWUR1VGdvaG1WUzRLVVJZRVFWd3AxVkFiYytiTVdVUURFM051c01xdDF2ckljRjdLbnpIejdRRHVqVVFpcDNkMmRsNWNWZTk2SXRxZW1iKzBmUG55ZjR6K2JJUVFZdnhJZ200YUk2SW1BSWNvcFE1eFhmZnBzUzZ6UHRrbU9uNmwxS0VBZG8zSDQxL0Q0SGw1aEJBQXR0aGlpeEl6ZndpQTBWby9XYjBDNG5RMzBmRXo4N3VKNktSdzVUWkowSWxKUjBSZjBGcC9sb2hVUmRsckdKaFRhajFtVGhGUlcvaXdoWWhTelB3WUVSV3E2cjFVK1RpWlRMNFZRSVNaWHlTaVg0dzBQbWJla1lpR25MOXBJcml1dXljUkhSZ0V3WlVBOHVVRk1qbzZPdjZkU3FYMnltUXk2eE54eVdSeUp3QTdBWGhxMWFwVkcvU21LU2ZvYXZWUUFvQjhQcjliVDA5UDNZekEvUG56UHdEZ1BtYSsvL1hYWC85SXZYb0EwTlhWVlJocXU5aDBSQ0tSc3dHME12UDFBRDVZTHZkOS93OUxsaXh4SzN0U3h1UHhRd0VnQ0lML3FkRlUzUVJkTHBkYnQyREJndWJxOGtyejU4Ky9ETUNYZ2lBNCs0MDMzcmgraUhpblcvSjlaZGl6ZFN3U0FNRE02NS9yY0pYWVM1bVppZWh5YTIxV2E3Mk1pTTUzWGZjcDMvY2ZCQUJqekRrQWptZm1YNVdISXdzaHhIUWdDYm9wMU5iVzF0elMwbEwzcjFOZlg5Ky80dkg0QlFDK281VDZlaUtST0hHbzlwcWJtNE9Pam81NmQ0akgzY1lldnhDYmd2RERhTFRlOXQ3ZVhrU2owYzhTMGUrSjZJckZpeGMvd3N4OVE3V1p5K1hlQkRBcEgrWTM5dmlGR0N0bXpnRjRrcG5MajVmN3Z2OGJBTmVXNnhoanppQ2lBNWo1VVFDN0VkRmZBV3hMUk9yTk45ODhadVhLbFlNbVNTOXpIR2QvQUNDaUIwZlRDOVVZOC84QXZGYjVKYmhDeEhYZGR0LzNhL2JtRzYxRUloRWxvaHNBOURxT2MyMFFCTHRYYnM5a01pc3FIenVPODNrQUlLSmZWcmZGekp1RmM5TzlXZXRZdVZ4dXlPdkovUG56eThQaWdxNnVydnhJemtOc21vd3hDNW41UENLeTF0cGZHV00rV0xtOXhqRG56NFUvQjcwKzhaL2g1elZmbjhPOTV1Yk5tMWNpSWlpbGlpTjlmYWJUNlcyS3hhTEtaREwvTjVMOXhzTjRMQkpCUkxzQ0d5Ym9ZckhZNVVTVVlPWmJQTS9MQWtDcFZEckJjWnpmRWRGZHhwaWpBYndMd0FVQWJFOVB6MGNnbnhlRUVOT0lKT2ltVUd0cjY5TkV0TGpCNmgrT3grTWZIcW9DTTY4RXNHanNrVFZtWTQ5ZmlFMUJQQjYvR3NEbkc2eStYU3dXRzdhM2FTS1IyQ2FYeTcwMFhMM3hzTEhITDhRNGVNeGErNlZhRzF6WFhhQ1V1aEhBZnN4OFI2RlFPRDRlajc4QzRJVWdDRTVSU2oyeTJXYWIyVlFxOWNsTUp2UDdPdTBmQlFETS9PdlJCT2Q1M3BNQW5xeTFUV3Q5RzRBanROYWZzOWJlV3F2T0tFV0phRnRtdnRienZIOXFyZXRXZEYzM25VUjBNak92S3hhTHQxUnZaK2J5TUxwMTFkdUVHS1Z0aUNoV0twWE93ekRKSGEzMWNRQ1N6UHhIMy9lZnJ0NGVMbktBVXFrMHFhOVAxM1UzWitaZk80NHpONVZLSFRaWks1Z0dRZkFZRWVVZHg3bXNvNlBqMzlYYms4bmtUbzdqdkVSRWpTVDlqd0RRRXdUQkh3RWdsVXJ0aFlGRlpQN1YyOXQ3WHJsU05wdDlKWjFPZnlBSWdqOHc4NTFFUk16OGgyS3grS0doYm00SUljUlVrQVRkMU90bjVtK1BSME5FOU1yd3RjYmRkSWcvQmFDcnVqQ2RUczlsNXJ1WStWSnI3Uk5qaTA2SWFlL0h6UHp5ZURSVUtwVnEzc21mWUZNYXYxSXFWV2NUYWExdkNuczFYVGZHMElSWUw1Zkw5Yml1cTJ2OTdWdTBhTkVXOFhqOEhLWFVxY3djWWViVHk2OC9Zd3lBZ2FGMHFWUnFMNlhVQTBxcEo0d3g5d0Q0dXVkNUhlVjJ0TmI3aEQzdlhpNFVDbmVOOXprdzg4L0M2U1p1Y1YxM1I5LzNoMDFZTkNLWHk2M1RXbCtrbEJxVWNLdVVUcWRuQlVGd080QTRFWjNaMmRuNWVuVWRJdG95akxWV2J4MGhSc3p6dk45cHJjL0xaREtQREZVdkhIcDlYYmhZd1JkcjFTbS9QaU9SeUtTK1BuM2ZmME5yZlRjUm5lODR6bSswMXNkWmErK2NoT1BlQStDZWV0dXoyZXhLQURWdldGUnlYWGMzQUc4RDhJdHNOdnZta2lWTGxqaU84d3NlOEluS3VhblQ2ZlNzVXFuMEVTTGFMSnl6RGtTMHBlTTQrd0s0QzlOc2ZqNGh4TXdtQ2JvcHhzeDk1VHZuNlhSNm0xZGZmZlgxY2hkMXJmVzdpT2hqQUg0VzNzRUdBTGl1K3pFQU96dU9jL2xVRHdtZGlQaUhHenFieStWNlVmSEhsSWcrQytEZXlqcmhoL1lIaVdoM0lucDdJcEZJRERlTVJZaU5HVE5mWjYxOUpwMU96ODNuODg2S0ZTdGVBOWEvRjY0RzhKdksrZHRTcWRSaXBkUTUvZjM5WDU0T2t5T1BkL3pERFowRjBGZDVUV0RtNDl2YTJpN283dTd1cmF4a2pMa2F3S2NBOUdtdEg3WFc1cW9iRW1LVWd1cWhvVnJyQklEVEFIeWNpR2FIdlR4T3FiY3lhQ2FUZWFxOXZUM2QxTlIwSzREREFSeHVqTW4yOS9mdkdYNFp2U21zZXNsRS9BMzBmZitlTUFsNHYxTHFIR1BNdHA3bm5RQ2dPTmEycmJWRDN2eGJ0R2pSRmtFUTNFbEU3d0x3Z09kNXRSTG9wSlE2Q0FDVVVpc3JOeGhqcm1SbU0xd2N6THhGK0oxK042MzFZdzJHZjVhMU50TmdYYkVSc3RaZU1kUjIxM1ZkSXJxZmlPWUJPTWZ6dkdlcTZ5eGN1TENGbWZjQTBHZXQzZUJHc3pIbVlXWnVaSksyaFFEQXpLZG9yYXRYZHE0WCs3N2h6d3UwMWk4QStDNkFuMnV0VDdYVy9uY2piWXhBODNDckh6Zm9yYWlZYjFvcDliWHcxNStHdmU0ZUE3QUZnSzlZYXg4Q2dGUXFwUjNIT1RZSWdoT1ZVdk1CL0FYQThRQ1NBQzVVU3YzY0dQT1BJQWgrQk9CZTMvZWZnUXgzRlVKTU1VblFUU05CRVB4eS92ejV1cVdsWlVFMm0zMEZ3RDRBVG1kbUQvOFpYcUtJNkZnaU9vaVpqelBHbk9wNTN2MVRGL1YvakZmOFcyMjExZU1BZHExM0hHUE1oenpQZTZDaWFQOTBPcjFEUjBmSFg0Q0JaZGVaK1M0aTJoM0FDLzM5L2Z0SmNrN01GTXg4VGpRYVBWOXJmWmkxOXI3Ky92NGxrVWprTTh6Y0JHQjlnb3VJRGdGd1hEUWFQY29ZYzZubmVWZGpITDVVajlWNHhSK0x4YjVLUk9jT2NaeXJVSEdYbm9qbXRiYTJIdFBkM2YyOWNwa3g1bUlNWE1NS3pIeWs3L3VTbkJNVGJjdHcwWkl1WnI3TVd2dGpEUE9GTVV4UTcrZTY3ckZFZERHQXB6czdPOTh3eGp3QjRCM00vS2kxOXNhSkN0aGEreWRqek40QWZnM2c0MXJyNTYyMVg1Mm80d0VEdldlVVVuY0NlQXN6THl1VlNrY2pYQjFUYS8wUWdMZUZDMjIwQWxqRXpDK3VYcjE2Z3dRSk14c2kycWZSWXhKUkt3WSsxd3dyQ0lKNWpiWXJOajFhNjFNQVhFTkVNUUNYZXA3M1RXRGdCblJyYStzcUlucUptZGNTMFU0QXRnWndOd2IvL2QySGlCcGVSWUdJZGdTdzQwaGp0ZFl1MVZyM0FQZytFZDJndFY0eG5xTk9pRWd4ODd2RzJnNHp4OHEvcDFJcERXQXZBTmJ6dkh1VHlhUkxSSEVBM3lvVUNsY2FZMjVrNXYySjZPMWhESDhGY0VFK24vOSsrSDNnL25RNi9iMGdDTDVFUkNjcHBTNEVjS0V4NXQvTS9BMXI3VGZHR3E4UVFveVdKT2ltaVZRcXRaaUlkZ053VDVqY0FnYnU4QUJBdHFKcVlLMDkyQmp6T1FEZkJIQ2ZNV1lmei9OR05iZk1lQm5QK0puNUtkU1lLNGFJRWdDMkFkQmZWVTVCRUZ3QTRLU0ZDeGUyekprejUxNEFlNFpmY1BicTdPd2NOUHhWaUUxVUJNQUpBRjVadTNidHd3Q2dsRW9DQUROWHZnL2grLzUvcFZLcEp4M0grUUdBSzdUV3M2MjFGMDE2eEJzYXovaWZaK1phSytadEUxNUwrbXRzT3hmQUR3RUVXdXR2QWpnTEE2dEhIbWF0ZlhqTVp5ZkVNS3kxVDJpdGQ3SFdMc2NJaDEzNXZuODdnSitsMCtrWUFHYm1LNG5vOUxWcjF4NkZDZTRWNG5sZTFuWGRmWW5vMGxLcGROVkVIZ3NBMXExYjE5SFMwdkpNRUFSLzlIMy9TbXo0WFAwdmdQMEFLQjVZZVNNWEJNRm5xbnZIdnY3NjZ3ZlBtalZyUWo0SGh6Mzl4UXlsbEhvd0NJSlBCa0Z3dWUvNzYwZDRkSGQzOTdhMnRyN0N6RHFjQjYwUHdLTkJFSnhXM1VheFdKeGJMQlpwTXVLMTF2N0lkVjBGb0gyOHA0Umg1amV0dGJPSHJ6azBZOHdxWm80RFFDYVRzVnJyR3dIY0RpRElaclBla2lWTGRHZG41MThCd0hYZDU1VlNIMlhtMjRub05zL3pIa0dZd0MvcjZPajRKNEN6MnRyYXZyemxsbHNlUVVTSEFVajE5L2QvZjZ5eENpSEVXRXpLaFYvVXByVmVEbUNCdFhhMjF2cmJSSFFhTSs5YktCVCtEQUN4V094Skl0cXBVQ2hzWFd2VndsZ3N0b2lJOXM3bjh6ZUVSWDJUMlZOc3N1TVBqN2V3cDZlbmRlWEtsV3VOTVU4QzJKV1pYeUdpK1VFUXZKK0l2a3RFTG9ET1lyRjRVRGFiN1o2QVV4ZGkyakRHWEEvZzg4eThDeEZ0QitCT0FKZm04L2x2QVVBc0Z2c21FWDAyQ0lJUDl2WDFEZnJnM2RUVU5GY3BkVnBmWDkrVnpOeTNaczJhVXZVWDJVMHAvdkx4U3FYUy9wbE01aEd0OVRlSTZOendPcklWTTU4RVlFOGlPbzZaMzJEbXc4TVZOWVhZNkxTMXRUVlA1dnQ1bWlrbjM2YThaN0FRVlNpUlNEVGxjcmtpcWhKSG01SkVJaEh0Nit1alZhdFdGU2FnZVVMOUd3K1VUcWNqSFIwZHRXN0VDU0hFdENZOTZLWUpJam8wL1BsWVBCN2ZZTnR3cXhiRzQvSHlQQmpmQlhEcWhBUTRqSW1PUDVsTTdrUkVpNWw1V2ZXS1MwUjBGWUFyaU9oM1lWZjZ4OWF1WFh2a3FsV3JaRUpvTWFNdzg2SGhYRWtYeCtQeGl5dTNLYVVlckg1dlZvckZZdWVHUDFkMGQzZTNUMmlnZFV4Qy9NVE1od040SXhLSlBGNjE3VHZNL0JVQU40ZlhrYjhUMFlIVzJtZEhmVUpDVExFWm5Kd0RKREVucGkrZUNWT3ZUUEE1RHRVcm1DVTVKNFRZV0VtQ2JwcGc1bHNCdEZRVUxRNVhYdnN0Z0VFVHk5WnA0L2NURWx4ang1N1ErQjNIK1hENDY2QlY2UHI3KzM4WmlVU09KNklFTTkrcmxQcndxbFdyNUErem1IR1krUkVBcTh1UGlhZ0Z3TWtBL3NyTWR6Zll6RDhuSXJaR1RIVDhxVlJxZHlMYUZzQ1Bxeis4TTNNM0VYMHZYSFRtcjRWQ1lmZGNMdmZTeU05Q0NDR0VFRUlJSVVaT0VuUlRLd2FnQUFEVkV5b2JZMjREZ0ZLcGRHNDJtLzN6Rk1UV2lFbUpmK0hDaFRFQW53V1E3KzN0SGJRMHUrTTRBWURMQVB3VXdPTCsvdjRvYXM4dkpjUW1oNWxqUklSaXNWam83T3o4Q1lDZmxMZHByVThpb3BPWithYmhWcHliS3BNWnYxTHFEQUFJZ3VDbmRiYi9WeEFFSndKb2N4eW5GWUFrNklRUVFnZ2hoQkNUUWhKMFU0aUlaalB6MnVyeXRyYTJabVkraklpS2p1TWNaSXc1Y0toMlNxWFNza3dtODlURVJWcmJaTVUvZS9ic2s0am9yY3k4OUxubm5xczVYTlphK3pOanpNbEV0TGZqT044Q2NNcUlUMGlJamROc0FIQWNaOUI3a1lpT0RYOTlwekhta3FFYUtaVkt1VXdtOC9NSmlHODRreEovS3BWYURPQndabjdXOS8ySGF0WHA2T2g0d1Joek9ZQkxtcHFhZnB4SUpIYVpDY09RaEJCQ0NDR0VFRk5QRW5SVGlKbG5FOUhxNnZMVzF0YkRpR2cyQUJEUnNLc3FPbzZ6R3NDa0orZ21JLzZGQ3hmR2xGTG5BaWdwcGI0MVZEaEJFSnhFUkoxRTlGblhkWDhYcm1nbnhDYXQvRjdyNysvZllNN0ZaRExaeHN4N0VoR0k2S1RoMmxGSy9STEFwQ2ZvSml0K3gzRytBb0NDSUxnU1E4eGRRMFNYQjBGd0dCRzU4WGo4T3dBKzAraTVDQ0dFRUVJSUljUm9xYWtPWUtZS2gyMXV4c3pWQ3hrUWdIT1pPV0RtL3dPd3NyKy9mMzQrbjU5VCthK3ZyKzh0elB3M0FEMTlmWDMzYmFyeHo1a3o1MklBMndHNHM2T2o0eTlEeGVUN2ZoY3pud3NBUlBROTEzVjNHOU5KQ3JFUllPWXRtSm5qOGZnR1BkQWN4em1IaUJTQWZ3RElNN05iL1Q3TTUvTnptUGt1QUNDaW1zTStONFg0VTZuVWZnQSt5c3pkanVQOHBGNDlBT2pvNk9objVoTXdNRXorMDFycnM4Wjhra0lJSVlRUVFnZ3hERW5RVFpFNWMrWXNvZ0hQVjVacnJZOGtvaFFSL1FMQTV3RHNGSWxFVHMvbGN1c3EvelUxTlYxQlJOc3o4MFhMbHkvL3g2WVl2ekVtVFVSbkEranQ3KzgvdjVHNGZOLy9id0EvSjZLWVV1cGVyWFZxck9jcXhEUzNDTURmS3hjOVNLVlNid1h3YVFEL0NJSmdEMll1QXJndWw4dTlXZmsrakVhalJ4SFJFUUFlOER4djBBSXNtMEw4TysyMDB4ekhjVzRPSDU3ZHlNcHV2dS83UVJDY0hqNjhVbXY5aVRHZG9SQkNDQ0dFRUVJTVF4SjBVeWNCQU16Y3ViNGdrWWdDdUpTWkdjRGwxdHI3bUhrWkVaM3Z1dTRIeS9XTU1lY1EwZkhNL0N0cjdkV1RIL3BBdU1ERXhiOWd3WUk0Z0I5Z1lCajJKWjJkblg5dE1DNSs3YlhYam1mbVB3TFlFc0RqcVZUcTNhTTdSU0dtdDNRNnZRMFJ6UVBRV1ZtdWxMcVVpR0xNL0UzZjk3dUk2RElpZXIvVyt1dmxPcWxVYWk4aXVqNWN2ZlNFU1E4ZWt4UC9yRm16cmdHd0hUTS9aSzI5bzlIWWZOKy9nWm12RG52eC9jQVlJME5kaFJCQ0NDR0VFQk5HRW5SVGhJaDJCVFpNY01WaXNjdUpLQUhnVnMvenNnQlFLcFZPWU9hL0VkRmR4cGpEalRGZkIzQUZBTnZUMC9NUjFKbExLWjFPYnhQMlF0a1k0NmY1OCtmL0FFQTdNL3VlNTQwb0NkblYxWlZYU2gzS3pLdUlhSjVTNm45U3FkUkhSbnV1UWt4WHBWSnBWd0Fnb3ZYdlE5ZDFQMGhFSnpIenMwcXBwUURnZWQ1VnpId25FWjF2akxsU2EzMkk0L3gvOXU0OHpLMnk3Qi80OXo0bm1XU21wYlNsTFNJRlJobG9TV2VTODV5Z2lLS2dJcndxc3UrTGlDaWk0SXE4S01paXVPREdJZ3JvcStBTEtMSzUvQUJSQkVSRUZHSE9TZEoyYkhsSEtUS3l5RkpveTZ6SnVYOS81S1NtMDB3blU5cWtoM3cvMThYVnljbHpUdTZVM2svbTNIa1crOWNBeGtxbDBydDdlM3VmbStBbFlvN2pPRkdOM3hqejBmQmFMMk1qTm83eGZmOU1WZjI1aUFpQXE0d3hYd05nYjh4N0pTSWlJaUlpMmhBVzZKcm5VQUNEUVJBOENKUkhnd0Q0RElEbmhvYUdQbGRwVkNnVS9tMVoxcnNBL0Z0VmJ3Vnd0cXIrYVd4czdKM0xseTlmYjlkREFIQWNaNmFxM212YjlzT2JjZlRZWm92ZkdQTkZBRWNCV0FYZ09BREZxUWJYMjl2N1hLbFVlcnVxTGhXUjZiWnQzMmlNdVdqSzc1Sm9DMlpaMW1FQVVDcVY3Z2FBZERvOVQwU3VEcC8rYU5WMHp0TEl5TWl4cW5vM2dETUIvQkxBU2dEN0ZBcUZKUk5kM3hoem5ZZzhaSXlaZEpPR0xTMSt4M0hlSlNMZkFRQVJPZFgzL2NjM0lzUmc5ZXJWeHlMY2ZFSkVQbWVNdVh2Ky9QbnRHM0V0SWlJaUlpS2lDYkZBMXdUaDVnVTdBTGlqVUNpODNOUFQwMlBiOXMwQVZGWGZ2Mnpac3VjcmJiUFpiRWVwVkRvU3dMUndGQWRFWkk1dDIvdGlncEVjdVZ6dVJWWDlCWUR0Yk51K3p4aHpXRlRpZDExM053QmZBRkFDY0pUdiszMGJDS1VkNVJldHVhWlVvVkFZVU5XOUFQd1JRRkZWLzdoUmI1aG9DNVROWmpzQXZBL0EwL2w4L2c5ZFhWMHpiTnUrUTBUbXFlcEZ2dS8vb2FxNUpKUEpBMFJrQndBUUVWSFZwSWpzbjBxbHBrLzBHcXA2bzRpVVJPU0hqdU44SGVWTllMYjQrTFBaYk55eXJCK2hQRVgrcTU3blhiK0JVQ3JGdHByOVNIOS8vNGpuZWNlbzZuZkNRMzhaR0JnWW11cjdKU0lpSWlJaTJwQk5kck5GOVhOZDkxNEFiOWtUWHZFQUFDQUFTVVJCVkFkd2FMRlk3TE50Ky83d3B2UmMzL2UvREFDWlRNYll0bjJzcW41UVJHWUQrRHVBVHdOSUF6Z0g1WnZLSjRJZ3VCYkFyM0s1M0NNWU4xM1VHSE1xZ08rRkQwLzNmZi9LS01UdnV1NXBRUkRFY3JuY1paWFhkQnhuNXBvMWE0YjYrL3RId3ZmMlRoSDVqYW9HdnUrM0F3Z21pcmV6c3pNNWUvYnN2VDNQKysybWVQOUVXd0xYZGM4SGNJR3FmcWRVS3AxdDIvWmRJdkptQUhkNW52ZHVBRUYzZC9jTzhYajhDQUNuaXNndUtJOUtQVDhJZ24rSnlDVWlzajJBMVFCK0J1RG5xMWF0K24wbHh5cU1NWHVLeUcwQXRnRnd2ZWQ1SjJFalJyVTJPdjVNSnZOR3k3Sk84MzMvQXdqN2xtdzIyekUwTkdUMTlmV3RBUURIY1RwRjVQY2kwaGtFd1Y2NVhPNVBHNHJaR0hPZzcvdTNZWUtsQllpSWlJaUlpRFlXQzNRTkZoYXVQQUMrNTNtN3A5TnBKeGFML1I3QUQ0YUhoODlKSnBPWHErcitJckpUZU1vL0FIeGplSGo0bXI2K3ZsR2d2TDVjRUFTZkZaR1RBV3dkdG5zcEhIV3l6alRPY1BmQmEwVEVVdFc5ZmQrL1AwcnhWNzJQaTBUa0xBRERLTjhjVjBhOVhPOTUzZ212NUQwUlJWRE1kZDJuVlRVWkJNR0NJQWdHNC9INC9hcjZmS2xVZW04c0ZqdEZWZDhQSUJPT1hIMUpWYSswTE92YmxmWGE1cytmM3o1bnpweFRST1JUSXRJSkFLbzZLaUozZUo1M0dLcUtVSzdycGdIY0MyQWJWVDNmOS8wdlJTbitxdmZ4WHdEdUJEQ21xaU1pVWhsOTkvZFZxMVl0R2wrY0pDSWlJaUlpYWhRVzZKckFHSE1WZ0o5V2ltVTlQVDJ2cit4UzZqak9aeTNMK29LcTNpRWkxM21lZHhjbUdCMFczcUFlS2lJSEE4aU1qWTI5ZGNtU0pjK01iK2M0emdkRXBOdjMvYzlHTWY3d3VzZUt5UFdWYWJLcStpOFJ1U01JZ3JOeXVkeUxtK0o5RVVXSk1lWVlBRjIrNzE4SUFOM2QzZHRhbHJXbVVDaThuRTZuOXdnTDUzOE1ndUFHMjdadjZ1M3RIWnpnVW1LTWVZZUlIQmtXMXovb2VkNjk0eHM1anVPSXlCZExwZEt4aFVMaDVhakZINzdtYXdFOGdmSXNXVkhWRndEODFiS3NUL2YyOWk1N3BlK0ppSWlJaUlpSW9tVkRoVkhKWnJQeGhrV3ljYUllUDlHcnhZUzUyTlhWbFdoa0lCc3A2dkVURVJFUkVSRVJFUkVSRVJFUkVSRVJFUkVSRVJFUkVSRVJFZEhtMTluWm1lenM3RXcyT3c0aWlpNzJJMFN0aDNsUEZFM01YU0tpeHJLYUhRQkZ4OVpiYjMzTXJGbXpUbXAySEVRVVhleEhpRm9QODU0b21waTdSRVNOeFFJZDFjMnlyQ05VOWJobXgwRkUwY1YraEtqMU1PK0pvb201UzBUVVdDelFVVjE2ZW5wNkFLUkVaTmZ3WnlLaUtXRS9RdFI2bVBkRTBjVGNKU0pxUEJib3FDNldaZTBwSW5NQnpMQnQrMDNOam9lSW9vZjlDRkhyWWQ0VFJSTnpsNGlvOFZpZ28wbDFkblltUldSUFZXMEgwQWJnemFsVWFucXo0eUtpNkdBL1F0UjZtUGRFMGNUY0pTSnFqbGl6QTZBdDM2eFpzN1lTa2QwQlNIaW9KeGFMelFTd3BvbGhFVkdFc0I4aGFqM01lNkpvWXU0U0VUVUhSOURScEVxbDBnNEF1aXFQUldTUlpWbGRHemlGaUdnZDdFZUlXZy96bmlpYW1MdEVSTTNCQWgxTnlyS3M0d0VrVlJXcUNnQkpFVG15eVdFUlVZU3dIeUZxUGN4N29taGk3aElSTlFjTGREU1ptSWdjVStQNG9RRGlqUTZHaUNLSi9RaFI2MkhlRTBVVGM1ZUlxRWxZb0tNTk1zYThSMFJlRTM1N0JnQlFWWWpJdHNhWWc1b1lHaEZGQlBzUm90YkR2Q2VLSnVZdUVWSHpzRUJIRzZTcXgyM2c2UTgyTEJBaWlpejJJMFN0aDNsUEZFM01YU0tpNW1HQmppYVVTcVYyRkJGVCtRWk5SQ0JTM3N3cC9DYk5TYVZTT3pZelJpTGFzckVmSVdvOXpIdWlhR0x1RWhFMUZ3dDBOS0Y0UFA0MkVkbDJBMDIyVGlhVGV6WXNJQ0tLSFBZalJLMkhlVThVVGN4ZElxTG1Zb0dPSm1LTFNJK3FUcCtvZ2FvbVZkVUFpRFV3TGlLS0R2WWpSSzJIZVU4VVRjeGRJcUltWTRHT2FzcG1zOU10eTlwZFJDd0FhNGUzVi84c0lwYUl2S0c3dTN1YjVrUkpSRnN5OWlORXJZZDVUeFJOekYwaW91WmpnWTVxQ29KZ2UxVjk0MlR0VlBXTmxtVzlyaEV4RVZHMHNCOGhhajNNZTZKb1l1NFNFVFVmQzNSVWs2cStSMFNtVjIreFhxTU5SR1M2YmR2N05UQTBJb29JOWlORXJZZDVUeFJOekYwaW91WmpnWTVxc1VYa0k4QzZ1emRWRzNmOC9RRHN4b1ZIUkJIQWZvU285VER2aWFLSnVVdEV0QVZnZ1k3VzR6ak9IaUxTVlc5N0VkblpHTFBYNW95SmlLS0YvUWhSNjJIZUUwVVRjNWVJYU12QUhYaG9QYVZTNlc4aTRremxuTkhSMFNjMlZ6eEVGRDNzUjRoYUQvT2VLSnFZdTBSRVc0YjF4eThUMWVBNHpqNldaZDBRYnE5K1NDNlh1Ni9aTVJGUnRMQWZJV285ekh1aWFHTHVFaEUxSHFlNEVoRVJFUkVSRVJFUk5SR251RkpkUmtkSEg0bkg0L3VxcWhTTHhSWE5qb2VJb29mOUNGSHJZZDRUUlJOemw0aUlpSWlJaUlpSWlJaUlpSWlJaUlpSWlJaUlpQnFEbTBSUVhSWXNXUERham82T2Q2cXFQVFEwZE5meTVjdWZiSFpNUkJRdDdFZUlXZy96bmlpYW1MdEVSSTNITmVpb0x1M3Q3YnVLeURjQUpOdmIydzhCd0E5cElwb1M5aU5FcllkNVR4Uk56RjBpb3NaamdZN3E5YUtxUGlnaWJhcjZZck9ESWFKSVlqOUMxSHFZOTBUUnhOd2xJbW93RnVpb0xxT2pvMzJKUk9MVVlyRW94V0tSSDlKRU5HWHNSNGhhRC9PZUtKcVl1MFJFUkVSRVJFUkVSRVJFUkVSRVJFUkVSRVJFUk5RWTNNV1Y2bUtNMlIzQTEwUWtvYXFmOFgzL2tXYkhSRVRSd242RXFQVXc3NG1paWJsTFJOUjRYSU9PNnFLcTB5M0w2bGJWcEtwT2IzWThSQlE5N0VlSVdnL3puaWlhbUx0RVJJM0hBaDNWYTRXcWZndmxmek1ybWgwTUVVVVMreEdpMXNPOEo0b201aTRSRVJFUkVSRVJFUkVSRVJFUkVSRVJFUkVSRVJFMUFEZUpvTG80ampOVFJIWlRWUXZBMGx3dTkyS3pZeUtpYUdFL1F0UjZtUGRFMGNUY0pTSnFQS3ZaQVZCa3BFVGtLc3V5ZmdRZzFleGdpQ2lTMkk4UXRSN21QVkUwTVhlSmlCcU1CVHFxUy9qdFdTTGN5WW4vYm9ob3l0aVBFTFVlNWoxUk5ERjNpWWdhajd1NFVsMUVaRWtRQkI5VVZVdEVsalE3SGlLS0h2WWpSSzJIZVU4VVRjeGRJaUlpSWlJaUlpSWlJaUlpSWlJaUlpSWlJaUlpYWd6dTRrcDFjUnluVTBRT0F4QlQxUnR6dWR5S1pzZEVSTkhDZm9TbzlURHZpYUtKdVV0RTFIaGNnNDdxMVNraW4xWFZKSUNIQVBCRG1vaW1pdjBJVWV0aDNoTkZFM09YaUtqQldLQ2p1Z1JCTUN3aVQ0aElvbFFxRFRjN0hpS0tIdllqUksySGVVOFVUY3hkSWlJaUlpSWlJaUlpSWlJaUlpSWlJaUlpSWlJaWFneHVFa0gxaW5WMWRYVUFRSDkvL3lDQVlwUGpJYUxvWVQ5QzFIcVk5MFRSeE53bEltb3d1OWtCVURRNGpwTk9KQklYSjVQSkk3ZmRkdHVsVHovOTlOUE5qb21Jb29YOUNGSHJZZDRUUlJOemw0aW84YmhKQk5WcnBvaThPZHpKYVdhemd5R2lTR0kvUXRSNm1QZEUwY1RjSlNKcU1CYm9xQzVCRVBRRE9FOUVZdUhQUkVSVHduNkVxUFV3NzRtaWlibExSRVJFUkVSRVJFUkVSRVJFUkVSRVJFUkVSRVJFamNGZFhLa3VuWjJkeVJrelpzd0pna0RXckZuejdJb1ZLNGFiSFJNUlJRdjdFYUxXdzd3bmlpYm1MaEZSNDFuTkRvQ2lZZWJNbVcrS3hXSVB4K1B4d3N5Wk05L1U3SGlJS0hyWWp4QzFIdVk5VVRReGQ0bUlHbzhGT2lJaUlpSWlJaUlpSWlJaUlpSWlJaUlpSWlJaUlpSWlJaUlpSWlJaUlpSWlJaUlpSWlLaTFzRmRYS2t1aXhZdDZtcHJhenNCUUh4MGRQVHFwVXVYOWpjN0ppS0tGdllqUksySGVVOFVUY3hkSXFMR2l6VTdBSXFHZUR3K1gwUk9VZFZrUEI2L0N3QS9wSWxvU3RpUEVMVWU1ajFSTkRGM2lZZ2Fqd1U2cW91cVBoa0V3YlVBNHFyNlpMUGpJYUxvWVQ5QzFIcVk5MFRSeE53bElpSWlJaUlpSWlJaUlpSWlJaUlpSWlJaUlpSWlJaUlpSWlJaUlpSWlldFhqTHE1VUY4ZHg5ckVzNndaVlRhcnFJYmxjN3I1bXgwUkUwY0oraEtqMU1PK0pvb201UzBUVWVGYXpBeUFpSWlJaUlpSWlJbXBsM01XVjZqSTZPdnBJUEI3ZlYxV2xXQ3l1YUhZOFJCUTk3RWVJV2cvem5paWFtTHRFUkVSRVJFUkVSRVJFUkVSRVJFUkVSRVJFUkVUVUdOd2tndXF5WU1HQzEzWjBkTHhUVmUyaG9hRzdsaTlmL21Tell5S2lhR0UvUXRSNm1QZEUwY1RjSlNKcVBLNUJSM1ZwYjIvZlZVUytBU0RaM3Q1K0NBQitTQlBSbExBZklXbzl6SHVpYUdMdUVoRTFIZ3QwVks4WFZmVkJFV2xUMVJlYkhRd1JSUkw3RWFMV3c3d25paWJtTGhGUmc3RkFSM1VaSFIzdFN5UVNweGFMUlNrV2kveVFKcUlwWXo5QzFIcVk5MFRSeE53bElpSWlJaUlpSWlJaUlpSWlJaUlpSWlJaUlpS2l4dUF1cmxRWFk4enVBTDRtSWdsVi9ZenYrNDgwT3lZaWloYjJJMFN0aDNsUEZFM01YU0tpeHVNYWRGUVhWWjF1V1ZhM3FpWlZkWHF6NHlHaTZHRS9RdFI2bVBkRTBjVGNKU0pxUEJib3FGNHJWUFZiS1ArYldkSHNZSWdva3RpUEVMVWU1ajFSTkRGM2lZaUlpSWlJaUlpSWlJaUlpSWlJaUlpSWlJaUlxQUc0U1FUVnhYR2NtU0t5bTZwYUFKYm1jcmtYbXgwVEVVVUwreEdpMXNPOEo0b201aTRSVWVOWnpRNkFJaU1sSWxkWmx2VWpBS2xtQjBORWtjUitoS2oxTU8rSm9vbTVTMFRVWUN6UVVWM0NiODhTNFU1Ty9IZERSRlBHZm9TbzlURHZpYUtKdVV0RTFIamN4WlhxSWlKTGdpRDRvS3BhSXJLazJmRVFVZlN3SHlGcVBjeDdvbWhpN2hJUkVSRVJFUkVSRVJFUkVSRVJFUkVSRVJFUkVWRmpjQmRYcW92ak9KMGljaGlBbUtyZW1NdmxWalE3SmlLS0Z2WWpSSzJIZVU4VVRjeGRJcUxHNHhwMFZLOU9FZm1zcWlZQlBBU0FIOUpFTkZYc1I0aGFEL09lS0pxWXUwUkVEY1lDSGRVbENJSmhFWGxDUkJLbFVtbTQyZkVRVWZTd0h5RnFQY3g3b21oaTdoSVJFUkVSRVJFUkVSRVJFUkVSRVJFUkVSRVJFVkZqY0pNSXFsZXNxNnVyQXdENisvc0hBUlNiSEE4UlJRLzdFYUxXdzd3bmlpYm1MaEZSZzluTkRvQ2l3WEdjZENLUnVEaVpUQjY1N2JiYkxuMzY2YWVmYm5aTVJCUXQ3RWVJV2cvem5paWFtTHRFUkkzSFRTS29Yak5GNU0zaFRrNHpteDBNRVVVUyt4R2kxc084SjRvbTVpNFJVWU94UUVkMUNZS2dIOEI1SWhJTGZ5WWltaEwySTBTdGgzbFBGRTNNWFNJaUlpSWlJaUlpSWlJaUlpSWlJaUlpSWlJaUltb003dUpLZGVuczdFek9tREZqVGhBRXNtYk5tbWRYckZneDNPeVlpQ2hhMkk4UXRSN21QVkUwTVhlSmlCclBhbllBRkEwelo4NThVeXdXZXpnZWp4ZG16cHo1cG1iSFEwVFJ3MzZFcVBVdzc0bWlpYmxMUk5SNExOQVJFUkVSRVJFUkVSRVJFUkVSRVJFUkVSRVJFUkVSRVJFUkVSRVJFUkVSRVJFUkVSRVJFYlVPN3VKS2RWbTBhRkZYVzF2YkNRRGlvNk9qVnk5ZHVyUy8yVEVSVWJTd0h5RnFQY3g3b21oaTdoSVJOVjZzMlFGUU5NVGo4ZmtpY29xcUp1UHgrRjBBK0NGTlJGUENmb1NvOVREdmlhS0p1VXRFMUhnczBGRmRWUFhKSUFpdUJSQlgxU2ViSFE4UlJRLzdFYUxXdzd3bmlpYm1MaEVSRVJFUkVSRVJFUkVSRVJFUkVSRVJFUkVSRVJFUkVSRVJFUkVSRWRHckhuZHhwYm80anJPUFpWazNxR3BTVlEvSjVYTDNOVHNtSW9vVzlpTkVyWWQ1VHhSTnpGMGlvc2F6bWgwQUVSRVJFUkVSRVJGUksrTXVybFNYMGRIUlIrTHgrTDZxS3NWaWNVV3o0eUdpNkdFL1F0UjZtUGRFMGNUY0pTSWlJaUlpSWlJaUlpSWlJaUlpSWlJaUlpSWlvc2JnSmhGVWx3VUxGcnkybzZQam5hcHFEdzBOM2JWOCtmSW5teDBURVVVTCt4R2kxc084SjRvbTVpNFJVZU54RFRxcVMzdDcrNjRpOGcwQXlmYjI5a01BOEVPYWlLYUUvUWhSNjJIZUUwVVRjNWVJcVBFaVc2Qjc3YzdkTzdURll6czNPNDVXTVRnV2RDWGplTlFTaVErT0JWMmRDNTFtaDlReVJrWkdIbnZxc2I4OTN1dzRYaTIyZTkxdU95VVNpZGMxTzQ1V3hINWt5NkVhUFA3NDhzSmp6WTdqMVlLL2sweU1lVjhmZnRZM0IzTjNZc3pkK2pCM200ZjVTNi9VbHBpL2taemkydG5wZENLcDEwQ3dzTm14dEE2RnFGZ0FvS0pCUlAvcFJOVS9NU1JIclZpUjR3NWFyMUJucDlPSmRyMFJ3STdOanFVMXNSL1pVb2ppMmJHeDRxRURmMS9hMyt4WW9vNi9rMHlHZVY4bmZ0WTMyUFpkNmZueG1GekgzSjBJYzdkT3pOMG00R2N2YlNKYlhQNUdjd1JkRXAwUUxJUmlXeEc4ckpCaXMwTjY5Uk9vL09kbjJ2d0VHbE5GQjBTU1NLSVR3QmJUY1VSV0VwMkE3QXJWR1NJWVpOL1JhT3hIbWsxVWJRV21LVEF6RnJPN0FMQkE5MHJ4ZDVKSk1PODNoSi8xelJNSDVqTjNONFM1dXlITTNTYmpaeSs5QWx0eS9rYXpRQmNTd2NzYXlMa1E1Sm9kQzlHbXBpb09MRDBYZ05Yc1dGNTFCQzlxSUJleTc2QldFd1NhRWx2T2hXSm1zMk41dGVIdkpMUXgrRm5mZkNKNHVSVEloWmJncjgyT2hhS0R1YnRsNEdjdmJZd3RPWDhqWGFCVFNCR0MzSXBsdWZ1YUhRdlJwaGF1OVRFS0lObmtVRjZOUnRsM1VDdnE3RW9QdzVKaFFKc2R5cXNPZnllaGpjSFArdVpUU05GQ1VGaXhyTURjcGJveGQ3Y00vT3lsamJFbDUrOFdWekVrSWlJaUlpSWlJaUpxSlN6UUVSRVJFUkVSRVJFUk5SRUxkRVJFUkVSRVJFUkVSRTNFQWgwUkVSRVJFUkVSRVZFVHNVQkhSRVJFUkVSRVJFVFVSQ3pRRVJFUkVSRVJFUkVSTlJFTGRFUkVSRVJFUkVSRVJFM0VBaDBSRVJFUkVSRVJFVkVUc1VCSFJFUkVSRVJFUkVUVVJDelFFUkVSRVJFUkVSRVJOVkdzMlFGRW1URm1Kd0J6UzZYUzN3cUZ3c3ZOanVlVldMUm8wZXkydHJiWGwwcWxmeFlLaFg4M094NGlvaWpJWnJQeG9hR2hiVXFsMHN2TGx5OWZYYXZOL1BuejIrZk1tWlBJNVhKckFCUUJ4QnpIbWY3Y2M4K05EQXdNRERVMllpSWlJaUlpMmhKeEJOMHJjNjZJUEJ5THhYbzJ4OFdOTVFjYVl5NXlYZmUvTnVMY3ZZMHhtWHJiSnhLSjk0VHY1ZGlwdmxZOU9qczdrOGFZcjdtdSt4VUFzamxlWTJPNHJudU5NU2JYN0RqbzFhMnJxMnVHTWFiUGNaeVBUZFRHZGQwZkdHTitrczFtdDk1Y2NUaU84d0ZqekgwOVBUMmJwYytxQ1B1dVc3RUZmZ2xralBtVzY3cjlBT3hhejd1dWU3NHhaa1VxbFhwTlBkZFQxV3d5bVh4cTJyUnBGMDdVWnQ2OGVkKzBMR3VsNHpoN0FZRGpPSHRabHJWeTNyeDUzOXlvTjBGRVJFUkVSSzg2Vzl6TkUvMkhpT3dINERSVkJZRGYxSHRlZDNmM3RpSnltNnBhanVPY2xNdmxidDZVY2JtdXU3K3FmclRXYzVabG5kSGIyL3YzOGNkbno1NzlKUUJuQW5odTRjS0ZGeTlidHV6NVRSblR4bExWMTRsSWQvVXgxM1ZQQTdEbkZLN3hEOS8zejl2a3dkR3J4b3daTS9ZR3NKdUlGR3M5bjhsa2RsWFZrd0U4ME52Yis5TG1pc095ckU0QWUxdVd0ZG1LZ0FBZ0lzY0NPTlJ4bkF0eXVkd1hKbW9Yamo1TGJLclhIUndjTEs1WXNXSjRrdGhlQTJCblRQQkZnYXJPRUpHZDJ0dmIyNHd4N3dUd1JWVTlQcGZMcmRoVWNSSVJFUkVSRVkzSEFsME5qdU4wV3BiMTJjbmFxZXFlNFo5bnVLNzd6R1R0Z3lENFZpTnU4cFlzV2ZLTU1lWWtFYmtld0kydTYrN3FlZDVYakRIdkJ2Q0xDVTZyaktiOHBqSG1vZ25hM08vNy9uNWhVZXNnQU1PcVdnSUFFVWtDc0ZWMXZWRWt4cGc5QVh3R3dCaUFPUjBkSGY4RDROQlg4QlkzdDdjQ09LcmV4aUxTQzRBRk9wcVFxdTRySWdCd2I2M25iZHYrTnNvNU9HU00rZFpFMS9GOWYyMi81RGpPZXdDa2FyVXJsVW8vdHl4cmpvaThiVndjYnhZUjJMWjl0T000YjZwK1RrUjgzL2Z2cVR4MlhmY0FBUHRPOHRidTlqenY5dkVIUmVUMElBamVZVm5XV2NhWW4vcSszMWZyWkZYOVNES1p2SHlTMTZoYklwRzRaOFdLRld0ak5zWjhFT1AramxUVkZSRVlZNzRPUUt1T0w4bmxjajlHdVo5Q3FWU3lBSFNMeUp0RnhIZGQ5LzJlNTkyMnFXSWxJaUlpSWlLcXhnSmREWlpsdlFiQWFaTzFDMis0SVNLSDEzbmQ2d0UwWkJTRzcvdTNaaktaWjJ6YnZoM0FsMTNYM2E1WUxGNXVXZFpFTi8vZEluS1FxdjVlVmY5YXE0R0lQRmI5V0ZWUDhIMy9GZ0F3eGp3S1lNZkJ3Y0ZIcTlzNGp0T0pjbEhRQm5Da3FoNGhJa2U3cm51TzUzbGZlYVh2YzNOWXRXclZpVzF0YlIrYTZQbEVJdkUrRWJrY3dEYXEraGlBenpVdU9vcW85d0Q0aCtkNS8zQWN4MUhWWi9QNS9MOEF3SEdjZ3dFY0FHQzFxam9Bbk9vVFJjUUdNQ2Q4dUxaQVoxbldzUUNPcS9WaWxtVXRVOVZkQVZ3dzdscHQ0WThmRkpFZ1BDWUFPZ0I4RDhEYUFwMnE3aVVpbjl6UW0xTFZZUUMvU2FWU3llcmpRME5EdzhsazhqTUFkclFzNjErcFZHcDY1YmxZTEtiajEreFUxV2RFWkZQMGplTUxnZThPLzF0TFJDb2o5ajR5N3ZodEFINE1ZQVFBYk51MmUzdDdMelBHL0V0RXJsWFZYeGxqUHVuNy9pWXJLQklSRVJFUkVWV3dRRmVENTNsL1RhVlNXMDNXTHBGSWZGZEVUaXlWU3U4WUd4dDdlTEwyZlgxOWc1c213dnJrOC9rSGpERjdBN2hKVlg5YUtCU1dBNmc1M2N4MTNlTUJIQ1Fpdi9aOS85S3B2STdqT0x1SXlDNnFlbHYxSXVtTEZpMmFMU0ozaU1pMlFSQjhJNWZML1h6QmdnVy82K2pvY0VYa3k4YVlvdS83WDM5RmIzSXo2Ty92SDBGNGsxNXQwYUpGc3hPSnhHVUFqbGZWUUVRdUxaVktYNGo2QmlHMGVibXVtd1hRQmVEU1ZDclZZVm1XajNJeDdQUk1Kck85WlZrL0JBQlYvWHVwVk5wci9MOG5ZOHdQUmVSa1ZWMG5WMFpIUjg5b2EydXJMc0JsQWZ4RVZaOGFHeHQ3ZU1tU0piY0R1SGhjTEJjQU9MOVVLdTJYeitjZkFJQjBPajAvRm9zOU1UN3UxYXRYZjdXam8rTzdBR0RiOWdJUnVWdFZmMVVxbFU2dnRCa2NIRnpsdXU3UkFLNmI2UDJyNmxlU3lXVDE0eEVBNnhUMFJPUVd6L05PSDMvdVpCekgyU1dYeS8zZlJNLzd2bi9FK0dPdTYxNFA0RGpmOTJlaXZHSERPa1JrTkl5ekxiekdMZWwwK29sWUxQYVRzYkd4K3lydGpERVBoRDl1RmJZL3doaXp1NGo4dTFnc25tZmI5dHArVkZVWFZMN1FxYWFxQnhsakZvNTcvWnM4ei92Qmh0ODVFUkVSRVJHOTJyQkFWMXZRMTllM1pySkd4cGdpQU5pMlBaVFA1eWR0M3d5KzcrY0I3QVlnQUFEWGRjOVcxYlBIdDFQVm1JaEFWYjl1alBseXJXdFpscFhxN2UzOTUvampJdksrOE1kYktzZlM2ZlI4MjdaL0t5SXBBSGZsY3JtekFXRDU4dVdyalRIN0FiaGZSQzV5WFhlQmlKemUyOXZiME9MbFZMbXVlNmlxWGdGZ1d3QkxnaUE0T1ovUDF4eHBTRFRPVVFBUUJNSHZxZzltczlrT1ZiMVZWV2NEdUZwRVBoaUx4YTRIY0RpQUVnQzRybnNtZ0pNQi9OYjMvWFh5ZHNtU0pjOEFlQVlBakRHdkJmQnRFUmtKZ3VEQWVEeHVwOVBwZGRaV0JBQlZuU2Npc0N6cmRlbDAra1VBc0cxNzIvQzUyWlZ6Q29WQ1gzOS8veW9BcThJNEtvV3UzeFlLaFlIcWE3cXVXL214RUk0bzNhQktBYXlXenM3TzVLeFpzNjRLZ3VDSGxRTGlSSXd4R1JINXMrdTY5d3dQRHg5VFQ1OWRwMUVBQ0lKZzdkcDRoVUxoSVFBTHNXNUJiMzc0WndJQVJHUXJWWjBQd0JhUm1TTHl6c2xlU0VUbVYxMEhBS0NxM0xTR2lJaUlpS2dGc1VBM2dVd21zOGkyN1pvYklWUk1aUTI2VXFuMHRjcVV0czNOR0pNU2tSbWU1LzBsUEJSVVBmMFhWVjF2aEZ5NFVjSkJBUDR3MFJUWFVxbTBxdFp4RVhrdmdERlYvWDhBNExwdUdzRHRBSFpRMVR1ZmZmYlp3eEFXSEFEQTkvM0hzOW5zTzRJZytKMkluQlFFd1J1Tk1hZjV2ditIalhtL1UyV01XUTVnKy9CaE93RExHTE1tZkMvTFBjL0xWcldkRzA1blBRckFpS3FlWjFuV1JmbDhmcXdSc1ZMa3hWVDF1SEQwMURwRmFGWDlCb0E5QUZ6bysvNTVqdU04WlZuV09jYVlPMGRIUjQ5T0pCS2ZRM2xqbFFkRTVDaXNtOGRyelo4L3Z4M0Fyd0M4VmxXUHlPZnp2akhtcWxnczlwRmE3UUZBUks2TnhXTGpqeDBUaThXT0FZQlVLclZWZGNGTFZkOGpJZ2lDNEI1TTdIOTgzLy91QnA2ZjFLeFpzdzRBOEg3THNvNXhIT2NqNFpwdzY4bG1zMXVyNnEwbzUrOUw0NHR6WWNIeTBWcm5JaXlvR1dOZXJQV2txc2JESXVhRHhwaGFmK2ZYKzc1L3F1LzduUURndXU2YkFQd1p3TlcrNzM4cWJHTlZqOEpPSnBQZkJuQktqV3Y5WUhoNCtJeHh4eVlzWUJJUkVSRVIwYXNYQzNRVHNHMzdkWmhrSGJxcHJFRW5JajhFVUYyZ3MxT3BWUHNrcDhVcmYxYXY0VlJMWDEvZkVJQlNPcDJlSmlKM0F0amVHUE5WMy9lL2hLcFJINTduM1lzYUM5VnY3QlRYQlFzV2JBWGdyYXA2ZHk2WGU5RnhuSThCK0RiS1U5aCtPVEl5Y3RUQXdNQjZONXk5dmIxL1g3aHc0UnZhMjl0dkVaRjlBTnpudXU3dEw3Lzg4ckhWMDJRM0V3OUFaVXBmVmxXM0JsQXBacTRkSVpqSlpJNEU4RjBBYzFYMVFSSDVrT2Q1Zjl2TXNkR3JpT3U2aHdGNGJhM254c2JHem8zRll2LzJmZjlDQU1qbGNsOHd4cWlJZktHdHJlMXhBTk5WOWY4OSsreXpSdzhNREF4TjhCSXliOTY4L3dXd3U2cWU2L3YrcmVIeDd3RDRaWTMyeHdNNFRsVS9LeUpMdzJOekFGeW5xcmVKeUJYQTJ2NEVBTkRkM2IwRGdIY0E2TTNuOHhNVnZUWUozL2R2Y1J6bkJNdXlyaEdSYTF6WFRYbWVkeGFxTm5NQVlBVkJjSjJJN0t5cUQ2OWN1WEs5OVNKVmRURGNKR2M5NGE3WWNaVC92encrL25rUjJRWGw5M3N2Z0lIeHo2dnFuK3Q0Syt1TXduWmRkNktDL3RnbUhQbEhSRVJFUkVRUnhnTGRCRHpQKzNWblorY0dDMml6WjgrK0VzQUhWSFh2bFN0WGJuQzY0NG9WSzlaWjA4eDEzWGNEcUd0SFFCSDVUTGpnK29RY3h6a2tsOHY5c2xBb3ZKekpaTTYwTE90cUVUblhkZDIzcStwUlEwTkRJKzN0N2V2ZGpGYlVNOFUxak9VTjRRMHVBS0NqbzJNL2xHOTJiekhHdkZORXZoZGU3M0VSMlMrUlNMeGdqTmxRNkg4R2NFRTQ3WFoyQTRwejhIMy9tTXJQeHBqN1JHUXZ6L09xZDM2Y0MrQktFVGxNVmRjQStManYrOS9EdWtVQ29rbXA2c2RyclQwR0FJc1hMMTRKNEV1Vng1MmRuVWxWZlFuQWlJaE1COHE3STgrYk4yL3ZnWUdCMzZGcUZHcUZNZWFMQUk1UTFaLzV2cjgyYjhOZFU5ZmJPVFVjN1lVZ0NCNGF0d1lkUk9TZm51Zjladnc1YlcxdEp3T3dWUFhtY1Y4VWpQYjE5VzN5MFY2NVhPNG54cGhuUk9UbkFNNDB4cnh1NWNxVko2eFlzV0k0ZkE4WEEzaWZxajRKNE9ESzhYSFhlQkhBcVpYSHhwaXZpc2djRVRtenQ3ZjNKV1BNajBVa0ErRGpudWYxVjUvcnV1NGhLQmZvcnZaOS8rZWIrdjBSRVJFUkVSSFZ3Z0xkeElKYU4zN1ZaczJhVlJJUmlNam9aRzFyR0ZUVkNRdG1BQ0FpczFGZWdIeVZxcTdjVUZ0VlhUdDlMcC9QMzlUVDAvTzNlRHgrQjRDOUFOdzBiZHEwL1lJZzJPRDBzK3JDMjBSR1IwZGZpTWZqMVlkbWhySHU1bm5lMWNhWWkwVmt1YW9PWU4wcFhWYTRWdDN6cXJwMmJTbFZYZUw3L2hjem1jd3RBTnF3WlRoTVJBNExmNTRHNEZMWGRTY2RWVGcyTm1ZV0wxNjhlUE9HUmxIaE9NNCtJdklXQUVNb1Q4V2NxRjJuWlZrZlVOV1Bpc2c4QUg5VTFhOEJPQUhBVVNLeW56SG0zd0IrS3lLL0w1VktmODNuODB1ejJlek9xbnF1bGhQM1pkZDFxL1A3ZTBFUUxCQ1I0NnRmUzFWVDRmVE5DNDB4ejRlSEo0d3RsVXBOVjlXUGhmM2NSY2xrOHFLcWEzMGRtMmtIWTkvMzc4NWtNbnZidHYxckVUbDgxcXhaMnlXVHlZUGEyOXRQQlBCSmxOZkdlNC92KzA5T2RxMU1Kck9yaUh3V3dEOTZlM3ZYQUVDcFZMb3lGb3NkcWFwMzlmVDBaTU5pS2NMblhyUnRHNm82cy9vNjJXeDI2OTdlM3BjMk1mOHIwZ0FBSUFCSlJFRlU5RnJoLzVPanQ5UWRxb21JaUlpSWFNdkZBbDBOcnV0K0EwREhaTzJtc2daZDJHNmw3L3ZuQW11bm1uWk9Fc2QzQVp5bXFsZjZ2aitsRytIRml4Y3Z6bWF6ZTZqcU5aWmxuUlp1d3JCSmJxYXJSOFQ1dm4rMU1lWWtFZmwwVDAvUHRiN3ZWNituOU92S0Q1MmRuY25aczJjUGhRVzVnOGRmTTUvUEx4MS9ySWtlQjNBSEFJaUlDMkE3QUhjQkdBTUFWZDBYUUZGRTdnc2ZPeUt5UFFEdTVrcHJpY2lYVVI3MTlnT1VpMHJyY0YzM1V3Q09VdFU5QUFpQVA2bnFCM3pmdnhNQWpERjlwVkxwSE51MlR3Rnd0SWljQU9BRXk3SnVBWERFMk5oWWV6anlUVkRlU0tMYWJTS1NSRmhBcjFMWlBYVjZHQnRFSklFSkpCS0p6NGpJWEpRTDY3ZUU3V2NpM1BoaWM4cm44MzQ2blg2emJkdS9FWkczdExlMzV3QnNyNnFqUVJBY25NL244L1ZjeDdidGkxRWU1ZnQvanVOOHVuSmNWUjhFOEhyYnRrOTJIS2R5ckJBRXdWTmhnVzdiU3R0ME91MnE2aCtOTVdmNHZuL1ZCQzkxaUtwK0RNRHpydXZlQTZCNkY5Zk9DWFp4UGR4MTNkMnJIaGQ5Mzkrcm52ZEZSRVJFUkVTdkxpelExWFlLZ0swbmF6U1ZOZWhDL3dKdzdzYUhOVFc5dmIxUEFmaXY2bVBHbUpNQlhEYlZhNm5xZitkeXVTdHFQUlVFd1dkczIzNG9IbzkvRWNDaEd4ZnRsaU1za053SlFGelhYYUdxSzN6ZjN4OG9MOGcvYjk2ODFhcjZnT2Q1QndDQTY3bzNvVHpOa0FVNkFnQzRydHNGNEMwQXJnSFF2NEdtaXdCY3JhcFgrYjcvQ0FCa3M5bnRnaUM0SE1EN1lySFl1ejNQK3p5QXo2ZlRhZGV5clAxUi9yZUpRcUd3QlA5WnA3THl1cGNDT0cxc2JPekp4WXNYL3hiQXo4WTlmd0dBODRNZytIUmxpbXU0bSt5aFFSQXNyMjVyak5rcEhIa0dWUjN3ZmYvVXNQMUNWZDNzQlRvQUtCUUtqMld6MmJlbzZoOUZaR0Y0K0V2NWZQNzM5WndmcmlQNTNuQ1U0ZHRGNU8wQUlDSTJ5c1hLWVFBWFZOcGJsdlhqWXJGNFh2aHpaU01aMkxaOUJvQU9FWGwwM1BWM1ZkVlBoSjhGTzZycW93RE9ENHVZZTFUYVRUVE5XVVMyUlhsbjZNcmo5YVl4RXhFUkVSRlJhMkNCcm9aaXNiaDlzVmlzZlVjRklKRkk3QzhpUDBONXhOVFdxbnJ4eU1qSStSTzFIeDBkdGRyYTJvTDI5dmFhdXpBMldGeEVwcW5xYndCTU9tcE5SQllBT0VCRUpweCttcy9uLzJxTWVWaEUzcmR3NGNKdHBrMmJWaXlWU3V2OC9SV0x4Y29vblpqak9PTkg5UUJZdTI3VUZpT1R5YndGNVp2dVN5ckg1c3laWXdEWXFscW9IRlBWNmVHMFFTNzJUZ0FBei9QNlhkZnRGWkZ6VlBXd0NkcDhKNXZOL3NEenZFRUE2T25wbVdYYjlobEJFSHdLNWI3NTRtS3grRkNsZmFGUThGRGU0QVFBa0U2bkY4UmlzWStyNmhkOTMzOFdBRlMxQjRDMnRiWDl2YWVucDhleXJQRmZOT3dJQUpabDlXUXlHUUJBc1ZnRWdCVW83MjVxb2J4YnJBRDRFY3BUN0RkSVZhMXcvY3JOVWx3S2d1REFjT09HaXJNeW1jeURreFhwMHVtMGE5djJOZUhESjMzZm4xOTV6bkdjZ3kzTCtrVVFCTWZrY3JuMU50TXd4cndNNFBVQWtNMW1kMVRWSXdEOE1SejVETWR4WmxxV2RZMnFIaWdpVm5qYXplSDZscFcvaDdWOVlHVTBkSTB3ditkNTN1a2IvQXNnSWlJaUlxS1d3QUpkRFlWQ1ljS1JVSmxNWmk4UnVSYkEwTmpZMkZ2ajhmaVBBWHpFc3F4dkxGbXlaSjFwcnNhWW5RQmNrVWdrSHZkOS8yT2JPZXoxZEhkMzd4Q1B4eTlHZWJIek82dWZVOVViYzduY2p5ZTdoakhtYUJFNVlMSjJxdnA3RVhsRElwSElxdXBONHdzRGJXM2wrcDZJdkVWRWFxNm5sMHFsdHRxU2RqUzBiZnQwQUJDUm15dkhSS1F5SXZFUFZVMm5xYW9XQ29WQkVJVkdSMGZmdTJUSmttZGMxNTJvU2REYjJ6dm9PTTRiUk9Ua2NBcHJCNERiUmVSVHZiMjlmODlrTXRzYlkyNEFjSzd2Kyt0TTZiUnQyMFc1NkxNRVFHWGFaUStBdnQ3ZTNrRmp6SlhoR25qckVaRXJiTnRlNzNnbEIxT3AxRFFSU2FucTc4SWkvWVpVY24yVEY5Z2R4L204aUh3VlFDbWNQbnFnaVB5WFpWbDN1cTU3ak9kNXY2aDFYaXFWZW8xdDI3OEtONzk1UWtRNkhNZFpPN1ZlUlBhby9GbVozaG8rL2xOWTdQdy9FZGtWQUlJZ3VGeEU0cXI2eFVxNzRlRmh1Nk9qNDJBQUE2cjZTeEU1SGNDVHFMR1JCeEVSRVJFUlVUMVlvSnNDMTNVUFZkWC9SWGxreE1HTEZ5OWU3THJ1T1NKeVoxdGIyMlVBamdhQXJxNnV4SXdaTXo2aHF1ZUhvOVZlU0tmVGx4VUtoZVViZklGTkxCYUx2VTFFRGxmVk9NSnBjUlVpY3BVeFpvT2JSbFF1VTg5cldaYjFCQURZdGowTDVUVzMxbG5EVDFWdEVUbFZWWjhVa1pvMzFRQTIrWTZROVFyWHlQc1FnQzdQOHo2VnlXVDJRbmw5c0h0ODMvOXpWZFBEVkhWMHpabzExYU4zWnFBOG1wSzd2TkphNHd2Mk5ZZ3g1aTRSMlZkVlIxWDFsbEtwOUoxQ29mQVFBRGlPYzZ5SVhBNWdGb0MvQWxpblFEYzRPSGo3dEduVEJsRmVEKzZxVENaalJHU1dxdjRNQUVxbDBna29iM0t5bG0zYkh4T1JqNnJxKzB1bGtqOCtvTDYrdnNId3p6V080M3hvZEhUVVN5UVNmOW5nbXlodlpvT0pDdThieVRMR1hDSWluMURWVVFESCtiNS9TMWRYMTlVelpzeTRWVVRlQytCbVk4d3B2dTlmUGY3a1JDS3hxNGk4SmdpQ0Q0dkkwUUQydHl4cnZYNUhSRDVYUGYxVVZkOEY0RzRSV2FxcXh4cGpUaGFSQTFYMTU3N3YzMU5wdDJ6WnN1ZU5NWjlZdVhMbC84eWVQZHNCd0ZGdzlLcVZ6V1ozSGhzYlcxMG9GUDdkb0plTXVhNjdpK2Q1Zjl0VTEwdWxVc20rdnI0aHNJaE8xRENMRmkyYTNkYlc5dnBTcWZUUEJ2WWZSSkhWMWRVMW82MnRiYml2cjYrdWUrSnNOaHN2bFVyVGJOdCt1YmUzZDJ4engwZU53UUpkZld4anpIbXFlcTZJU0JBRUIrUnl1WHNCd1BPODM3aXVleU9Bb3h6SCtYTjRrL29sQUR1SnlITkJFSHhsYUdqb3U4dVhMMS9kNktCRjVLM2huL2ZWZVBvM0lwS2I3QnFxMmcyZzVoUzljYllPMjR2disvK2RUcWVueGVQeEdlRTZlSlVDMktrQS9xOHlwU3ViemNhM2hNNUVWYTNaczJjL0J1QTFBUDR5Zi83OGRzdXl2aHV1VzdWMll3M1hkZDhLSUtXcXQvYjM5NitxSEJlUnJWUjExZnBYSnRvZ1ZkVXpBUnc0TmpiMi9VcEJMNTFPNzJIYjlzVWk4bVpWWFNFaVIzaWVkMjlYVjFlaXY3OS9wSEx5OHVYTFZ4dGpiaENSazQweGJ3TndPQUFFUWZCTG9MeCsyL2dYZEYzMzMyR2J4OEkxN0NhVXkrVitEYXk3S2N3RWIySTdFVUVRQk05dnNHR2R1cnU3dDQzSDQ5ZUhoY3VYZ3lBNE5KL1Azd1VBL2YzOUk2bFU2dEJrTW5rcmdBTUEvTkJ4bksxeXVkdzY2MnI2dm4rL01XYjNYQzZYZDEzM2FGVjljbVJrWk8xSXdFUWljWUNJM0tDcXg0eU1qTnhlT1I3ZXdBUEFJeUp5SElBclZmWEpvYUdoNmgycEs2OXhPUURNbmoxN1U3eHRvcnFsVXFtMnZyNitBRUN4QVM4WEM0TGdWdHUyZHpQRzdEUHVDNnROTHAxT1Q0dkZZdmNEMk1WMTNiMDh6eXRNZXRJa2pERWZFcEVySGNjNXBOYVVkZ0J3WGZjdkFQYndQQytPeHZ5OVVndHpYZmNhVlRXKzd6dVR0NTRhWTB3S3dFOVJuajN6blRyYVB5Z2lLYy96YWk0L002N3QzZ0JlSEQraWZ5S0pST0k5QUs2THhXS2ZSdFhHU1VSUkZhNDdudlU4YitjNjJqNEg0SEhQODdKMVhudC9WYjBCNVZ6NVVqM25CRUZ3a0dWWk42dnFDUUN1ci9OMWJsUFZaM3pmLzFDdDV4M0grYkJsV1llVlNxWFA1L1A1OWI3TXI0Y3g1Z29ST1JiQVdaN25mWDlqcnRIS1dLQ2JoT3U2V1pSSGhLMmRweFlFd2ZpUkxLZTF0N2UvMGJLc1N3RkFWWjhKZ3VETUlBaXUzTkIwMlFaNEt3QUVRYkJlZ1U1VmYrbjdmbDFUWERGQmdVNUU5bkpkZDFoVnA2dnFSOE4xMkhJQUVJdkZMbERWMDF6WFBjcnp2TnRxWFBkQVZmMXVKcE01YUdPVC81VUlweDkvSE1EdUlpS3FtZ1R3WmN1eUxwczdkKzUxSXBKUjFlOVhGdTRIQUZVOUx4eHRNMzRYeDVraThtempvcWRYaTF3dWx3T1FBOG9mekFEK0c4QTdWUFZsVlQzdjJXZWYvZGJBd01DUU1lWnRJbktONHpnWDVYSzUvNm1jWHlxVnZobUx4VDRnSWhjRDJBbkEwL2w4L2g1anpMa0F6cXJ4a20wQVlOdjJYY2FZbW10aVdwYVY2dTN0L1dlOTcwRkU5Z1JRRElLZ3I5NXpKdUs2N2pzQS9BVEFhMVQxeVNBSURzbm44Myt0YnRQWDF6ZWFTcVVPU3lRU040dklnU0p5cVRGbWh1LzdGMWEzRzNjRG9ZT0RnMnR2dXR2YTJrcVZkZk9xaitNL28yRC9BZ0NxR2dOdzRySmx5NTRIQUdQTTNNcDZmeHQ0RDZlbzZzWGpEayswaHVjcHhwZ1BqRHUyeHZmOTEyem9OYWgxT1k0elUwUis0YnJ1dnozUE94YmpSb1QxOVBTOFBoNlAvM1N5NjZqcUYzemZ2M3V5ZHE3ci9qZUFqS3IrYm5NWDU0RHlFaVBoeUdJWHdHMkxGaTB5UzVjdWZhSGU4ek9aekY2V1paMnBxaWR1YWV2YUVsV282dXRFcEx2Nm1PdTZwd0hZY3dyWCtJZnYrK2ZWZUtvai9CMzJ0WFZlYWdicTJCaXZ1N3Q3V3hHNVRWVXR4M0ZPeXVWeU4wOTJ6cWFVeldhM1Z0VjdKbS81SDBFUVhKakw1WDYxdVdLaTFxT3FzMUcxdWRja2JaTW9yKzljbDhIQndVZmEyOXRGUkQ1dmpQbGYzL2NmMzlnNEp4S3VBLzl1QURkTjBDUW1JbWNEbUJVRXdZcU5mSTAzQURnVndQSWdDRzVNcFZMVE55N2E4b3llalQwM3lsaWdtNERqT0owaThqbFYvYkNJV0twNlhiaFJ3bnE3Rnk1YnR1ejVkRHA5b0czYmZ3aW5lOTI4WnMyYXk2dEh1elRhd29VTHR3R3dtNnF1ek9WeTYzMER2U21tdUtycUloSDVaR1dLbUtyZTRIbmVza3dtc3dqQUoxWDFSVlg5WTYxelJXU0dxczYzTE90dXgzSGVHUllxMXNwbXM5c1ZpMFVybjgvL3E0NFk2elovL3Z6MnNBQjNNTXFiUGJ3QTRHdXJWNisrdkwrL2Y3VXg1aklST1V4Vi96d3lNdktKeW5uR21BTkZaRjhBZjZseFU3TTFOcnhUSjFGTjJXeDJaMVU5SHNBSkFIWUdNQmdFd1NXMmJYK3p0N2YzcVhRNlBXM2V2SG1YcU9vblVkNXhkSjFkV3d1Rnd2SndBNEpQaG9mT1FubTl0bnNCREdGOSs0bkl1MURlT2JibUIrOUxMNzIwM2sydGlGaVZEOWl4c2JHT1dDeFdpWC9ySUFpNkFYaXY5TXNJMTNYZkVhNTVaNm5xZzVabEhlNzcvbE8xMnZiMTlZMW1zOW5EVmZWR0FJY0FPR1hod29WWFZBcHBOZUxmZnZiczJldjlmVmlXZFZQMUNMaFpzMllkTVRJeThodFYvWnFJUUVTZThEeXYrb2JnSm1OTTNQZjl2U1o2SDZxNkd1Vk5ONnFQYlZlWkNseWo3ZmozeUxVc2FVS2pvNlBKUkNLeEU0QjlqREZEdnUrZmhLcmxGVVNrQStVZGhJdXFXdXQza0hqNHU4eWN5VjRyTEpoWHZzVi9tekZtU3I4b1c1YTFmVzl2NzB0VE9RY0FmTjgveDNYZFBRQzh2YTJ0N1ZNQWFoVWhhckp0KzFRQUJ3TDRVemFiZmZkVXZtd2dhckszb3NZOXhrUkVwQmRUeUEzSGNYWVJrYXhsV1EvMzl2YitmYXJCTFZteTVCbGp6RWtpY2oyQUcxM1gzZFh6dks4WVk5NE5ZS0tsYXlxYktIM1RHSFBSQkczdXR5enJpQ0FJSnZ0OXZ4TkFWbFZYaXNnL0tnZFZkUWNSbWFlcVMwVmtPRHc4QytXTm51Ylc5KzZJTms0Mm05MU9WYytaNE9rMlZkMHUvRDE5UFVFUTlPVnl1U3NxajVjdFcvYTg2N3BmQS9CMWxEOTdUOXpVOFZxVzlYYVU3My92cmZXOE1lYVRJdEtwcW4yeFdPeWNpV2JSV0paMVphMStKSnlGZGpYS3k0RXR0Q3hyWlRLWjNPaDR0N1QxNlJ1RkJicHh3Z0xPbGVIMHBoaUFwNElnK0ZndWwvdWxNZWFxNnZXS0tyTFpiRWV4V0p4YkxCYjNpY2ZqdnhXUjAyZk1tTEd2NjdvWGVKNTNNOHE3SWpaVWUzdjdmdUhJc1BzbmVQMVhQTVZWUk81QU9Qb0h3SU8rNy84S2dHM2I5cFVvRnhJK045RTMySjduWFcrTW1TMGlsNG5JN3pLWnpENzVmSDRwVUs3dXErcTl0bTF2bmNsa0RoNC9ndWFWR0JnWUdKbzdkMjRYZ0RVQUxsbTlldlVsL2YzOXExS3AxSFJqekM5RTVDQUEvN1FzNjdESy9IOWp6RndSK2I2cUJpTHk2ZXJyZFhWMXpVRDUzOG1VYjBLbzlZUWZNbkdFT1ZrcWxRNndMT3NDVlIwQWNENkFLM081M0xPcFZLck5HUE1KQU9jQW1BZmc0V0t4ZU1JRTYxaGVqZjhVNkhxeTJleld2YjI5ZndMd3AvRU5YZGVkRHVCZHBWTHBaL2w4L29FcGhONlRUQ2JYbTZhdnFzZUhCYlg3cDNDdG1qelB1OWQxM2U4QTZCZ1pHZm40Wk90dmhOUGpqM1JkOXpJUnVXU2k0bHdZNXdzQVBsTDErQTJXWmYxM0VBVGZFSkdIcTQ0L2wwZ2tIaENSRE1xRnN4MWQxMzE3WmZkV0FMc0EyT0FJT3QvM2J3QndRL1d4aVhaeEZaRWJ1SXNyVFVWZlg5L1RydXZ1cDZvUGlzaUpZWkh1bzVYblk3R1lCUUNxZXBQdis4ZU5QOThZOHdVQUY0NC9QcDdqT0xzQXVCRkFaVGVaM3dCNGVyTHp3aThBWHErcUx3Tllid2tMWTh4NXFKcVJNQkZWVFlRMzJ4bGpUTTFwcVJWQkVIeXhNaExmODd3VGpURWxFWG0vcWo3UTA5T3p6N2pYLzNhNGh1VjRPd0dBNjdvMXAvNlhTcVhES3IrakVHME9xMWF0T3JHdHJhM21sRE1BU0NRUzd3dlhwZDFHVlI5RDFSSXM5YkFzYTM4QWx3ZEI4RkVBVXk3UUFZRHYrN2RtTXBsbmJOdStIY0NYWGRmZHJsZ3NYbTVaMXJjbU9LVmJSQTVTMWQrcmFzM2Y1VVhrc2JHeHNhSnQyM2RYSGR0ZlZZc0FhbzJZdTlmenZNTXJEMXpYdlJUQUowdWwwdEdWcFR2Q0RlNXVxSEV1MFNZMU5qYTJUU3dXVysvM3U0cnd5OW1hejF1VzlWc0FWMVFmS3hhTDM3TnRlNEdJckxOMGkrdTZiMUxWejlhNC92WUFvS3FmTU1ZY1BQNTUzL2NQcjM2c3F1OFZFUlNMeGQ5bU1wbGRWVlVxOXhiZDNkMDdpTWo1NFpkNzJ3QTR2a2JZYzBYRUNvTGdOdFRvUitiTm0zY3BnRzVWL2FHcXZ1SzE5OXZiMjVzMjJLbVpXS0FiWjJCZ1lHamV2SGtCZ0NGVi9XYXBWTHA0b3BFaDRWcFJKNnJxY1pabExjbm44Mi9wN3U0MjhYajh1dkNYMUo4Wlk3NE80R2RCRU56Ky9QUFA5dzRNREF5Rm8yYldyL1N0cnpMa2ZLYnJ1bDJUTlI0Ykd3c1dMMTc4RHdBUWtmZUVoMnZlT0crS0thNnFPdUQ3L3FYajJuOE41VzhCSC9COS81b05YZHYzL2UrNHJyc3RnTE50Mi81ZE5wdDlhMjl2Nzk5enVkeUxZYkhzODdadDMyZU1PY0gzL1Zzbmk3VmVxdnJoWXJIWXYzang0cldMMmllVHlUTUFIS1NxT1FEdjlUenZLYUM4NFFmSzN3eStSbFV2OFgxL25RWHpwMDJidGtONHpVbHZYR2pqaEI4WXIxdThlUEVyTGdKdElkWk9xY3psY3Q4eHhpenhmZjgrQUtXZW5wNVpZV0h1TXlLeWs2bytBK0IwMy9lL2p4cnJJb1VGNGh2RGg4c0FIQjhFd2Y3R21HdEY1QVlSS1ZTdjh4Z0V3YjlGWkNuS201cE14Zk9xZWt2MUFSSDVxNnBlQkVCRjVJZFR2TjU0OFZRcU5YMTRlUGpjOEhGYktwV2FhRnJvT29hSGg4OENnTW9Jdjc2K3Zsb2J0Z3o1dnI4MmZzZHhLbitYZi9aOWYrM052K3U2MTZNOG5lL2NVcW4wNjFnczFxdXE1d080ZDlHaVJiTkZaUHVwVHJHaExWT1UreFhQOC9vem1jeWh0bTNmS3lJZmNCem4rMVdqMEhjTS82dzUrclFlanVOMFdwWjFENEE1cXZwVEVUbFdSRjZ2cWgvZXdCUnZNY2FjbzZxdkF6QWFCTUdodnUrdk54cFVSTjRNWVA5Nll4R1JBeWRyWTl0MjliSVRKZC8zVHpMR3hBSHNPRG82K214bHhHOW9FRFYybkZiVjdjTXZZR3QrcVJpTHhiaTV4SmJEVHFmVGJ4Z2VIdTUvOU5GSG4ydDJNSnRLT090bXZadlJSWXNXelU0a0VwY0JPRDc4b3ZqU1VxbjBoYzI1aEU1M2QvY09iVzF0QndWQjhFSXVsMXRueW53K24zOGdYSXZ1SmxYOWFYaHovNFZhMTNGZDkzZ0FCNG5JcjhmZkw5U3d0cmhnakJrUWtUV2U1NjA5bHMxbUp4MzFTMXUrZERvOUQ4Q0NRcUZRYzRiVmxzaDEzUzRSaVFGQUVBUWRJaUxaYkhaaCtIUnhhR2hvcTFybkpSS0pwd0g4YzJSazVJMjFucThzc2VLNjd2bFlkN1RuRUlCVFhOY0ZnQ2M5ei91cXFzNFhrY05RL3FLc092Y3JtOEh0V0QxVFExVjN3TGhaTjlsc05oNEV3U0dxbWx1eVpNa1RydXMrRWs3RDdRWmd0N1cxL1JUQVZpS3lTbFhmNGZ2K09rdlhoUGw4SFlBSExNdDZjUHo3TWNhY0FlQVVWYjNPOS8wUDEzclBWQjhXNkdvUWtkT0RJRGlyeGkraVd3TkFMQmI3ZkxoZVZHV0J5Q0ZWZlFCWXUzUGpmcGxNNWtqTHNyNHNJcnNBT011MjdiUG16cDM3OE1EQXdKNWhSZGxHblVUa0k2Z2EvVEdSV0N6Mk1vRHBBQ3hWM1QvOFpmTVYzWHlJeUp2Q0gydE5sMXVINHpnSG96ekZibld4V0h3L3FtNlNaOHlZMFJWZWI3ajZITS96empIR2JDOGlKd1pCY0RLQXN3SEE5LzJ6alRIL0JQQTlsS2VWbmU3Ny9wV3Y1TDFVNUhLNWg4Y2ZFNUd2QmtFUUd4d2MvRVpsUTQvNTgrZTN6NWd4NHhjQTNxS3FmM3J1dWVmT0diZXhoZGkyL1RFQVVGVnZVOFJHNjJ0cmExdWtxamVFMDZ0K0VnVEJkY1ZpOGFtbFM1ZXVRdlFYODFiTHN1NTNYWGR2QUNlaHZORkRFdVVSbVJlTWpJeDhlNktoM2Rsc2RvNnEzZzVnb2FwK1Bad1c5amtST1JQQUdRRE9DSUpneEJqek53RFBvWHpqT1NRaUQxdVdkYm94QnVIb054dmxEL0UyQUVrUlNRWkJjSEl1bDZ0TTB4eFExVlcrNzU5YS9mcXU2MzQ2N04vdTJBUzdMWjZTVENiWDI0aGhZNlRUNlIwS2hjTEF1TU92clo2ZUp5STJBRmlXZFlNeFp1Mk5kemhsOW9oS01jOFk4M01ST2RSMTNiUEQ2YWdRa1hWK0tRbUNZQWZMc2hCKzIwOFJFZlYrSlovUFArQTR6a21xK24vNWZIN3RhSGhWZlZmNDJiOVJ5eTVrczltRlFSRGNDV0FIVlQzZjkvMHZHV1ArSmlJWEFuaklHSFBJK0FYaU01bk05clp0L3dqQS9xcjZZcml4eSs5cnZrQ29XQ3htaThYaW8rT1BKeElKRjhCekl5TWprMDVOVFNhVFZ3RlliNVFnZ01EMy9mZW4wK2xFUjBmSDdpS3lkb1NoNy92bkFqaDMvQWxWbTBUc2hRajgvMjlsbloyZDhWZ3NkdGEwYWRQMk04YjhTbFd2RDRMZ2tSZGVlR0gxd01EQXBMK3JSb25ydW9lcTZoVW9yM20xSkFpQ2t6ZmxySkpxNlhTNjI3YnRnOE1sWUxJQUlDSTFGNm9QKzREZEVNNEdDRDhqeng3ZlRsVmo0WHF2WHpmR2ZMbld0YWE2N2kxRjN1dHQyNzdXR0xPVmlGeXZxdGNQRFEwOVpsblc2bnAzTG0yQ3Y2anFOZ0JRdGF6VDM4SS9SL3I2K21yTzRReW5od1oxVE5Hc0xIT3pIbFZkQ3VDcmxjZEJFSHkwZXJNalk4emhJbkt6aUh6Vzg3enJ3Mk56QVF3QVdHY2FhNmxVZXBkbFdiTUIvS2hHckpjQTJBdkF6UUQyRjVIL1o0elpzMUlMQ1RkSy9COVZIUmdiR3p0OHlaSWw2NHlRRDlkZi9pYUFsMFRrV05kMWo1M2tQVTlJVmUvd2ZmK2dqVDMvMVlBRnVocDZlM3NITVc0ZG9JVUxGMjRUVG44RWdJK3Bxb3JJSDRNZ3VIYk5talUzVmUvcUNRRDVmUDRtQURlSE83SWNBMkR2VXFsMEFzb0xPdDhUM2hSdlVpSXlCQUN1Njc0UjVVcjhhdC8zNjk2QXdYWGRyS3IrUVVSV3ErcUlpQ1JRSGptbXF2clFaT2VYU3FWQ1BCNi9DOENOaFVMaE1kZDF2NitxN3dDd1VrUjJEWnV0dHg2ZTcvc2ZjaHpuOTdsYzduL0hIYi9LR0RNSTRCb1J1Y0lZczlUMy9jMHkyaUVzdXEzOXBUMjg0YmdGd0pzQUxMRXM2K0E1YytZa1ZIV1Y2N3JQcXVwcUVabUI4czZ2cTRJZzRGRDZ6VXhFNWdNNHk3S3NUN1cxdFJXTU1RK3A2aU1pOHJEdis0OGlZamRWcnVzZXI2cUhxT3ErS0MvU0RBQzlRUkI4UHdpQ24wNzI3WGdRQk5lS3lCNnErbFBmOTg4R0VIaWU5NVZzTm50SnFWUTZVa1RlRHVBTklyS3pxbWFrYW41KzlWVDk4ZFAyVmZXUnF1SWNhcTIzMXRQVDB4T09uaHNKZ21DOW05MTZCVUh3aEloczBoRnA4WGg4ZVB3eEVWa1ZCTUhhbXdQVjhRUHMxcmJMVmE4eGFWbldwMVgxblFDK0V0NWtCSlpsM2RuVDAvUDZXQ3oySU1xZkU5dUh6Vi94SmhuVWVGSHVWM0s1M0UrcUg3dXV1eHVBRHdNWXRpenJsbHJuaUVobGhFNGF3TStxbjh0a01uc0ZRZkQvUkdRV2dLLzZ2djhsQVBCOS84dXU2NDRBdUFqQVg4My9iKy9PdytTb3F2NkJmOCt0N3BsSlFpYUxTVkNKT08vTFFMQ1o2YTViTFlzb0NMSXBvQ3hSVUJSQk5rRTJ4UitnYklLQUw0S0FDQ2lMQkJDUVZRRlJRV1ZWRUJDNmJuVlBNaVE0U01ESWxvU1FUTWhzWGZmOC9xanFzZFBUczJhWlNYSSt6NU5uZXFwdlZkK1pURzJuN2oxSDY0c1hMMTU4V1NLUjRNbVRKNStrbERvUHdFUm1mb0dJRHN2bjg0TUdCNVBKNUtwQ29WQjUwK0pvclc4a29xMXFhMnMvTzFnUkM2MTFzVnJhRVFCd1hmZC9sRktYb214VWp0aTR4UGtXdjBKRWh4RFJLek5tekhoaHhvd1pMekx6OCszdDdmNW81b0d1Um11OUFQODlYNHdEb0VvUGpvaG9RWG1seHppMXl0V0ljdEoxTWZONVNxbEw4dmw4bjJuakFKQktwVDVZVzF0YitsdmZNdDZtcTdVdVBWajdYWlhWRWxycm5VdWpiaEtKUkV1OGZHbThMMi9QekwzblU2MTFpb2pxZmQ4dnpTUXBUNS96SERQM0dTRkhVU0dNQXdBODFkOFUxekFNVjFSYjNoOGlPckFpSDJaTjNQOS9sQlcva3Z2Yk1ZNklQb0FvUGNzSjQ4ZVBiMkhtRjEzWExaMTdXMUVsUmNKb1llYVQ0cEZtSUtKckFDU1krZmo0K3hBQVBNOTdoWmxYS3g1QlJCT1krV1BWOHJjUzBkRys3OThOQUdFWWZwcUlraFh2bjB4RXB4SFJTQUx5UnhOUmpiVjJ0WmxzU3FsU1ViTFZZaHh4a085a1JOUEhEL004YjA4QUR3RjRQcDFPZjBFcDlURUF2d0t3TEF6RHo4V0RrWHA1bm5jMmdJc0E1Sm41Nm5oV3pjM00zT2NoM0dDSTZBZWxoK2liTWptQURkSDgrZk9YeHRNdVB3UGd1akFNZjFVb0ZGNGRaRFgyZmY4UlJMbGJldm0rUCtUcEhTTzBuSmx2UW5UU0d2SzBqTTdPenBhNnVycVhtYm1VdzRZQnpHWG1XeXFMT0ZRVFQ2LzliTm1pMTRpb05EVzNrNWtmaVMrWUt4VXJnM01seHBoZnVhNnJBRFN0cStCY05ZN2o3QTFnSjJaK01RekQvUXFGd2hJQTBGci9DOERXUlBRaFJFbTRBeUk2cFZBb3ZMTysrcmFwS2d1cTFCTFI5b2lDVCszTXZOVHp2SGxoR043ZDA5Tnovd2FVVEhSTEFBZkZ3WUEvV0dzZkhNcCtWdWJIek54cWpEa2RaYU5WNHdjTXQ4VC9TbFFxbFJvZmhpR0ZZVWlUSmsyaTB1dWVuaDQxWWNJRXN0WlNUMCtQNnVucEdiUklRVWRIeDJ2MTlmWC9zdFpldlNaVm1PUHFhdXUwd2hvemh3RGVDNEtndnh3NS9jcmxjcTluTXBtOWxWTFhFOUZXQU02UG4vUTdXdXNwUkxRNU03L0x6QThvcFc1YjY1MFg2OXlHY2x6SlpyUEpucDZlMVM3K2xWSXJTM2xlNDZENXcwUTB6bHA3YVJBRVZhZitNYk5QVVFHVTczdWU5LytZMlFKWVlZeVpRVVFyNDV1TjcvaSt2OXJOdHUvN2w3bXVHeWlsYmdKd3dmVHAwNzhKQUVUMFlRRHRBTTQweGx5QlFRS2F6RHdYd0daRTFPYzRvN1UrSW42WU45OFlNK0FJdlBpelgyYm1aOEl3N0UxWG9iWCtNSUR6aU9ob1JEZFJMeEtSUVJTNEJCQUZNeElWODE0UjMrUnJyYmNJdzNDMTY2WmtNdmx1ZkZ3VlkweTgvenJ4MzgwMnpQd2xBSXZyNit2ZmRsMzNybUt4ZU5mY3VYUC9QYnE5N09VREtQVWx5OHlURUZjTUI5QTdnaXlUeVJ3QzRCb0Ewem5LTlhuTVlLUFVrOGxrSXhGVnpqTFpoNGoyQVFCcjdmeXlZUFllV3VzOUtFckZVMTY5OVVacjdiMUJFRHpoZWQ3aEFMWlhTblVBUURxZG5rQkVEd1BZUW10ZEN0NzM3dXR4bnRZK1NlZUhPY1YxcUY0RDhKZXk3M2NHMEl3b29GQTZGbXdGWU0rMTlIbGlIU2c3OTlZQXlCSlJGc0RYaUdpcDUza3ZoV0Y0ZDJkbjUzMmxXVTJqeVJoekZ4Q05NR2ZtQ2N6OGZoQUVxNldKWXVZSmlJS0tENVl0cTdhNVJpTDZKTXFtbjFZV1JHeHFhdHE4cHFibUdHWmVobWhtMnJBUTBkc0FubCtBaVVkV0FBQWdBRWxFUVZTeVpNbHZTOHN5bWN3V2lJcXFWZnY1ZnV0NTNqbGRYVjIvQUZEMGZmOFJ6L01PSXFKN0VvbkU4OHc4anBuYm1IbnZRcUhRcDhCY25PYXByYWVuWjU5a01ybEx2UGdlWTh3amxXMEg0M25lc0hKcmJxd2tRRGNNN2UzdEozUjJkdmFNOVNIMDhZbThhcUpaWTh4MUFLNnI5bDQ4dEhqUTVNMERiYU9pSHo5Q05DeFhJUW9nVkIrMk1vaktnK0Q2NFB2K3phN3JybHl5Wk1udnkvKy9qVEd6Z09obUtaZkxXUXdqQUNyV1RObXc4dktUM3NUNFg0UGpPUHM1anRQanV1NHRSSFFIZ05hMzMzNzcvVGZlZUtNREkvemJXeHQ4Mzc4RzBjWDJhb2pvc3U3dTdwc3FuMFFObFRIbUtRQlBEYkg1VUliWUQxbGJXOXVLcHFhbTNVYmE5L1hKR0ZNdElmeVF4ZE9KS3N0WWhjYVlXa1JWcWdiOTI0b0xRZlFXZ3dpQzRNbDRYVEhLTnBUalNoaUcyeVVTaWNwZytMVUFUdkk4N3lCRXVTaVRBSDRmQkVHZnFXWWx4cGpINGlwdCs4VTNGRUFjTkFpQ0lHaHNiTnlxY2tZQUFLUlNxUm9pR2hjL2xQcElISmdEQUREemZDSmFsVTZudHlvVUNpOWpnTitMTWFaUGt1dlM5aEZYcExUV2ZnOURPTGVXWFdNQUFGelgzWStJN2tVME9tbUp0ZmFzSUFodTBsb2ZWejdTcnE2dTdtbjBNNTJJaUJaV3h1N0NNRHdXd0pybTJSVHJRRHl5dWZKbWZ3c0FXeWlsdkpxYW1rczl6L3NETTk5aXJYMjJzN056eFlJRkM5N0hLQlJ2TThaOHBmUmFhLzBrRVgzSzkvMDl5NVpOQi9BTElwck56Q3NCbkd5TXVSWkRPTTRrRW9tV01BeDNCd0NsMUN3QTF6SHpuY3g4QTRCSlJQUVpacDRkQitlL0NQUk9uYnNPd0ZlSmFLYnYrNzFwSnF5MUNhVVVFS2UzS1JRSzcyY3ltZE9WVW5PSTZGelA4M1puNWtNN09qcTZ4bzBiOTFwLy9ScktGRmNBSUtMdGg1b3FnNWxOZWNxTnVFaEVjN0ZZdkxDOFNBUWtRRGVtOVhQdW5jRE1FNGhvUzhkeDlwa3dZY0ljMTNWdlorYmJsVksrVXVyOVhDNDNhdGYwelB6WlFacjh4eGh6NUVBTlhOYzlNZzdROWF1bXB1WTZSRE5yamhrZzcydS9mTisvR2NCcW8rZmlWQS85eFgyczcvc1hWeXhMSWtxUDg1RjRIeTRxcFhaUHBWTDNWdDVQR0dOdTBsci9idTdjdVl2THFyNGVvclYyaDl0M0FMVWpXR2VqSXdHNllhaDIwU3FHWkwxZkNLME5RUkRjMjk5NzVZbjMxd2VIN0phdTYrNDJlTXVOajdVMlRYRnlWbUQxazNwSjZUVVJKWlZTeHdJNGxwbGJOOTk4ODVicDA2ZlBKYUxIcmJYNUZXTW91MFg4TnpUbUExejkyUkNDYyt2QnFBVisxNGFFQ21mS2NTVXkxbzhyekx3WVVVQU9pRkpZSEZKNmI4V0tGWCtjT0hIaVkwVDB0Ty83bDJDUTRKWXg1bWNBZmxidHZiTHJITWZ6dk8wQTdNTE1ld1A0REJGdEZyKzNnSmx2UmpTQzVodWxrWWVKUkFLZTV5MW5aa05FTHdOb3M5YStvWlJhMHQzZEhReDB6S2lycXpzV1VTWFZwK09SdGNNV2h1SGY0MUdBYzNwNmVzNHRMd1JWTHM3cFZjb0hQQ2lsMUloSENROFBvOGJoUnRjZHlUM05wb09aYXdEMEZnd1lhTitOMzkrUGlQWnpIT2YxQ1JNbXRHaXRUUmlHejZ4Y3VmTFpNWFp4T3B1aUpQQkFsUGo5cDNId2FVQTlQVDA2bDh1MUFIZ1NBTFRXSytQZnlldEJFRHpwdXU3V1JGUmVDZmtXYSswRnBWUVdXdXY5QWN3czM2WlNxaFlBbUxsMzVHZytuNytudWJuNXBXUXkrUWRFdWFydW1UQmh3dDdXMmo0UElNdjFsMUtpWEhkMzk3dXU2eDRBWUVxOGFEd0F4M1hkSXdHQWlONEYwQ2NwL1ZoUzQrQ2ptK3I1ZEpoU1JOU2JzMjJRY3krVVVsOURWRTEwUGpPM2FLM25Gb3ZGSjhNdzlGZXQ1eDJZbVE4cDlUZVR5V3lSeitmZnd1cm5XMVVxV05hZjByN1ZINjMxeVloU005eHZqTG1wdWJsNVN2bTVUQ24xWmMvenlrOFNxZmpyd2VVRkphMjFRU2xYbmV1Nms0bm9SRVFCOTNIOWZYWTJtNTNFekljeTh5a0F0bVBtaFFDK3dzeE5SSFFxZ0RsMWRYWFhlcDczT0lCSG1mbDVwZFNMdVZ5dXAwb2djVFlSRGZ0ZW1hTUs3c05kYmFNakFUb2hOZ0FUYXB3dktEWHdFNWVOVlh3eFByNXkrUkF1eWxNQVVvN2p6R2JtRXh6SGViM1dDZjJ1VUpHTVhSSUNHRmVUM0U4cHRkUGdMVGMrYS8rNFFtcGRIbGZpS1RBbkFZRFcrdU5FMUJ1Z2EydHI2OUphZncvQU56elB1M3lvMjJUbSsrT1J1Smc1YythNDZkT25IMGxFMnpGekU2SWs4WnNCdmFPVVhrWTBkZWUzWlRtb0FPRHlkRHJkbEVnazlrVlVKR0lISXRvTndHNEFFSS9DV1FwZ082MzFQRVJCdUdycTRqN3RVQzFmenhCK2xtOEdRWEJITnB2ZE9wZkxMYTk0K3cxbWZvcVpsOFEvejA3TS9Ga2krbi9HbUg1SC82eHZ4RVIxU1RwY0tiWE40SzAzZVpNckY1VGYxUFZ6czc4bG90UVNuM01jWitua3laUGY2dWtwK3UvM2NNS09qUnZDMXdEOEFRQ0l5QVB3SVFCL1JweUxpNk44dFVVaWVqTCszaVdpTFRCSVZmWWdDRjdSV3A5QVJKc0RPSitabnkvUE0xdU50WFppdk8rdU5yVzdwYVdsSlp2Tjdzak1OeXVsVG95bmZxK1ZLV2xhNjR1SmFMdnlaVXFwbXdHQW1mT0lSOFFSa1ZNUkJFbkdiY2VWbG8vR1RYNWRFZ2NycGFwVzZ4U3JTV0tJKzIvRnVYZGJBTnNTMGNISlpQTDRSQ0x4YnlyYVlGVVBLMTRQLzlldTZ6WWd5a3UrbElqcUhjZDVRV3Y5cURIbUNNUVBhNG5vWTNWMWRTT2VraHVQQXI4Q1FMR3JxK3VZYkRZN3lWcjdYSndiOTZINGQzUm9QNnNmaExJcHJFcXBXd0E4RUw4K0hjQmtacjZjaUw1YjVYUDNWVXFkWUszZGk2TDg4Njh5ODdlNnVycHVhbTF0N2RaYWYxUXBkWm0xOWdnQWh4UFJmZ0QyQTdCbytmTGxqWlhiaXgwYXAva2FGcy96cWxaUzM5UklnRTZJRFFBUk9hVUVwWnVnQk5aZ09tQ2NVN0VPUUwyam5EcUVHL1NnSnlIV0dvcHlkTWx4WlFUNkhsZEdmU3pPMW9nU2JnOFpFUzFFUEUxKzBhSkZIVE5telBnaWdNOGd1dGw0aFptZkJmQmtzVmg4TXM0eFcxVThyV3d1Z0VzQnFPYm01dTBTaVlRbW9sbk12QTBSM1RsMzd0eTNQYzk3R1ZHK3V0WEVBVUVId0wrSWFLRHBQQjlETk8xbkFhS3ExT1hiZUE4QXFnVG5ZSXo1SFZaUGt2OHdFWDBKVWVxQnp3L3dlZXVkSWtwdXd2dmtjRGhyRW9BaG9scG1ybGRLalFPTmpXc0NZOHpEQUI0R1FKN25MV1RtaGNhWWZZQW9nRDVqeG94MlpuN2E5LzM5QWNEenZIc0FmSW1aQnd6UUlhcHFmSjNuZVNjTjBxNFhSVVhRUUVSOXRwM0w1ZDdFNnZtbW9iVStHc0JWUTkxK0NUT2ZFUVRCeitOdnY0WC9Gc3k2aFprNzRtbDVJS0x5L2ZyQWFrRVFwZFEvNnVwR2NkZXhTRERKdmp1WStINkdScnIvTWpNQnFDT2lla1ZVUzdSKzltQWkraWFBLzhRanIzZGk1amxLcWJNOXoxc1JwekVCTTc4TllMQlJyOW5TTlBOeVd1dGRpZWdleExHWlpETDVaV3Z0Z1VTMERUTmZTUlQ5bUJ3Vm50eUNpSDdDekR0M2RYVzFsRytucnE3dVNBQlhvNndvSXpNZkFlQ2Z6SHg3dFFDZFV1cHRadDRMd0dQVzJodUNJSGdJZ0cxb2FLalRXbDlJUkdjeTh3WEdtSXNCL014MTNRWWkraXd6THgyZ0dNL255MGYwRFVQTkNOYlo2RWlBVG9nTndNcXU0djBUYTlXd0wzNDJFanNRMGJtSVIzT1VWSnMyVWZFRXJwV0lXcXkxYzRub0NXdHRzS3BIYlEvQ3dldTh4MEpzQUZaMTl6eTRXVzF5eUNPdU5qSnIrN2l5N3pydjhRQ01NZmMzTmpaT21qaHg0a3RFRkJKUmMwZEhSNStwcmpVMU5Ra2lNa1RVWUsxOXB2dzlhKzNSaVBMdUdXdnRqeEZOS3pvNGtVaWdMSy9Na0JIUkZyN3Y5OTVZKzc3ZkowRzE2N3F1VXVvRlpuNHZETU5QOUZkd0tSNUpzQWhBbDFMcVU3bGNyazhSRE0venptRG1uUWZyVjN4ekdETHovMnF0SHhpc1BRQ0VZWGhPS2IvVnVzTEV2S3JiemhtZlZJTld3ZDJVTVhPTjR6am5JcHBtV2I2OGF2dXkvZmQxam9xVStNejg5K1hMbC8vZHFzMCtoaVR0aWpGMFA1VEpaRDRKWUV0bXZySzBiTnEwYVJxQXc4emxOOTJieFZNQTEzb0JHeUxTQUZBc0ZoY05jWlVrUlJVckh3RXdid2pibndWZ2Z5THF2Umt2THdTbnRlNGtvdmQ5My85OWFWazJtNTBHb0RTYTk2R3liZTJPS0gvMkxjeTh0SHo3USt6N1d0RVo0cDd4aWk5Ym41KzVJV0xtbEZMcVhBQWZyRmplcDIxRkVHOSt2UCsyQUhpeXM3UFRYMlZyUGc3Q1BpZ3J1TEF1ekp3NWN4d1JIUXZnTm1adUJvQWdDTTd4UEc4R2dCUEx6aU5MakRHWERMU3RPQWZkYWdFNnovTStqeWlQYkEyaW5MQWZVVXBkQ3dETWZJb3g1cm80cnlLWXVaMkluZ0tpMGVDdHJhM1BWbXhyZndEbzZla3BUeFh4TUJFOUdJWmhNUjRadXhyZjkzT3BWR3BhS2JkY05wdE5XbXVQSktMekFYeUVtWDhENFBaUyszZ0U3bUM1Nkw4MXlQdGlBR1BtaENTRTZGL0k2dlU0c2Z3bXgvTzhPbWJ1clJZMnlFbThoNW52Q3NQd1hxVlVpMUpxV1Q2Zlg0RjQrSG5EdHBMYlI0aVNvblVXeVhFbHNoRWNWOEsydHJZVld1czVBTTZ4MW42aHRiVzFUMlZoMTNXUEphSUdabjRvQ0lJWHl0K0xMN3BMZWFucTRodnVjNW01czd5ZFVtb0tnTE1BL00xYVd6NHlEUUJBUkljUzBjZkRNQnhzaUlRaW9oc0FKSWpvM0lHcW9ZZGhlTHBTYWpObXZyVmFjQzdXakVFU3d4T1JnM2c2TGFKQ0VmMU51VjFOSXBGWUQ0RnNRbmRJYlMvUDJ6VDN5YUZxYUdpb216cDFhdS9md0JDQzZuK3gxdDdKekgvdjdPeGMrdkxMTHk5RG5EZXFvVEc5SG5vOFBJN2puQVFBRkJVOFFmeTZOR0t0dkREVUJHYm1RcUd3VmlvTWE2MVBBVEFiVVk2cTdabDVjYkZZZkxteVhWTlQwMGVTeWVRVkFPYkVvLzU2TWZQZFF5bnNwclgrTWhFTks0QzJmUG55OXMwMjIrd2JBQmFXbjdmaVBIMWVzVmk4dkJSRVQ2ZlQvNk9VK2cyQVovclozRnJYSGVJMTJYY0hsMDZuTzRtb3MxbzZpWkx5L2RkYWV5K0FlNjIxTHlxbGxnVkJzQUp4YnZQMWRlNmRObTNhaVFBK1lLMjlsWWgrVWxydSsvNjN0TlovTnNZOEdqL0UrcERuZVlQbFpOeTJ5cktyRVJWSCtCcWlmWEJ6QUMvRTZSaitEUUJFTkEwQWxGSkxmZDhQUE05YndzeUhBZWdONURjM04vOHZNKzlGUk0rVmozcnY2ZWs1Wis3Y3VXK24wK21tL3ZyVjJ0cTZNaDRaZDdpMTluaUtDa0hOQlhDa01lYnhlRFRkMVFDTU1XYk9BRC9pKzh6OEdvQmplbnA2V2hLSnhKZUpxRnNwZGV2U3BVc0huV293ZGVyVW53MDFQK3pHVEFKMFFvZ05Ra1V1Q25BMERLS1RtZHVaZVFFejM5YlIwWEhYV0NqSnZnRXJYUldOalRrL1FxeGpHOXR4UlNsMUZUT2ZURVNYdXE3N1VCQUV2Vk5Cczluc2g2eTFQMmJtTG10dDFXcXFsWmo1bXZKdEFGRXVIcVhVV1FEOElBaCtVcm1PMXJvSndNY0gyN2JydWljVDBmYk0vRDRSUFRaQU8xY3BkUWFBanA2ZW5uUDdhK2Y3L3VFRGZWNDZuWjZaU0NRZUJPREYvODlQK3I1ZnRTcGZVMVBUNWtRMFlhQ3B2V0wwbGVXWEsrMjdSV1p1QjdETVdudGJWMWZYTFMrOTlOS1l5VE5ZS1E0MkhnT2cwZmY5YjJjeW1VOEJPSlNaSHpQR2xJK01tYzNNM1N0WHJueWliRms5b3Z4emErdDgvUjRSN1JxL1hrRkV4N2UydHZZcGdaTklKSFlsb2k4eWN4TFJsTnhlUkhTZDFuckFBRVZwTThQdFhEeVZidERnSHdBVUNvVlhBYnc2M004UTYwOC81OTR1QUN1WitaOEFibXR2Yjc5anRBczBaclBaOGN6OFBRRFBCVUVRVkl3bUx4cGo3aXY3ZmpJekQxakZGZFgvOW4vSHpINFFCSGRxcldjajJxY1BZdVovRU5GZG1VeG1UOFNGY2NJd2ZCZEFrWm52SmFJVDB1bjBqb1ZDNFhrQVNDYVQzd1dnckxWWGwyOThLRVhkdE5ibkV0RVBBU0RPMlhxS01lWUJBR0VtazluQmNaeGZJbm9JOWlkRSsySFZZRnNjdEc5b2FHaW9tekpseXArSWFGZG12cENaUHp4MTZ0VEJ1Z0VBbDFwck80YlNjR01tQWJvTmlOWTZCZURYaUo1YVZhM0FWdEgrNzBTVThuMi9UekxPMGFhMXZwR0kvdGYzL1QwR2FETWJ3TW5NZkhybGszNng2U2w3MnRiRnpBVWllb2FaamJVMmw4L25GeUNxS0xqUjh6enZZR2JlbDVubkJFRXc3S3BtV3VzOWpERlZiNFpkMTkxVEtYV3J0ZmFLYWpmZW14cXQ5VmVJNkFjQTd2SjkvL3p5OXp6UE81R1pkd2Z3aS81K24yTHMyOWlPSzdsY2Jvblcrb2RFZERrUjNZcW9HaHluVXFrYWErMWRSRFRGV250V1BwL3ZNekptRkt4aTVvWHhpTDU1bnVmOWtabC9hb3g1dE5RZ2s4bHNRVVFQSVpyQ2ROcmN1WFAvUFpJUHltUXl1enVPODJ0bW5zSE14eEZSR3NCSld1dXZHMk4rVldxWFRxZG5PSTV6QmhHZHdNd0dGZE1veGRnUzc3OGhNNy9DekM4UTBYUE03TGUzdCtjR3lJMDBKakN6bWpwMTZxdUlwdm85TjNQbXpIRktxV3M0aWx6MEZsN3dQRzhYQUNsbS9rMTVzSUtJSmpMeldndGV0TGUzM3oxKy9QakhIY2V4eHBpM0FMRG5lVGN6OHozbEkrV0lhSmY0YTdYUllvOFFVVERZWjNHVWQzTDJZTzNLZVo1M2FIek9yYlF6QUNRU2lYTzExcFdWbTVjWlk3NC9uTThSNjBmWnViY2J3Tng0MzgzRmdhcDVpSXVqakxaY0x0ZXB0UzR5ODQrSDBQd2xZMHkvbzlTQTNpbXVONWN2Vzd4NDhabUxGaTFhTFNobGpGbWN5V1FPVmtwZGJhMmRWemF5OXAzNDYzWE1mTHpqT0pjQTJEMmRUczhDY0J5QStVRVEzRE9jbnhFQXdqQzh3bkdjeVdFWTNsdzJFbldtNHpnWEF6aWNvNHJPcHhoanJnR2lhYkM1WEs3cS81SHJ1cFBqRWF5N3huMDlGMEMvRDljcUthV2VRbHhvYWxNbEFib055M2dpeWpEemg0Zll2aDdBcEtFMDlEenZUNGltZTZ3VnpMeklHTE1iQU9XNjdxNVZtbVNZZWN0cUpjbURJSGdLQUJQUlZ3RjhVaWsxMUJ3WVl1UDJKalBmQytDdU1Bei92V3JWcXNWai9RSjhYZUNvU3VMUnpQdzBnR0VGNkxUVzV4SFJCVnJyWHhoalRrRkY4RUVwZFRTQUR4SFJ1MnV4eSt0TElwN3FNbXpkM2QwWDl2T0U4ZXNBWmpIenhNbzNtSGw3SXBwdHJSMTJsU294cG16d3g1VjRaTnd4eHBnTEFjQVk4MVBQOC9Zbm9pOW9yYTlhdG16WkdiVzF0WGZFbzJOK0h3VEJnRGx5eWhIUjRhN3JkbFFzK3dBQU1QTjJydXNlVTJXMXJZZXk3U0FJYmdRd3gvTzhMd0w0ZndEMkk2TDlQTStieTh3L3RkYjZTcW5mRXRGTVpyNnRkR013SE50dHQ5M1UydHJhbndENEJqTy9SMFFIR0dOK1AydldySW5qeDQvZkI4QU5tVXptTGFXVUlhTFRBWndJWUR3enJ5U2llWTJOamZXalBZSkQ5S3VEbVIrMjF0N0R6UDlZdFdyVjBySCtmNlcxL2lpQWt3RjhuSWlJbzRJZ0Z5bWxycG8rZmZwdDhUWCs5Y2FZRjB2ck1QTjVjVENqTXVmVFpCcTRxQXJTNmZTT2p1TjhsWWplQWpEZzd5WSs3dlZlYnpjMU5XME80RWhFMVJwbmxEWGRCUUNzdFgwQ2RNejhnREZtU0ZOY01Zd0EzYXhac3lZQzJJV2lSUDM5T2FRaVp4bVkrVDhBSkVBM0JqSHpNbWErMTFwN3Q3WDJuKys5OTk2U3lpRFZHR0VCbkI0RXdWRHlsVkpEUThOZ2hVTDY1TXZyNytmTzUvTUcwZjdHV3V2ZGlXaCthVVM3Ny9zRnovUHVCWENJMXZvVUlqb01RQ0llSFQvc0I0dUZRdUY5QU44RmdFd21zNTFTNm5RaU9veVpFNGp5ejMzUEdQTkdOcHZka3Bsdlp1WTNFVTNKWFkzV09rVkV2d0d3TGFJZzYrdnhxUDdLNEhtdmFQQWtIUWZneUhoRS9hQ0RrRFoyRXFEYkNMaXV1elVSWlpWU0wrUnl1VmRHdUpscHpQekJnUnJFeVZ5VDhkT093WjVzZEFGQVEwTkRqVkxxaWY0YUVWRzE5NUtwVkdvYU0rOUhSTThDbUpUTlpxc0ZHcGNNa0l0R2JDUTZPanBlU2lRU1gycHBhWGwwOE5aaUlOYmF1NVJTUnhIUkNWcnJyZHZiMjJlWGJtamltL3dEaVdqSnNtWExmajNhZmEza2VkNXhpSi9HOWVNeFJEZlh3MVpiVzNzTmdOVUNkS2xVNm9ORXRCY3oyMkt4ZU8wSU5wdkFCamI2YWxPeXNSeFh0TlpmdHRaZUc5K29YeGd2dHN4OEtJQ25pZWprS1ZPbXpDYWlEelB6TTZ0V3JUb013NXNTOTMrVk43MFVMeUNpVHdQNFJPVUtSRlE3ak8ySHZ1L2ZEZUR1VENhenUxTHFEQ0w2TEJIOTBuRWNBQUF6UDJpTStjWXd0b25tNXVZcHlXVHlWR1krRmNCa0FDZ1dpN3UydExTMEFNQ0NCUXZhdGRZSEFuamFjWndIbU5raXl1a1ZBTGkrcTZ2cjlsTENiREcyTEZ5NHNLZSt2djRLeDNHT004WU1HS0FhSzJiT25Ea3VEc0FkaUtqWXc3c0EvcSs5dmYzcXRyYTJkcTMxVlVRMG01bWY3ZXJxT3FXMG50YjZDMFMwSjREbnlrZVd4aVlCcUZaUXBBRUFpT2kwUkNKeFpyenNXZ3dTb0t1VVNDUktEKzFmS2kzYmR0dHRQd0RnWTh5OExBaUNRdVU2YTNPS0t6TnZwclUraDRqMlkrYXRPanM3WjZKc1pHRkpYVjNkandGOHkxcTdRM2QzOTB2bDc0MGJOMjdVeTJ1TDFSV0x4WVVBamk0VUNvK1BkbCtHeWhqVEo1OXJOVVNVbWpwMTZ0b09Nbkk2bmZhSWFBWXozMS8rUm1kbjU2bTF0Ylc3RTFHcGlPQ05RUkQ4WVNRZjB0emNQQ1dSU0J3SzRIQWkycGtqOTF0ckw0b0RoY3AxM1dPWitYSUFFNW41bDZsVXFxWnNHcnlqdFQ2VmlDN21LTC92bDVqNU5hWFVmVVIwRTRBemZOLy9OU3FteHJxdSswbWwxRThRVmNaOWtZaSs3dnYrYXZ2eHBrZ0NkQnNCcGRRK0FLNjIxcDRBWUVRQk90LzNzNE8xY1YzM0lxWFUyY3g4OWxDbnZ5MWN1TERyQXgvNHdNY3FselB6amN6OHYwcXBhbE5jaTdXMXRkK0tBNEs3TUhQVkhkVmFlekdBYzRiU0Q3SGhpdlBIak5rY01odVNmRDcvc3RaNloyYitDeEh0V1Y5Zi8zUW1rL2xjUHAvL0R6T2ZGdDlZdnpOMTZ0UmJocElyZ3BtTk1XWW93LzdYR0RON2lLYnI5VDRzUURTQ3dzYkxYdk45djgrVFNjL3pNZ0JlWk9ZcmpERm5WcjRmNnhOSXE2dXJPeDZBUTBRUGpDQVBWVUpyL1FpQWZ5NWJ0dXc3Q3hjdTdCeDBEYkZlYmNqSEZTTDZVUHp5Y0NJNmtabTdtZm5TOGpaS3FmZVkrVUVBcDhmSm5rTUFQeGh1TGoxbW50bFBEcnBYQWZ6Y0dQUHR5blcwMXJjUTBSSEQrcUVBNVBQNUp6S1pURklwdFJVUjlZN0NJNko5dE5iWE12UGxRUkQ4YzZCdGFLMC9Ua1JISWhyOU9wR0kzbVRtZDRob201cWFtamZMMnhwaldqT1p6QjVLcVQ4UjBYUUFCV1krWkxEUEVLTXVMQlFLZnh2dFRnekhva1dMT3FaUG45NElZQ1dBSzl2YjI2OXNhMnRia1VxbE50TmEzMDlFQndCNFhTazF1M1REcTdXZVRrVFhNN01sb3UrVWI2K3hzYkVlMFQzY2NpREsweGlQUVBrOEVjMEVBR1plVEVUM0ZJdkZ1d3FGd3ZPZTU1VWVZSzEybmx5OGVQSDI5ZlgxVG1XZmxWTE44Y3Q4YWRtNGNlUDJqa2YrL1JYVmMxQ05kSW9yZVo3WHpNeWZCckFiRWMySSsza2hBQkRSM083dWJtcHJhK3NUTlBjOHJ3Y0FyTFVkRWxRZisxcGJXOThDOE5abzkyTmRZT1ozQUZ3OVNETk5SQWNQWjd1TzQ1d2ViNzl5eHNhN1JQUVBSS05jRVliaHNCNDQrcjYvWStsMUlwSFlpb2grRnFmN3VCN0F6NHd4clVCdlpkaUxBYVFCdkdXdC9VcDVJTkIxM2YySTZESWkraGd6endOd1NHbmRiRGFidGRaZUJlQlhXdXV6aU9pbjF0cDdsRks3QVBnT2dOMEJMQUZ3a2pIbU9zUUZmRFoxRXFEYnhEUTFOWDJrcHFibUFHdnR1MEVROUJrbGswNm5keXdXaTZaYVl0akJaREtaYlJ6SG1lajdmcTVzTVFONEpYNmFYNjZlaUdxWWViVkUwbDFkWFgvTVpyUFQ0cWZlc05hZUJhRDNDYWxTNmdobTNobkFpVW9weVVzbk5sbEtxVXcvYjVIVytnWm1uaHNFd1ZXVmI4WkQxRC9Oekg4R2dFUWlzVEtkVHM5ZzV1UGpnVEVmQVZDNXYvWm4zSWc2UHdMR21PTUJIQThBbnVmZERlQ1FNQXkzenVmei94bG9QV3R0R0plVlp3eHhSRnM2blo0QTRDUUFZT2FMaDl0WHJmVTFSTFFIZ0U5T21qVHBCZ0JtdU5zUVlnQ2xZZ2oxQUh4cjdkZnorZnc4QUdoc2JLeWRPSEhpVjYyMTN5ZWlSZ0FkQUo0RjhCa0FmOUZhM3gyRzRXV0ZRc0VmbmE3M3BiV2VEdURMY1dETml4Y2JBQmN5ODc1RWRFUTh0ZTFZcmZVRFJIU1o3L3ZQVmRuT2I4cHVmSlphYTg5eUhPY3FBRGNBMkthc3FhTzEvaVF6SDBoRWZ3bkQwRXNrRXI4R3NJdFNxdFh6dkljQTNQek9PKzg4T2thblhJa05FRE1mV3l3VzIxcGFXbnFuZXRYVjFYMFh3QUh4eU0zOWZOOS9FNGoyWXdEM0EvZ2dNMTlwakZudDczM0NoQWtmaWJmNUZoQUY3WW5vQkFCTEFkd1FodUZkK1h6K0thd2VSSHNqL3ZwWkFEOUhmQ05jN1c4OGxVcHR4c3pIeE5jRXZjVXFpR2pmK09WZisva1pSelRGMWZPOEhRRThXNWFYN0gwQWp3RDRvMUxxajdsYzd2WEJ0aW5FR0xEWUdIUFJRQTNpSEhSRER0Q2wwK2xaUlBRbFptNExncUMzYW5wemMzTnpJcEdZZzZnZ2t3K2dXU2wxbDlaNjkrN3U3clBuelpzM2xGUTF2Y0V3WTh5THJ1dnUxdEhSMGJKZ3dZTDJiRGFiZEYzM1MvSERnVS9FZ2JzcmUzcDZMcXF5N1dsRU5OTmFlN3JqT0ZlVjU2YUxaN3A5MVhYZGE0bm9iZ0RYRTlGMStHOVJ1aHM2T3p1L0s4SDExVW1BYmhPUVRxZWJITWM1TUI1YW53VUFpaXUxbE5OYWZ3WEE3WWxFNHBjQUJzcnpVSTJqbExvTlFOWjEzV1BLeTZ5SFlUaEJLWFZiK2RSWUlxcGpab1gvNXRSSUVGRnRUVTNOOXRiYW80aW9QbTdYYll6NVpkeEdhYTNQSjZJWGZOK3Z6TVVoeEFZdGxVclZBS2dab0VsM2VlQ2NtWStZT1hQbVdaVVgxNTduWFFIZ0dBRGRXdXUvbEo1aWxjdmxja3RjMS8xTVoyZW5NMy8rL09WeDBaYk5tUG1IWFYxZGx3M1cxOXJhMmgySjZGR01UaEpmWXViZEFQeXpNamludGI0QWNRNk4zc1pFS3Y1Nml0YjYrQ3JiMjhZWTgwYjVBcVhVTVFBK3dNd1BsK2NDR2dyWGRVOHQ1Y2xoNXVQaXFRRkNyRFhNM0lQb3h2dkhTcWtmNVBQNW51Ym01dVprTXZsMVpqNmNpRGFQcDZmOGxwbS9Hd1RCd3JqbzBrK0o2TXVKUk9MTFd1c1hBZHdINEJGalRBdjZxY2dHNEREWGRWZFZMSnNXOXlQbHVtNjFpbldOQS9VL204MU9zOWE2QUQ0ZFQ5L2JIa0JwQk05OFp2NkpNZWJtdUUvM056VTEvYkNtcHVaTUlqb2F3TUVBRHZZODcyOEFMdk45Ly9lSXArd3k4OVVBL3BlWnIxMnlaTWtkcFdPajFub2NSVlVDUDYrMS9qUVI3US9nQTBRRWEyMmhVQ2c4RE9EVG51Y2R5Y3cvSUtLREFCdzBZOGFNemhrelpqekx6RVlwOVpOY0xyZmFDRHdoaHFOYXNUTWkrcEcxTnJGcTFhcExTNk5iWjg2Y09hNit2djUrQUo5azVtZVdMRmx5ZGtWQ2RuSWM1MXNBd013K0FCaGovdVI1M3VlSTZMSCtFcmN6ODlORXRKeUk5dlU4NzEvTXZJQ0krdXozY1Y2OERCRk5adVkzbEZJUHhtOHBadDRuRHFKVkRkQU5GUkh0Rkwvc0FBRGY5NS9YV2o5SlJQa3dEUC80L3Z2dlAxV2VDOVIxM1N1SWFIdy9teHVvU0FRQXJEVEdES2xxdFJERGtVNm5KeVFTaWRJc2tvbk1uUFE4YjhBcDNzeThiZnoxNjU3bjdjVE05L2RYYUt5eHNiRTJmbmprY0ZTa3dtWXltUzJVVW1jVDBUSE1uR0RtUzR3eDUyUXltVjJWVW5jUzBmRzF0YldIYWExL0R1QTZZOHlRWndvRVFmQjN6L1BTcnV0KzFWcDdwRkpxQnFLS3NiOENjRjRRQkZXM0ZRVEJyYk5temZwdCtRaDkxM1VuTTdOV1N1MklhQi9kaFlnbUErZ2tvbWVaV2NmZkgxZGJXN3UvNTNrK29sSHNDNnkxLzBva0VxOHZYNzc4N1EwdEovRGFJZ0c2TVM2VlNuMnd0cmIyd1BqYkxRR0FpTnl5RzgzZlZWa3RvYlhlbVlpbUFrQWlrV2lKbHkvbHFNclY5c3pjWjhwVlIwZkhuOGVORy9jbWdPTmMxMzBoQ0lKZlZyYnBqOWI2KzBTMEF6Ty8wOTNkM1YvUzlBdExUeFk4ejNzRXdMYkdtSVo0L1M4RHVKT0lkbWZtNCtOaHZJMUVkQ3lBbndJSVBjL2JDOEFXQUM0ZmFyK0UyRkRVMXRiK2tJajZtNEtKT085RDcwVW1FVTJaUG4zNlZ4WXRXalNudE16enZCOEErSGI4cEd0MkVHUm11TE1BQUJrSVNVUkJWQVM5d2Jsc05qdkpXanU1ZExJdVRWdHpYWGQ3QUVmRkYrSS9ibTF0WFFXQVhOZjlkS2xnUzJWZnROYWxrV2pyUFVEbmVWNHpnQm5NL0pzcWI5Y1MwUVFBZHdBb1RjdWJCdUJRWnA1SFJNK1V0ZDBWUUhPeFdGVGxHNGgvVDJjQkFETVBLMGVLNTNrSEl6NCtXV3N2RG9KZ1NIbExoQmlPOXZiMkV5Wk9uRGpIR1BPWTUzbG54UGtadHdJQUlpb0N1SmVaZnhRRVFlOVVNMlBNYnhvYUd2NHdkZXJVazVuNTIwVDBjVVJQM2kvUldqOW1qTm16Mm1jcHBmck52MGhFZXhIUlhzUHB1OWI2R1diZXVUeXZIVWNGR2Y0SVlJN3YrMzlHeFRFbnJ0eDZVamFidmRoYSszMEF4MUZVU1hJWHJmV3BwYXIyUVJBOENVQ1hyNXZOWnNkYmEwdlRlT2JFZ2JvM0FGelB6QSs5OTk1N3BSc2o5bjMvWmdDM3VhNTdFQkY5bFlqMlJqVDlwajJYeTIyVVU3TEU2SXFEYWIzVkRUT1p6QmFPNDl3SFlDY0FjNVZTQjA2Yk5xMldtVmQ0bnJlWW1kdmpCOWdmQkxEQ1dudG52S3IxZlgvQWdrVnhWY2lEbEZKWEVGRVRFVzFaclYyOGIzWUMrQk1SZlNlWHk2MENBTS96ZGdBd0hVQzdNV2JJRDU0OHo4c3k4MU5FMU03TVhYRXFqUS9HRHhHZWo1dXhNYVphaFZZQWdGTHFLQXhlOUs1UGtZallVcFJkT3dteHRpU1R5WEhNM0p2N09BNGlENWdMdWZRM0dwODc5MkxtaFloeUtQY3hjZUxFc3dCNHpQeGtFQVEzZTU1M0xZQmpFZVdEWDhqTUo1V21tdWJ6K1NlMDFzM01mQlVSZllXSXZzZk1aN3F1dTA4UUJIOFpxRStaVE9aVFNxa2pBSHdPd0JaS0tURHpJZ0RuTS9PTmxRK3hxNm10cmYybzF2b1FJbW9Da0k3VFdCRUFNUE1iUlBSQUdJWVA5L1QwL0xHMXRYVmxLcFdxcWFtcDJVc3B0UytBUFFIc0QyQi9Jb0xqT0dCbTFOZlh3M1hkVHdaQk1LeUNlQnNEQ2RDTmNjbGtzcEdJZmxHeGVCOGkyZ2NBckxYenkwNUllMml0OTRoMyt2SVQyWTNXMm51RElIakM4N3pEQVd5dmxPb3pwSDMrL1BsTHRkWmZaZWJIaWVnYTEzWHoxWjc0VmZJOEx3dmdQR2EyMXRyRDQvd0MxZnhQcVdvck0wOEZVRmRXeFRVVkwzOEx3TitLeGVLSnlXUnlMd0RYZVo1MzdydnZ2bnNKTTE4SllHVkhSOGV2QnV1VEVCdWdmekp6dFpQMGg0Z29oZXJCc0RNQjNBckFhcTB2UXpSNnJKT0lEalRHL0ttc1hjSmFleCtpRWE3ZkNJTGdRUUJvYUdpb0k2SmJpVWhaYTg4b1hZaHJyVDlQUkE5Nm52ZTA3L3U3VlBuYzBybGp2UWZvbVBtTDhVMzIvZjIxSWFLTGNybmNmQ0RLemFPVU9oVEFZNzd2OTE2a3gwODVteXZYdGRhZUYrZS9HUmF0OVZHSXB0STV6SHhORUFTU0gxT3NFM0ZobDhjQUlBekRGNVJTL3dlZ0ZjQ2RBT2IwZHpHOWNPSEN6b1VMRjE0RzRNcE1Kbk93VXVxdytNRmF0VXFzQUlEdTd1NFBybHk1Y3ZsdytqZDE2dFFiVWFXNlcrd21adjQ0RWZrQW5yUFdQcnB5NWNwSGgvS1VQQjdCZGtvNm5iN1VjWnl6QWV5NmJObXlHd1pacDh2enZGY0JUQVJ3bTdYMnp2aGl2NzlDR2NVZ0NPNEZjRzk4QTdFOWdIa0R0QmRpclhFY1oyL0V5ZExETU55dlVDZ3NBUUN0OWI4QWJFMVIvc2tpTXdkRWRFcWhVSGhuT052UDUvTlBJQXBpSjF6WDNheGFtNVVyVjlwK3F1RXVaK2FiRUkzMEgzS2VxTTdPenBhNnVycVg0MWt6WUdZR01KZVpieWwvaURDUVlyRzRSYkZZckJwOUcwd2lrWkI5VjZ3VHVWeHVTU3FWbXJnbTJ4ZzNidHhBNTc0NXpQeUZNQXdQQlJBeTh4TUF2Z2pnNHE2dXJ1c3EwMUhGUlhNT2MxMzNHaUk2bjRqZU5jWU1HSndEQUNKaUFFY1QwYXZNZkxXMTl2ZjVmUDR4REM4ZjNEc0FqbWZtYVFEYWlPZ09BSDhqb3IvNnZqKy9zbkhjOXovRS85RFUxTFI1TXBuY0VWR0Y2eVpFeFdqTXBoaWNBeVJBTitZbEVvbVdNQXgzQndDbDFDd0Exekh6bmN4OEE0QkpSUFFaWnA1TlJDQ2lMd0pBbktEeE9nQmZKYUtadnU4ZlY5cWV0VFlSNTJPcW1sZkZHUE9VMXZvaUlqb1B3QjNwZEZySHBaZXJTcVZTSDJUbUI0Z29TVVRuNS9QNVAvZlhsb2lPSXFLaktwWlZWbkY5eVJqejZYamJOOWZXMXA0QTROd3BVNlpzVDFIeXlSL09uejkvYWIrL01DRTJVTWFZbXdEY1ZMazhEaVNsckxXcjdTc2NKejdYV2grQktLbnk0Y3o4SGpNZkZJOGtLVmRFZEVQL0dhWFVBMXJyUzR3eFowK2FOT2xqQUNZeDh5TkJFTnhSMXY2MCtPdmQxZnBLUktVazA2TXh4ZlZRQUV1RElPaTNPdlJJeGJrK1RoN3VlcDdublE3Z1VnQmc1dXVNTWFjTXNvb1FhMFUrbjMraXFhbXBJUjVsTmxURmZENS9ENEI3RU9XQjZYTURhNHc1RWtDMTZhdURXcmh3NGVINGI1Njh5dTNlMHRqWWVNZWFURnNwRkFxTEFKeUFhRnJzWURjUVlXZG41NWNjeCtrcXovMDFGUEVOeERPRE5oUmlMZkY5LzJiWGRWY3VXYkxrOStYcEs0d3hzd0FnbnVwcXNlYUoxSXVWeFYrRzBMZVhFS1hQNkNOTzdsNDE5VXk4SDNuVjNodXFnZTVEaEZpZktrZWJyKzNjYWNhWUw1YTlmZzFSQ29oaS9QMTlxVlRxZDRQbGlZK0RXbnNEV0cyR1NLRlFtSXYvNW40cmIvOU1PcDNlTWo2M2praWhVSGdublU3dnFKUmFOdHhqQ3dETW5UdjNiVVN6QXF2TkROemtTSUJ1ak12bGNzc0JQQWtBV3V1VjhXaTUxNE1nZU5KMTNhMko2SUd5NXJkWWF5OElnbUJoM0g1L0FEUEx0NmVVcWdVQVpxN01LVlBlNXFJNGVYSTZrVWhjQ2VDNGF1MW16cHc1cnJhMjlrRWltc25NdnpQRzlNbHJCd0RXMmg2bDFCK3N0ZmNDYUNXaTI0bG9Hd0QvRHNOd1R5SjZSeW0xRTRDVGlLaDNwMjV0YmUxT3A5T0hPbzVUSUtKOW1YbFJlM3Y3andiOXBRbXg4U0JtUGdqQWU0bEVvaklnZFRVem53dmdSaUpTelB3YUVYM09HRk8xNnJFeDVoTFhkVjhpb2w4VDBmZTAxbTVYVjljQjF0cjB1SEhqYWt2dDRoR3huNDczdHh2NzZWY3BRRGZzWWpKcnduWGRuWWxvRzJhMld1dnlDNEMvR1dNK1YvckdXdnNycmZVcUFDQ2kwaWlCUTdYV3ZVVnBtSG5yaXVrd1RpS1J1QVhSMUlIMzR0d1lnMUpLblFxZ0tkN21oY2FZODBiMjB3a3hNc01NemxWYTM2Tkw3RnJNS1RPa0lNVUFvL3FGR0hQaUVaeFY5WmRmVGdpeDBWcXR1Tmt3aXpqMmwxdTJqelVKenBWdDQ5VTEzWWFJcU1HYmlMRXFDSUpYbVBrRUFPY0RBRE0vWHdyTzljZGFXeHFLMjIrQUxwZkw5VER6MFlndWZvL3lQSzlxd3VkcDA2WjltNGgyQU5DeWF0V3FyNkdmQy8xQ29mQys3L3Y3QXlnUzBlTUEvZzNnZVFDVGxWSStFZDBQb052My9mMTkzMjhycmFlMS9tZ2lrYmlLaUdvQWdJaG0xdGZYUDZxMS9zUkFQNk1RRzR0TUp2TkpJdm93RWYyKzhzSTh6Zzh4Snk2QzhLK3VycTZkNGlmYy9RcUM0RUZyN1c3eDZEdS90YlcxZS83OCtVdkxwOFF4ODJueDF3dmEydHE2c3Ruc3R0bHN0akk1ODZpTW9DT2kwK0t2aXdEY0h2L3JRZDlxc3NXS2Y0aVRZWmN2VyszQ1JXdDlGcUtwUlM4UjBaRHpid0pvaW5QK0hTUEJPU0dFRUVJSUljUklTWUJ1dzJialllVkRudkpKLzYyT091QndjV1BNaTh4OGpyVjJ6L0tnV2JrZ0NDNERjRm14V055M3ZISkxKZGQxUCtsNTNtTktxZHVKNkZaanpHY1JKWEIvRDhDUlJEUVJ3R05hNjcrbjArbW1kRHI5UDU3bi9SUlIzcGQ5bVBuWDFsb2Q1K2Y2RkJIOTNmTzgrWEhWV1NFMldrcXA3d0JBV1NMb3l2Zi9qNW03bVhtbTR6alRoN0xOSUFoZTZPcnF5dmkrZjNibGU4M056YzFFZENnenZ4d0V3UzFhNjVPdHRhMWhHSjVhMFhTOUIraXkyZXhXRkZXaUJvQVdZOHp4eHBqamllanR5clpLcWFPTU1YdkdVeEZPQkFCcjdWMmxaY2FZUFltb1ZKa09qWTJOOVVSMExvQ1FpSTZ5MWc0MHdvZGMxejBXd0JmaTcxOW41bDNpS2NwQ0NDR0VFRUlJTVNJeXhYVVRRMFFhQUlyRll1OVExbXcyTzc2am82TlBzTGFycStzYUFFaWxVcVVwWWtrQVVFclZsSloxZG5iK3NLSk5yM0hqeGxscjdZVkVkQm96THlLaTJiN3YvN2IwUGpOYlk4eDlBTzdUV3M4bW9tOWJhNWNuazhubkFId1lVZEw4cytJMkFMQm5KcE01UkNsMU9oRzV6RHpnYUNFaE5tU1pUR1k3QUFjeDgwdEJFRHhjclUwdWwzdmQ4N3dmQVRnL21VemVua3FsdGgvSzhQZitwbnpGVTlvZFpqNERRRkVwOVVkbXZvS0l6dHh1dSsydW56ZHYzcnNBd013MThmVFE5VGJGMVZwN0NSRU5KZWRVcFNRQUVGRy9RYmUydHJZVld1c25tZm1KSUFpZWMxMTMvMnJ0dE5ZWkFMOGdvdDVSdk5iYUM0ZFNURWNJSVlRUVFnZ2hCaUlCdWsyQTF2b1VBTE1SVFFQYm5wa1hGNHZGbDB2dlcydGZycXVyMjJJWW03eTRycTd1NHNFYVdXdmZWa3J0eHN5MnE2dnJndkpFbXN6OGEwVGwyZ0VBeHBqZkFQZ05BR1F5bWE4NWpyT0ZNZVpPVk55TWx4SmJaN1BacllJZ2VHVVlmUlppZytJNHpya0F5RnA3S1FiSUUwVkVQN0xXSGtoRWJsMWQzZFVBdmpuUWRwdWJtNmNrazhsand6QzhJNS9QLzZlMDNIWGRBNGhvajdpYys0TUFrTXZsWHZFOGJ3NkE0MnByYTc4UDRQUzQrWHJOUVJlUDdQc2lnTjh6czY3SUhkY0hNNS9qZVY0cFI5MFdBRUJFZTN1ZU43V3MyYTdsNjFoclQ4cm44LytzdGoydGRZcUl6bVBtUTRpSW1QbFZJbHFKS2xWZ2hSQkNDQ0dFRUdJa0pFQzNhWGlQaUVvM295dUk2UGlLVVRiUE12T2cwK09JNkg4QWJBbmdYOHc4YUZKcUlubzNsOHZOQjNDNjFucUIxcnBQRUZCcmZVRzFkWmtaV3V1cUZhRUFMTW5sY2cyRGZiNFFHNnBNSnJNM2dFT1plWkhqT0hjTTFEYVh5L1c0cnZzTkl2b0hnT08wMWk4Yll5N3ZyMzBpa2RnSndJOGR4emtJd0NjQUlKVksxUkRSWlFDS3hXSnh0UXFreFdMeFFzZHhqaUNpRTFPcDFPWHg2THRhWU9CUmFXdFRTMHZMWEszMVRkYmFTNVZTancvUXRJdVozd2R3WU5teUpCR0JtVjNFeFJ3QW9KVGJzaVNmejcrTUtqS1p6TzRBSGdXZ2lHZ0pvdkwyUDYrdHJiMkJpQ1JBSjRRUVFnZ2hoRmdySkVDM0NXaHZiNzk3L1BqeGp6dU9ZNDB4YndGZ3ovTnVadVo3akRFUEcyTytOSlR0dUs1N2tWTHFiR3Z0TDRJZytNa3d1M0ViZ01HcUl1NGNUeDI3blpuNzVKVXFJK1hXeFVacjFxeFpFeDNIS1ZWUFBYMG9WZHVDSUFoYzEvMjJVdXBhQUpkcXJSY2JZMzdWVC9PZEFJQ1pud0dBYkRZN3lWbzdoNGkyQnZBM3gzR2F0ZGFmQWxCUFJQWE1YQTlnQ1lBdGFtcHF6Z0J3V21tS0t6T3Zsd0FkQURiR0hBTUFXdXQrR3hsamZ1QjUzclBNdkVPcHFyVG5lZGNneWtPM3V6SG0yVkxiK09IQUVjVmlzZGpQNWdBQStYeitTYTMxUXdEbXJWaXg0c2R0YlcwckJ1dEgyV2Y4bklqZUo2S3JjN25jNjRQL21FSUlJWVFRUW9oTmxRVG9ObERwZEhwSHgzRytTa1J2QVZneFVOdTJ0cll1QUwwNTU1cWFtallIY0NTQS9RRE1XS2NkalJsakxnS2lYSFcxdGJVN0thVmV6ZVZ5cTAxUjlUenZmQUNmWU9hcmpERXZybzkrQ1RIV2pCOC8va29BV3pMenc4YVl1NGE2WGhBRVA5ZGFieFhuZkx6Rjg3eHh2dTlmWDltT2lFb0J1cWNCb0tlbjV5T0pST0xnK08xZGxGSzdWTFFITTF0bVpxWFVOOVBwOUNWS3FmVTZnbTQ0bVBrd0lqcmM4N3lsdnUvL25KbjNBZERkM3Q3dWw3Y3p4dndBd0ErR3NrbGp6SUdETjZzcUMyQUhadjRyQUFuUUNTR0VFRUlJSWZvbEFib05Td01BRU5GcGlVVGl6SGpadFJna1FGY3BrVWhzRmI5YzcwVVdhbXBxR29ub0wyRVlYZ3pnbkdwdGlPaFVyWFYvSStoNmpESGZYM2M5RkdMMGFLMVBJS0tqNDJtYUp3eDNmV1BNNlZyckJpSTZHTUIxV3VzR1k4dzUrRzh1UjJMbUhZZ0lSUFFNQUJRS2hibGE2L3VZK1Y4QVhnT3dXQ20xbEptWEFuaFBLZldlNy9zcnROYS9CSkFDTUFWUlBrc3djMGRGRnhLdTZ6WUZRUkNNNkJjd1JNeThUUnpRQjRCcEFIcUxYclMzdDU5VVgxKy9QWUJyUE0vYkEwQWpnUHZqQnhYcjIwd0FzTllPbWhKQUNDR0VFRUlJc1dtVEFOMFk1N3F1UzBUSEFmZzhFYzBFQUdaZVRFVDNGSXZGdXdxRnd2T2U1NTBZTjArV3I3dDQ4ZUx0Nit2cm5jcHRLcVZLZVpQeTY3VHpJemNiZ0szMkJoRjFBcEFBbmRqb3VLNjdGeEg5REFDSTZIamY5MThid1dac2UzdjdZZlgxOWI4Q2NBZ1JmVTlydmRQaXhZdjNYYlJvVVVkemMzTVRFVTBHc01BWXM3aTAwbENtdVlkaGVFcWhVSGdmQUR6UG14QXZYbFhlUm10OUc0Q0R0ZGJmTXNiY05JTCtEMGs4SGJmcTZMZTJ0cllWVFUxTnV5V1R5Y2VKNkNBQXNOYmVWNjN0R3ZhaFZMaWphc1dLYkRZN2laay96TXhzcmExYWZFSUlJWVFRUWdnaFNpUkFOOFlSMFllSTZBUUFTd0hjRUliaFhmbDgvaW1zSHNCNkkvNzZXUUEvUnp4YVp0R2lSWldqVzVCS3BUWmo1bVBpS29qUFZyNC9GakR6cmpMRlZXeEtzdGxza3BsdlFuUk0vcEh2KzdjUDBIeGMvTFZxYnJwNHBOaFh0Tlp2RWRFcEFKNHJIUXNTaWNUZXdIL3p6dzFIS1RnWCsyajg5WjN5TnN4OHQxTHFBQUMvZEYxM215QUl2b2NCS3RDT0ZETS8wdFhWMVJ0VVhMRml4V3JWbmhPSnhFNUV0SG5wZTZYVXJWcnJQY0l3dkxaUUtLdzIxWFVOTEk2My9Ra0FOMWEreWN4ZmkxLytzK0ozSjRRUVFnZ2hoQkI5U0lCdWpEUEcvTW56dk04UjBXUDlKWXRuNXFlSmFEa1I3ZXQ1M3IrWWVRRVI5Um1CeHN4MUFESkVOSm1aMzFCS1BiaXUrNS9OWnBNZEhSMjFwZStKcUJSY1NLWlNxYzBxK2xjVFQ3MGJWL2xlUDdvcnF0RUtzVUhLNVhJOW1Vem1pMHFwRStNcHFRQ0FiRFk3dnFPalE3VzJ0cTRFQU5kMUd3QjhJWDU3NFFDYnRNYVlVN1hXanhsakhpb3RKS0s5NDVlREJ1aTAxdFBiMjl0WFZFNE5kVjEzWndEN016TURLSlMvRndUQkExcnJQWWpvSWFYVUdaN25mZGozL1c4QUdMQVF3M0FSVVZqNm5aUlJydXQram9qK0h4SHRCZ0RNZkQyQWVVUjBIaEVkbFVna2p0SmF2OFRNandENHErTTRmaTZYVzRSK1J1d09KQXpEUngzSE9SM0FON1RXT3dKNHM2eC9Vd0I0OGV0YlIvaGpDaUdFRUVJSUlUWWhFcUFiKzZ6dis0OE0xTUFZc3ppVHlSeWtsTHFDaUpxSWFNdHE3ZUpSYzUwQS9rUkUzOG5sY3F1cXRWdWJ3akE4dGE2dTdyTEs1VXFwTStycTZzN29aN1cvMXRYVkRXWHpGd0E0ZjlCV1Ftd0E4dm44UHdEOG8zd1pNKzlhVjFmM3NPZDVQY3pjUlVTbHdQVXJLMWV1SEhTVXFUSG1kNlhYRFEwTmRRQjJCUUJyN2RORDZOSmw5ZlgxUjJpdGx3RllEcUFEd0NRaStqQUFFTkU5dnU4dnJsekpHUE9zNTNtZkFmQTRnSzlwcmY5WnFxaTZOblIxZFgzY1d0djdzTUx6dkN5QW81ajVBQ0xhSWw1Y0FIQ0dNZVpQQU5EWTJIanJ4SWtUandEd1RTTGFqb2crQnVBN3pBelA4enFZK2VQR21OYmg5Q09mei8vWjg3elRtUG03UkpSQ2xKK3ZGek12QmpESEdQUGpOZmh4aFJCQ0NDR0VFSnNJQ2RCdEpQTDUvQk1BTktJazdWVkhuNjFjdWRLMnRiVU5xNkRFbWlLaUo2MjFwNitqemY5OUhXMVhpREdCbVF1SVJuY2xpQ2pKek84QytJZFM2anZETFhvd2NlTEVyWm01ZzRoVzV2UDVsNGV3eXZNQURrRVVsSnNTOTRlWmVTR0EzNFJoMkc4RlZOLzNDNjdyN2tsRUY0UmhlUGx3K2ptWTF0Yld0Nm9zL2lZUmRUSHpmUUN1TjhZOGhyS3B0ZkZ4NzJvQVY2ZlQ2Vm1PNCt4SFJKOENrR1htUHc0M09GZmkrLzZWQUs1c2JHeXNyYW1wNmMwQnVtclZxdUxDaFFzN1I3Sk5JWVFRUWdnaHhLWkpBblFibjJJUUJPK3RpdzBIUVhBTytxbTgycDg0bDV6a2t4TmlCSXd4YndEb1UraGxKRnBhV2xvQXpQQThiK3NoZnZZdkFQd2kvamFSeldacmZOL3Z4QkNuZzhhVlhBOFlVV2VId2ZmOVhGd0lZMTYxdkp1VkNvWENBZ0FMQUZ6Ulg1dmhIdXZpWU9sb1ZJa1ZRZ2doaEJCQ2JDUWtRQ2VFRUp1T291LzdMNDFrdlZ3dXQxYnp5SzFOVWxSR0NDR0VFRUlJc2FGVG85MEJJWVFRUWdnaGhCQkNDQ0UyWlJLZ0UwSUlJWVFRUWdnaGhCQmlGRW1BVGdnaGhCQkNDQ0dFRUVLSVVTUUJPaUdFRUVJSUlZUVFRZ2doUnBFRTZJUVFRZ2doaEJCQ0NDR0VHRVVTb0JOQ0NDR0VFRUlJSVlRUVloUkpnRTRJSVlRUVFnZ2hoQkJDaUZFa0FUb2hoQkJDQ0NHRUVFSUlJVWFSQk9pRUVFSUlJWVFRUWdnaGhCaEZFcUFUUWdnaGhCQkNDQ0dFRUdJVUpVYTdBMnVDd0FsbWNodTJkVWU3SzBLc2ZRd1hoSnJSN3NaR3FnWU1PWGFJVFE1Ym15TGlPdkJvOTJUakk5Y2tZa1RrWEQvcUNKd0lvZElOMjdxZG85MFhzUUdSZlhkTWtIT3ZHSkV4dlA5dTBBRTZab3lING5NQmRJOTJYNFJZNndnMVlKb0VRdnRvZDJXand6UkpqaDFpVTBSS0pjR1lESERQYVBkbFl5UFhKR0pFNUZ3LzZwZ3hYaWsrRTdMdml1R1FmWGRNa0hPdkdKRXh2UDl1a0FHNmJyWnYxaEM5Q2FJNlJOTjA2MGE3VDBLc0U0UjJNTC9kemZ6bWFIZGxZOUROOXMwYTBOc2dBa0J5N0JDYkhnSUF0Qk5vUmJHSEY0MXliellLY2swaTFwaWM2MGVGSlg1SFFmWmRzUVprM3gwMWN1NFZhMnlNN3I4MDJoMFlJYlZsNDNiYnFrUnl4bWgzUkloMUxTUzc1Tjh2RlZvQjJOSHV5MFpBemR5MmVic0VuQStNZGtlRUdFMWtlNWE5K3ZLOEZzaHhaVzJRYXhLeHh1UmNQeXBrM3hWclRQYmRVU1A3cjFoanN2OEt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b2kxNFA4RFZMbVBYSFB5cUQ0QUFBQUFTVVZPUks1Q1lJST0iLAoJIlRoZW1lIiA6ICIiLAoJIlR5cGUiIDogImZsb3ciLAoJIlVzZXJJZCIgOiAiMTY4MDU0NzI4MiIsCgkiVmVyc2lvbiIgOiAiMzciCn0K"/>
    </extobj>
    <extobj name="ECB019B1-382A-4266-B25C-5B523AA43C14-2">
      <extobjdata type="ECB019B1-382A-4266-B25C-5B523AA43C14" data="ewoJIkZpbGVJZCIgOiAiMzg4MzMzNjEwMDU5IiwKCSJHcm91cElkIiA6ICIyNDg1ODg0MTkyIiwKCSJJbWFnZSIgOiAiaVZCT1J3MEtHZ29BQUFBTlNVaEVVZ0FBQk1VQUFBTWpDQVlBQUFDbEZLZHdBQUFBQVhOU1IwSUFyczRjNlFBQUlBQkpSRUZVZUp6czNYbWNISFdkLy9IM3A3cG5NcE1MRWhLSUVpREljQ1JNWnJwcVBMaEVCUzlPRVVRWEQxd3hMTWlOaUJjZ0lnZ3NvQnd1UHpuY0ZieVFRMEN1NExyQUNnSXJNdDA5UFNFa0VKSUFDWkNRaEZ3a2MxVjlmbitrZStoTUpwa0VrdlJNOG5vK0h2T1k2dTlSOWFuR2g0NXZ2dlV0Q1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R3VUcW5RQkFBQUEvVTFqWTJPNDNYYmI2YzAzMzF4ZTZWbzJwVEFNM3o5eTVFaC84ODAzTzNwMFdVVUtBZ0FBMkl6NGd3Y0FBS0JNWFYzZG9HSERoaTAxczJwSksrSTQvbkJMUzh0ejZ6azlIVVhSSzVLMmQvY0hjN25jNTlZeXBsT1MzUDFDTS91SHBLKzF0YldkTUhYcTFKN2hsQ1FwaXFKckpKM3A3aTI1WEM3VG8rOVpTVTN1Zm1NdWx6dDVMZlAzY2ZjajNYMU9LcFc2cDdtNStmV21wcVlxZDE4cXFVWlNjemFiL1dCWmZiZTRlL3V5WmN0T21URmpSdnQ2M2pzQUFNQ0FrcTUwQVFBQUFKS3E2dXJxdHAweFk4YWJsUzVrNk5DaCt4WURNVW1hdVFHQm1NSXdQRXJTKzRvZnE2SW8rbkdwejkybjVYSzVQMHJ5VXB1WkRaWDBhMG52R3pSb1VFclNsek9aVEYwUUJKTjduSHBVOGZmNEtJcG1sSGU0KzFnems1a2RGMFhSSjh2N2tpUTVKSi9QditqdTN6U3pTV2FtOXZiMis0dDlqV1pXVXh6YVhIWVAzNUgwRlRQVDhPSEQ5MjVvYURpeVVDak1YOS92QUFBQVlLQWdGQU1BQUJVWGh1SDd6YXcxRE1QL1M1TGtUMmIyYUJ6SEMxcGJXOS9hbE5lTm91Z2VkLzlVaitieXY0LzJDc093MTBjb3pXeGVOcHZkcmF3cEplbWlzdjVESkIxUzF2OW5TWDlVMlVwOWQxK1VKTWxScVZUcWI1SU9EOE93S1k3anRpQUl5czliZnMxcVNidjFhQ3NkRGkvK2RFdVNaRkR4c0ZUSDlDbFRwcnhhblBmUnNuRlBsWTdiMjl0L1hsTlQ4MkZKbjVmMGtWUXFkWldrNDN1ckJ3QUFZQ0FqRkFNQUFQM0ZNRFA3VkJBRW41UTB0NnFxNnA5UkZEM3I3djlZc21USnN6Tm56bHl5Q2E1WmEyWkQxdEdmTnJOZS8xNXk5OVhtaFdINFF6T2JVT3o3bGFTRnhhNVRpeXZDM3Bha3NXUEhWcFhtbUZsYlMwdkxNMUVVZlQ2TzQrbUZRbUhXaEFrVHFxdXFxc2IzdU5ZM0pSM2g3ck9DSURpN1I5OVZrdW9rUFd4bU41VDNkWFYxeld4c2JOemJ6SFlzamwyVXlXUW1GYnUvVkZiSGJtWHRjdmYvTnJOOTNIMjRtV1V6bWN5a0lBamFzdG5zNzlieFhRRUFBQXdvN0NrR0FBQXFMZ3pEWGN4c3RpUzVlL2ZxSjNkUHpHeVpwS1dTN3U3cTZycXRVQ2hrSlhWdWpPdEdVZlN3cE04VVAxN2o3bkZmYzh6c1h5VnQ1Kzd6Y3JuY21HTDluelN6eVZyMUx4enZrZlM0Sk92cTZybzNuVTdQTE43TDA1SWFpdWNZVW16cktMOFhNN3NubTgxK3JmUTVETU9UemV6dzliMmZKRW55K1h6Ky9QSzJ4c2JHQTFLcDFCUHJlNDUxV0pqTlprZjFQUXdBQUdCZ1lLVVlBQURvZDl5N3Q5MEszSDBiU2R1WTJabnBkUHJNTUF4bkowbnlHM2VmbkVxbFhsbTJiTm5DamJFWi9LSkZpMzR3ZS9ic3RyN0doV0g0V1RQYnJ2UzVycTV1a0tRN0pLWGRmWkdaM1NUcGZrbnBkRHA5WWZGK1hLdFdjdTFiZnE3aTQ1Q2wvY3ZrN3JVOSt1c2xIYmErOTFDMlIxaTNJQWhpZDMrN1IzTlZhZDgwZDIrWDFMVWVwOStpMzhRSkFBQzJQcXdVQXdBQWxaSWFQMzc4MkVHREJ1MXFaanViMmEwOUI1U0ZZOTNLVnBHOWJXYlQzYjFWVW1zY3h3OFVDb1hwRzFKQStVcXhKRW5PRFlKZ2ZjS2g3MGthVTc1U0xJcWkvNUwwVlVsZk03TkgzUDJ6a3E2VU5LWlk2MStESURqRDNUL3A3cDgyc3lQSzd2RkdNNXRTL0Rnam04MCszTkRRTUtTcnE4dHFhMnQzU0pKa1JHbHNraVJ4T3AxZUtVbHhIQjlrWmo4d3M3SEY4L3d0U1pMdnB0UHBtVW1TZkNxWHk5MjJ0aHNJdy9CQk16dFVrcnE2dXBxS3ErOEFBQUMyS29SaUFBRGdQYW1ycXhzOWJOaXdYZHg5ZTBtN205a0hKRzFmN0o0b2FZZ2ttZG1oMld6MitkSzhNQXhIUzNwUTBtN0ZmYnVHYXkzNkNNZGNVb2VreFpLbVNMcXJ2YjM5ZDFPblR1MXpaVk9QeHljM1NIa29WbDlmdjFNNm5mNk1tWjBncVM1Smt0UE1iSi9TL2wvdS92RmNMdmMzU1FyRDhCa3orMUR4MGRCQTBoM1piUFpMNWVlT29taXhwRzE2dVdaTExwZkxoR0Y0WDNtd0p1bWliRGI3NDB3bWM1U1ozV2htMnlkSjh0VjhQdi83bnVkb2JHemNPd2lDVmpNemQ1K25WV0hlV3BsWmtzMW1IOTNBcndjQUFLRGY0L0ZKQUFDd1ZuVjFkWU1HRHg0ODJ0MUhCRUd3cUtXbFpXNTVmeGlHYldZMlNGcnRMWWk5U3BKa1QwbmRvVmdjeDVaS3BRYVoyZHZ1Ym1hMjFsRE16TllJeGtwN2o5bXFDN3U3TDVQa1NaSWtRUkFNMFFZKzd0ZkxJNFpyVTFzTXM3cE5tVExsMWZyNityOVVWVldkWkdhalU2blU3V1hkdDVjRllzZVoyWWVLOTNTQnBKKzYrN0ZoR0Y2ZnkrVWVMNnZsaGRMMzRlNHBNNnNyZHBVZUUyMG8vbDRnYVpTN254T0c0VVF6TzdyWUhoZkhyQkdLQlVGd1VmRTdrNW50SU9tdmZkeHZMUDVtQkFBQVd5RCt3QUVBQU9XQyt2cjZYZFBwOUY3Ri9hejIwS28zRys0azZiZVNmcUpWSVlra3lkMW5tTmtIM1AwTlNVc2t2U0ZwdmxadGpDOUo4OTE5YVhIc2krVVhXckZpeFpKaHc0Wjl2NnVyYTNrUUJOdVoyVDA5aStsdGhaalVIY0IxU3BybTdrOGxTWkp6OTM5MmRYVk5tVHAxYXNlN3VmRzMzbnByMUhydUtUWkYwdDQ5MjZkTW1mSnFVMVBUZnU3K2hLU1BGT3VmdFhMbHlsTWxLWXFpQm5lL3ZqUThtODFlRm9iaHNXYVdjZmZmaEdHNFh5NlhlMDJTY3JuY2h5V3BxYWxwdCtLYkxPdmN2ZDNNenBRVUZOOW1LWGUvVmF0VzV4MHA2ZWhpMnpOSmtwemMwdEtTNjFsakpwUDVsSmtkVTk3V1d4aFlEUDFLKzVzbGZYMG5BQUFBQXhHaEdBQUFVRjFkM2VnaFE0WjhJZ2lDU1dZMlVWS051dzh1YmNZdVNlNCt0cUdob2FaUUtIU0hLQjBkSFo4TWdxQXFTWkxPUVlNR3hlN2VtU1JKNTlLbFMyTkptajE3ZHFmS1FyUnl4YzN4SjB1cjNqNVozdGZYWG1KSmt0emo3djhWQk1HVU45OThjL21jT1hQYUpQV2VvSzJua1NOSEhqZHk1TWcrMzJwWjNQaC9EVkVValUrUzVEb3pLd1ZpOHlVZFBtM2F0SVdOalkyZmNQZTd6R3lFdXlkeEhFOHExbnV1cEwrYTJTNlNIb21pNkloc05qdWpzYkZ4ajFRcWRXYVNKTjgwczBIRjRPcDVkNzhraXFMUmtrb2IvYit5WXNXS2l3WVBIbnlQbVIxY2JOczFDSUxQUjFIVVZ2NjRhbDFkM2ZBZ0NIN1pTK2svek9WeTE1Vjl0aWlLYnBQMHBlSjkvS3l2N3dRQUFHQWdZazh4QUFDMllvMk5qWjhvN252MWlkTHFJMGtydE9xeHZBWHVQbHRTU3h6SFQ4WnhuSHZ1dWVjV2JZbzY2dXZyZDZxdXJuNUJxOEk0U2QyUFRMcVpMWlAwbXJzLzUrNTNKMG55NS9KZzdyM1lXSHVLUlZGMHJydGZYbnFzMHQxbkJFRndSSE56ODdRd0RMOHY2ZExTSTR1U1RzdG1zNlVWWXdyRDhQK1oyYmVLOCthNiswbEJFRHhRZHFucDduNjBwSlBNN0l5eTY3ZTQrOGZ6K2Z6aXBxYW1xaVJKZmk3cGxCNlBkaDZaeldidkwxN25yckpWWW45Mzl4M05iRmQzNzVEMDZlSWpua0VZaHRlWTJlbkZhendiQk1GK3pjM05mWWFGQUFBQUF3MHJ4UUFBMklxWjJmamlodTJka2xxVEpHazJzeWZjZlhwSFI4ZExVNmRPZldOejFKRWtTYWU3djJGbTQ4b2ZqWlQwZDBsLzYram9LRXlaTXVYNWRaNmtnam83Ty85VVZWWDFZMG1EM2YyM1FSQ2MzdHpjdktUWVBkbk1McFJVNWU3Znp1VnkxNWZQRFlMZ1RIZmZXZEpoN3Y3ZGZENy9VQmlHVTgxc1IzZS95OTEvWjJhRHpleXZTWkpNRDRMQTNIMVJraVF2QlVGUUY0YWhraVNScEZzbFBlZnVYNVcwbjZUL3krVnlwVURzUjZWQXpOMlh4M0Y4ZkRxZEh1bnVUeGIzaEpzY2h1RTN6ZXdya2c0cmx2WktITWRmek9WeUJHSUFBR0NMUkNnR0FNQldJcFBKN0I3SGNVMXJhMnRycVMyZno5OFVobUVrNllZZ0NLYW1VcW5PU3E0S2N2ZmxrbTR2MVpQTlpqc2tkVzJPYTNkMWRRMHRGQXJ0ZlkwTHd6QnZacXZ0S2RiYTJqcXpGQ29sU1hKVExwZGJJcTE2VVlHWjFSWWZnNXpiM3Q3K2RCaUdCeWRKc3FpNDUxZmEzUTkzOXptU3ZwN1A1LzhnU1hFY2Y4M2RaMVZWVlYxc1pvK1ZyaE1FcXhhQm1abFNxVlN2OVNWSkVpWkpzc1RNcW9yMWZ0dk1MaW9iY21LaFVKZ2xhVlltay9tU21kMmxWUzhQK0VQWm1KZk03S0JDb2ZCSzM5OGNBQURBd0VRb0JnREFsaTJZT0hIaTNxbFU2aHRCRUp3ZEJNRXRFeVpNT0gzcTFLbWxOek4yNVhLNVNSV3RVRkp0YmUzU3pzN09iMGw2WW1NOUd2a3VqTTFrTW4yR1lwS3FlbXRNa3FRMUNJTERVcW5VNFdFWS9zamRYd3FDNEZlU2F1TTRibWh0YlcwTnczQzZtZTBSQk1HVGtnNEl3L0Rya241bFpvcmorTkhTdVFxRlFyYXhzWEhISkVsZU5MTy9yYTJRNHVPUGN5VjFsTFdOTHhRS2Q2b1lKcHJaS1dWVHJzcmxjbitVcEhIanh0V1kyVGJGRlhwank4L3I3dms0anNkSWVsWHZjYTgyQUFDQS9vcFFEQUNBTGRTNGNlTnFSb3dZOFcrU1RwZjBBWGZ2bEpTVWI1N2ZYelEzTjYrUTlIQWxhMGluMDlQZXkvd2dDSDVxWnVidUhVRVEzQnJIY2VEdU5XYW1xcXFxRXlTZDdlNTNtdGw1WnJaL0dJYjdCa0h3bXlSSkxqQ3pYWUlndUVUU255VEZVUlFkTHVsZWQ3L1gzWThLZ21DVXUzL1B6SGJPWnJPZkdUZHVYTTNJa1NOL0tla0FTVGZuY3JsTGl2dUtYU3ZwOTFFVWZUeWJ6WjVVTE8wdmtrNXg5ei9rY3JrZlpES1pqNXZaMFpLK1ltWWplN3NYTXpzbWxVb2RFMFhSRzVMK1ZueWpaYTZscGVXeDNzWURBQUFNUkVIZlF3QUF3RURUME5Ddy9iYmJibnVucEN2TnJFN1MvRGlPSjczMTFsdW5icXJOOHJkbW1Vem1VMmIyT1VreXMxODJOemUva3MvblowdDZ1amprcTAxTlRWV3BWT29tZDArS2JXYzBOemQzbXRsbHhYbTdSMUYwbkZhOUNPbDhTU2t6RzVmUDV4ZTcrd1F6bXlUcDAyRVlIako3OXV3MmQ5K3BPT2E4S0lycWl1Y2FWdHpRLzkvQ01EeTllSjNISmYyK3M3UHorMkVZemcyQzRERXpPNzBVaVBtcU54dmNLV21DcEpNbGxlOGpOMGJTbDh6c1o2bFU2aGdCQUFCc1FWZ3BCZ0RBRmlhVHlleHVaamVZMmNja2RiajdIOXo5dkVLaE1MdlN0ZlZ6SjJqVkJ2L3I1TzZYOVh6Y01BaUMvWXRoMStLT2pvNmZsSFhkTHFuZTNaL3Q2dW9hV3lnVVprVlI5QWRKMVpMdWs2UzJ0clpmRHhvMDZBSkoyMGdhRjRiaDF5UjlSSktTSkxsUWtuSzUzUDFSRkxWS21taG1sMGlhTE9rY2Q4K2FXWTI3bnlQcFcxMWRYU2VuMCtrUFN0ckx6SDZleVdRZW5qOS8vbjF6NXN5NVE1SkhVZlNRcEg4dDFyWkUwdS9qT0w2dVVDaE1MN1k5WDFkWGQ4dlFvVU9QQzRMZ0JIYy9vTGo2YlZGSFI4ZVBOdmdiQlFBQTZNZXM3eUVBQUdDZ3lHUXlHVE83eWN3KzVPNXZ1UHNGUzVjdXZYUG16SmxMK3A2OTlZbWk2R0ZKbjVHa1JZc1cxYzZlUGJ1dHJ6bGhHRTR4czczZGZWNHVseHRUYW05b2FLaFBwOU83WnJQWiswdHRFeVpNcUo0NmRXcVhwS1RYazVYTmxUU3JVQ2k4WFY5ZnYxTjFkZlgzM1gzUFhDNzN5ZEtZVENaenJKbDlPbzdqcTBvaFZoaUdGN2o3dEh3K2Y1ZUtlMzlObkRoeFlqcWR2c3ZNenN4bXN3LzN1TTcyNlhUNjUzRWMzN2R3NGNMNzU4eVpzN0tQZTMyL3BFK2EyYUpzTnZ0QVg5OE5BQURBUUVJb0JnREFGbUxpeElrVHE2cXE3cEMwbDd2UDYrcnErbUpyYStzVFlxUDB0V3BxYXFwYXVIQmhTcExXSnhEYnpFenYvcC9kZTVrTEFBQ3dWU0FVQXdCZ0MxRGNaUDF5TXp1enVFTHMxSHcrZjcvNldLRUVBQUFBYksxU2xTNEFBQUM4ZDYrLy9ycHZ2LzMyYjVyWnRuRWNYOTdTMHZLZ0NNUUFBQUFBQUFBQUFBQUFBQUFBQUFBQUFNQldpOGNuQVFBWXVLeWhvYUYrOU9qUk5uLysvTGNyWFF3QUFBQXdrQVNWTGdBQUFMdzdFeVpNR0pKT3B5OU9wOU12aG1GNFFxWHJBUUFBQUFZU1FqRUFBQWFvVkNvMTF0MC9GZ1RCc0s2dXJobVZyZ2NBQUFBWVNBakZBQUFZb0ZLcDFORm1Oc0xkbjJsdGJYMnEwdlVBQUFBQUF3bWhHQUFBQTVTWkhTRko3bjZicEs0S2x3TUFBQUFNS0lSaUFBQU1RT1BIajMrZm1lMGpxVTNTazVXdUJ3QUFBQmhvQ01VQUFCaUFhbXRyRDVRa2QzK2hvNk5qWHFYckFRQUFBQWFhZEtVTEFJQ3RWUlJGVDBnNm9MZStycTZ1ZlFxRndqLzZPRVU2azhtY2FtWW5tbG1IdTdkSnVqaVh5MDNlNk1XaTMwbVNaT2NnQ0NScGthU09DcGNEQUFBQUREaXNGQU9BQ21ob2FOalYzZmZ2cmMvZG4xK1BRTXlpS0xvbENJSnJ6T3lDYkRZYm1kbDBNM3NvaXFLVE5rSEo2R2ZNYk0vaTc5bVNsbGU0SEFBQUFHREFJUlFEZ0FwSXA5UEhtMW1icENVOWY4enM1cjdtTnpZMkhpdnBLKzd1aXhZdG1peEo3djZYNHU5cm01cWFkdDUwMWFPZjJFMlNraVNaUDNYcTFKV1ZMZ1lBQUFBWWFIaDhFZ0FxNDErU0pHbk01L012dnB2SlFSQ2NXVHhjTVh2MjdEWkpTcEprVGlxVmtwa05TcExrWkVrLzNGakZvbC9hVnBLQ0lGZ2hLYTV3TFFBQUFNQ0FReWdHQUp0WkpwUFpUOUplUVJEa3d6QmNaR1l0N3Y2WElBaCswOXpjdktTditYdnV1ZWN3TS91SUpCVlhtMG1TM0wyemJOaW5SQ2kycFp2cDdqS3pOeXBkQ0FBQUFEQVFFWW9Cd0dabVpzY1hEd2ViMldCSlk4M3NzQ1JKTHNwa01pZmw4L2s3MXpWL3lKQWhINUtVa2lSMzd5cTFCMEdRbEEyTGltTUc3QXFpc2J2dFhaZE9WZFZYdW83K2FubDc4bGYzSkJYSHZtTGNIcG1qS2wxUGY5Umh5Zk92VFM5TXIzUWRBQUFBNko4SXhRQmdNNnFycXhzazZZdTk5Wm5aQ0VtM1p6SVpyU3NZYy9jZHpLejBzZGZReTh5Q2hvYUc3UXFGd3Z6M1duTWxqUDFBWnZlcUtyL2I1WFdWcnFXLzZrd2tLU2p1RHVxVkxhYWZxcGE5UHZZRG1jL01tZm51SGxNR0FBREFsbzFRREFBMm8rcnE2cW9rU1k1SnBWSkQzWDFITS91d3UzL096RVpLa3ExS3U2NnZxNnU3YjhhTUdlMjluY1BkUjVTRll0MXBpSm10bG95WTJiYVNCbVFvbHE3V2ptNGFsUXFDbWgyMjMwRzF0VFdWTGdrRHlNcVZiWnIvNW54MXhjbUlkTFYybEVRb0JnQUFnRFVRaWdIQVpqUjE2dFRsa2g0cmE3cWhxYWxwY0pJazU1alpqeVNseld6MGtDRkQ5dXN4cmx2NVBtTGw0amhPcGRQdi9OZDZaMmZuMG8xWWVrWFUxdFRxOUcrZHFJYjZ2U3RkQ2dhUXdwVG5kTVhWMSttdHhYMXUwUWNBQUlDdEdLRVlBRlJZYzNQekNra1hoMkg0dkpuZEtVbXBWR3I3ZFV4NXZleTRlOGxZRUFTcHN2YTR0cloyNGNhdGRQTUxVb0hHN2JLekpvemZzOUtsWUFCWnVteVowaW4reEFFQUFNQzZCWlV1QUFDd1NpNlh1MHZTM3lYSjNWOVp4OUJueTQ2Ny81Ky91d2RseDdubTV1Wk9BUUFBQUFCNnhiOUdCWUIreE4xYnpXem5YQzczakNUVjE5ZnZVRlZWZGJXa0llNytuWHcrLzJJdWwzc3ppcUptU1UyU2hwVG05bGdwOXNqbXJSd0FBQUFBQmhaQ01RRFlqSXI3aHowamFYdEoxd1ZCOE84OVZuUTFKa255UXhYZktsbGRYWDI1cE9Na3ljeUdTVHBJa3R6OU9qTzcxY3lHVEpnd1lXaHhyN0pSeGI2T0lBaHUzb3kzQlFBQUFBQUREbzlQQXNCbTFON2VQc3pNOWpTejBXWjJzYnMzaDJGNFRFTkRReFNHNGJWbTltQStuLzk5MlpSdFN3ZnVQcUowbk12bGZpdnBEa21xcWFrNXJOaDhSUEgzV2MzTnpTOXQ2bnNCQUFBQWdJR01sV0lBc0JsTm1USmxYaFJGbjNIM0gwaHFsTFNIcEN0VHFkU2padmJMYkRiYlhENCtqdU9mcEZLcGlaSUd1L3QzeTdvOG04MStPWXFpRm5lL0xBekRTOHhzU1pJa1IrWHorVDl2eGx2YUluVjFkYW4wSnMvbm4zOWVkOTU1cHlTcHZyNWVSeDk5dE41NjZ5Mzk0aGUva0NTTkdqVktwNXh5U3ZmYzVjdVhhK2pRb1J0MHZRVUxGdWlXVzI2UkpJMFlNVUxmL09ZM044WnRiRkxMbHkvWGxWZGVLVWxLcDlPNjRJSUxLbHdSQUFBQXNHRUl4UUJnTTh0bXM0OUtlblI5eHJhMHRPUWsxYTJsTzg1bXM1ZEt1blJqMWJhMVc3cDBxYTYrK21xOThzb3J1dUdHRzFSVlZhVzVjK2ZxejM5ZWxUT3VYTGxTUng5OXRKWXZYOTdkdHNzdXUzU0hZazgvL2JTKys5M3Y2clRUVHRNWHYvaEZtWFcvSEZTbm4zNjZYbmxsMWZzVGJyNzVabTIvL1RzdkdGMjhlTEZ1dSswMlNkTFlzV1BYQ01YdXUrOCsvZWQvL3FjazZWLys1VjkwM0hISGRmYzk5dGhqM1FIZGUzWHV1ZWRxMzMzM1hhK3hiVzF0ZXVDQkJ5UkpWVlZWaEdJQUFBQVljQWpGQUFBb3V2SEdHM1hmZmZkSmtpNi8vUElOQ25wZWUrMDFuWGZlZVZxeFlvV3V1T0lLN2J6enpxc0ZURys4OFlibXpKa2phZFZLdEEyeGZQbnk3cmxMbHk1ZHJXL1pzbVY2K2VXWE4raDhhL1AyMjI5dmxQTUFBQUFBQXdGN2lnRUFVSFRhYWFkcDNMaHhrcVI3NzcyM095RHJTMmRucDc3OTdXOXJ5Wklsa3FSdmZPTWI2MXh4MWRiV3BoVXJWblQvdExlM2QvZTUrMnA5SzFhc1VHZG41MXJQMVorMXRyYnEwa3N2M2VBUUVBQUFBTmdjV0NrR0FFQlJiVzJ0THIvOGNuMzk2MS9YeHo3Mk1YM3NZeC9UUC8vNXp6N25WVlZWNmZqamo5ZWxsMTZxZmZmZFY2ZWVldW82eHg5NzdMRnI3WnM3ZDY0Kyt0R1BibkR0a3JUdnZ2dnFpaXV1V0szdDRvc3Yxbi8vOTM5TGtrNDY2U1I5OWF0ZlhhMy85Tk5QVno2ZmYxZlhLK25zN05UczJiTzdBMFZKbWo1OXVrNDc3VFF0WDc1Y3I3NzZxcTY4OHNvTjNtc05BQUFBMkpRSXhRQUFtMVJqWStQZUxTMHQweVgxMitWQ2l4Y3YxbUdISGRiOXViT3pVNDgvL3JnZWYveHhKVW5TM2Y3SUk0OW8vLzMzWDIzdXl5Ky8zTjNXMmRtcEo1OThVZ2NjY0lBazZZdGYvS0xPUFBQTXpYQUhxNlJTS1EwZVBIaU50cEtxcXFvMStvTmd6VVhqSFIwZGE5eG51YWFtSmwxeXlTV3J0ZDErKyszNjN2ZStKMGw2OGNVWGRjb3BwMmo1OHVXU3BHZWVlVVovL2V0ZjlmblBmMzdEYmdnQUFBRFloQWpGQUFDYlZCQUVENFJoMkNMcDlqaU83eXNVQ3YxeTQ2cTJ0cloxZnBha09JNFZ4L0U2NTViM2x6LzIrT2xQZjFyejU4OS96M1ZPbURCaHJYMXhIR3ZGaWhWcnRKWFgwN08vUFBRcmNmZGUyM3M3WjhuOTk5K3ZVMDg5VmJObXpkTHBwNSt1WmN1V2RmZWRjODQ1QkdJQUFBRG9kd2pGQUFDYmxKbU5jL2R4a2o2WFNxVTZ3ekNjN082L0M0SWc5L2JiYjgrYlBuMzZja2xleVJvSERScWtvNDgrZXEzOWJXMXRldlhWVjdYNzdydDN0NjFZc1VJdnZ2aWlHaHNiMXpxdjFMZGl4UXA5NVN0ZjJXajF0clcxcWFhbVpvMzJwNTkrZXAyUFh0NTQ0NDI2OGNZYit6eS9tV21iYmJaWnJTMk80KzZWWCtXcnowcFdybHlweXkrL1hJODk5bGgzU0dobU91Kzg4d2pFQUFBQTBDOFJpZ0VBTnFjcVNVZWEyWkh1L2twdGJlM2ptVXptMlNSSm5saTZkT25VMmJObnI3azhhek9vcmEzVmVlZWRwK25UcDB0YUZlYnNzY2Nla3FUcnJydE9reWRQbHJ2cnlpdXYxT2pSb3lWSk45eHdneDUrK0dIRmNhenp6anRQVVJScHdZSUZXcmh3b1NScDFLaFIybTY3N2JSNDhXSWRmUERCRzdYZThlUEg2M2UvKzkxR1BXZTU2dXBxUGZyb282dTFQZmpnZy9yUmozNGtTYXF2cis5MTN1VEprN3VQYTJ0cmRkbGxsNzNyL2RFQUFBQ0FUWTFRREFDd3labVpwRldQNVpYWjJjeSthbVpmQ0lMZ3paRWpSODRZTVdMRVkxMWRYYjlmVnFHWExYNzV5MStXdEdxZnJYLys4NSthTjIrZXR0OStlNjFjdVZLU2RNMDExK2lNTTg3UXdvVUxkZXV0dDBxU2xpOWZycEVqUjJyNTh1WDYwNS8rcEp0dXVrbVM5SzF2ZlV1VEprM2FyUFVQSFRwMHRjM3VKV25PbkRsYXZIaXhKR21ISFhib0R2VktaczZjdWNZamxiMHBEN3oyMldlZmRZNGRNMmFNcnJubW10VlcxZ0VBQUFEOURhRVlnQUVuazhuc2JtYUQreDZKL3FZVWpwVno5eHBKTzBuYXljdytVVlZWOWFNaGxtVGY3bFQxWmkrd1RIdDd1dzQ5OU5EVjJoNSsrR0U5L1BERHE3VXRXTEJBeHh4empFNDQ0UVNsMDJ2K3orcmFIczE4K09HSHU4T29tcHFhTmE2MUx1OTczL3Q2YmM5a01ycjIybXRYYXp2Ly9QTzdBNjFqanoxVzMvakdOMWJyUC9IRUU1WE5adGQ1dlFVTEZ1aVpaNTZSdEdvRldHTmpvNVlzV2RMZG4wNm5OV2JNR00yWk0wZVNkTkZGRnhHSUFRQUFvTjhqRkFNdzRKalpvMlkydHRKMTRMM3BzV3Fzdk8yTnpxN2tmK1MyNjJZdmFoTW9QWnBaa2lTSmZ2clRuNjYyT3V1ODg4N2JvRkJzYzd2bGxsdTZOOWZmYjcvOVZGVlZ0VnEvbVduU3BFbjY4WTkvTEVuNjJjOStwdC84NWpkcmpBTUFBQUQ2RTBJeEFBT09tWTExOS8rUzlKTksxNEsrbWRuczB2RmFnckNaa240VngvRUQ2WFI2YVZ0YlcwZUhEOXBUNWlkc3pqcDdxcTZ1MW05Lys5dlYycTY0NGdxMXRyWktraTY1NUJMdHNzc3UzWDJqUjQvVzNYZmZ2YzV6eG5Hc0N5KzhjTFZIRVk4NjZpZ2RmUERCYW05dlg2KzYwdW4wYWh2ZGQzVjFkUjhYQ2dXZGVPS0pxNDJmTld0VzkvSGRkOSt0cDU1NmFyWCtGMTU0WVozWG16ZHZudTY2NjY3dXo2VkhUSHM2OU5CRDlldGYvMW92di95eVhuamhCVjF4eFJXcmhZRUFBQUJBZjBNb0JtQkFNck9sMld6MjVVclhnYjVGVVZRZWhpV1NGcHZabTBtU1BDM3A1bncrLzR5a3J2STU0L2JLN0xtWnkxeURtV25ublhmVzNMbHpWMnNyU2FWUzNlRlViVzN0R250MTliUmt5UkpkZU9HRmV1S0pKMVpydi9mZWUzWHZ2ZmV1ZDEzbm4zLythbTl6N094OFp3TzJwVXVYcnZOUnlOZGVlMDJ2dmZiYWVsOUxrcTY4OHNydWE5VFgxeXVUeWZRNkxwVks2ZXl6ejlaWlo1MGxhVlVBOTc3M3ZVOG5uRkRSYkJNQUFBQllLMEl4QU1BbVoyWUwzUDFaU2MrNmUzTm5aK2ZUVTZaTW1WZnB1dnFTeStXNlE1NmVmdkNESDNRZjE5ZlhkMis4MzV0bm4zMVc1NTkvdnQ1ODg4Mk5YbU5IUjhkR1AyZkpuLzcwSnozMjJHUGRuNy8rOWErdmMveEhQL3BSSFhyb29Ycm9vWWNrU2RkZmY3M01iSTE5ekFBQUFJRCtnRkFNQUxCSkpVbHlXcElrRDdXM3R5K1lQbjM2Y2tsclBrTzVCYnZqamp0MHhSVlg5UHJvNkpGSEhxbFJvMGIxZVk2bm5ucEswNlpONjdXdlBHZzcrdWlqZGVxcHA2N1dmK21sbCtxUlJ4NlJKRTJhTkVuSEhYZmNhdjFubjMyMkNvWENHdWZONS9QNitjOS8zdjE1Ly8zMzEwRUhIZFJucmVlZWU2NmVlZVlaTFZpd1FKTDBILy94SDFxNGNLSE9PdXVzWGw5RUFBQUFBRlFLZjUwQ0FEYXBmRDUvZmFWcmVMYys5S0VQcmZabzQwVVhYYVJjTGlkSnV2cnFxN1hycnF2ZUJWQmR2ZllYWlk0Wk02YlhRRXhhOVRiSUNSTW05Rm5INHNYeXE3SFVBQUFnQUVsRVFWU0wxeHFLbFQ4T09YYnNXRzI3N2JhcjlaZlhWbE5UczBaL2IwRlZhMnVyVGovOWRMVzF0VW1TaGc0ZHFnc3V1S0RQT2lWcCtQRGh1dWFhYXpScDBxVHUrYmZkZHB1ZWUrNDUzWERERFJvMGFOQjZuUWNBQUFEWTFJSktGd0FBUUg5VlUxT2puWGJhcWZ1bnBxYW11MitISFhib2J0OWhoeDNXZW80RER6eFE5ZlgxQ29KQXA1eHlpdmJlZSsrTld1TkxMNzIwV2swYnFueFBzcExKa3lldjluYk03My8vKzJ2c21iWnMyYksxbm5QOCtQRzY3TExMRkFUdi9Ka3hhdFFvQWpFQUFBRDBLNndVQXdDZ2h5UkpkTlZWVjYzUkhnU0JHaHNiSlVsMzNYWFhHaUZQNmMyVVBaMTExbGx5ZDBWUnBNY2ZmN3k3L2U2NzcxNWo0LzNlUFAvODg3MjJ2Lzc2NjNybGxWZTZQKyt4eHg1OW51dlZWMStWdE9ybEFETm56dFQwNmRPNyswb2gxZ2tubktCNzc3MVg3ZTN0T3VPTU0zVElJWWVvdWJsWnI3Lyt1b1lORzZicTZtcmRjY2NkM2ZQS3c4S1NBdzg4VVAvKzcvK3U4ODgvWCs2dTczem5PMzNXQmdBQUFHeE9oR0lBQVBUaXR0dHVXMmQvUzB2TGVwOHJETU5lMisrNTU1NE5xcW1uMG9iMmtqUmt5QkR0c3NzdWZjNjUvZmJiMTNwdjIyMjNuYVJWcTdvT1AveHdiYmZkZHQyYjY3LzQ0b3U2OHNvcmU1MjMwMDQ3OWRwKzBFRUg2Y1liYjFRdWwzdFhxOWdBQUFDQVRZbFFEQUNBb3Q1V1BHMklycTR1ZFhWMWJhUnExczNkZGQ5OTkzVi9QdkRBQTVWS3BmcWN0Ly8rKy9jYWlvMFpNMGJqeDQvdi9ueldXV2RwOE9EQjNaOHptY3hhejlsejgvNXlFeWRPMU1TSkUvdXNDd0FBQU5qY0NNVUFBQ2g2OHNrbjM5UDhHMis4VVRmZGROTjZqLy9WcjM2bFBmZmNzODl4VjExMWxmNzg1eit2MW1abXV2WFdXM1g5OWRmcjNudnYxUmUrOElYMXVtWVVSUm82ZEtnNk9qcFVYVjJ0b1VPSGF1TEVpVHIxMUZOWDI1Uy9QQkNUcE4xMzMxMkRCdzlXVzF0Yjk3eWRkOTVaeHh4empENzcyYyt1MTdVQkFBQ0Evc1FxWFFBQWJLZ29pbHpTTmRsczl1eEsxNEpOWTl4ZW1ZL0wvTGJodzRhTnVmRVhWMnVmRDMrdzBpWDFhM1BuenRXT08rNVk2VEw2amY5NzVsbWRjYzczOWViQ2hZdmwrdnpzYWZuL3JYUk5BQUFBNkg5NCt5UUFBQU1jZ1JnQUFBQ3c0UWpGQUFBQUFBQUFzTlZoVHpFQVFMK1ZKSW5tdnZhNlhwbzVxOUtsWUFDWis5cnJpdU80MG1VQUFBQ2dueU1VQXdEMFd5dFh0dWtYdjd4SlEzcHMrZzZzeTlzclZtanBzbVdWTGdNQUFBRDlIS0VZQUtEZmlTMVprUEtnTFVrU3ZmTHFuRXFYZ3dIS1hKMWRsaXlvZEIwQUFBRG9ud2pGQUFEOXpxdlBGNTdmWmEvNnJ5Z09kcTUwTFJpNFltbnVxeThVbnE5MEhRQUFBT2lmQ01VQUFQMVIvUEswS1U5SmVxclNoUUFBQUFEWU12SDJTUUFBQUFBQUFHeDFDTVVBQUFBQUFBQ3cxU0VVQXdBQUFBQUF3RmFIVUF3QUFBQUFBQUJiSFVJeEFBQUFBQUFBYkhVSXhRQUFBQUFBQUxEVklSUURBQUFBQUFEQVZvZFFEQUFBQUFBQUFGc2RRakVBQUFBQUFBQnNkUWpGQUFBQUFBQUFzTlVoRkFNQUFBQUFBTUJXaDFBTUFBQUFBQUFBV3gxQ01RQUFBQUFBQUd4MUNNVUFBQUFBQUFDdzFTRVVBd0FBQUFBQXdGYUhVQXdBQUFBQUFBQmJIVUl4QUFBQUFBQUFiSFVJeFFBQUFIcG9iR3dNSjB5WU1LYlNkV3hxWVJpK2Y4S0VDVU43NmJMTlhnd0FBTUJtbHE1MEFRQUFBSFYxZFlOcWFtckdUcGt5WmFZa3IzUXRRUkQ4WDAxTlRYVVVSU3ZpT1A1d1MwdkxjK3M1UFIxRjBTdVN0bmYzQjNPNTNPZldNcVpUa3R6OVFqUDdoNlN2dGJXMW5UQjE2dFNPM2s0YVJkRTFrczUwOTVaY0xwZnAwZmVzcENaM3Z6R1h5NTI4bHZuN3VQdVI3ajRubFVyZDA5emMvSHBUVTFPVnU3OVVVMU5URTBWUmN6YWIvV0JaZmJlNGUvdXlaY3RPbVRGalJ2dDYzanNBQU1DQVFpZ0dBQUFxYnB0dHR0bkIzWE5oR1A2dnUvL244dVhMSDY1VUdETjA2TkI5emF5NitISG1CZ1JpQ3NQd0tFbnZLMzZzaXFMb3g2VStkNStXeStYK3FMTFF6OHlHU3ZxMXBQY05HalFvSmVuTG1VeW1MZ2lDeVQxT1BhcjRlM3dVUlRQS085eDlySm5Kekk2TG91aVQ1WDFKa2h5U3orZGZkUGR2bXRra00xTjdlL3Y5eGI1R002c3BEbTB1dTRmdlNQcUttV240OE9GN056UTBIRmtvRk9hdjczY0FBQUF3VUJDS0FRQ0Fpa3VTeE14c21Ka2RZV1pIREI4Ky9KVXdEUDhzNlc5eEhFK1JOS2RRS0x5OXNhOGJSZEU5N3Y2cEhzM2xmeC90RlliaDh0N21tdG04YkRhN1cxbFRTdEpGWmYySFNEcWtyUC9Qa3Y2b3NrY1QzWDFSa2lSSHBWS3B2MGs2UEF6RHBqaU8yNElnS0Q5ditUV3JKZTNXbzYxME9MejQweTFKa2tIRncxSWQwNmRNbWZKcWNkNUh5OFk5VlRwdWIyLy9lVTFOelljbGZWN1NSMUtwMUZXU2p1K3RIZ0FBZ0lHTVVBd0FBUFFyN2k0ejI5bk1UcGQwU2lxVm11N3UyVEFNbitucTZ2cHJhMnZyaTVMaWpYUzVXak1ic283K3RKbjErdmVTdTY4Mkx3ekRINXJaaEdMZnJ5UXRMSGFkV2x3UjlyWWtqUjA3dHFvMHg4emFXbHBhbm9taTZQTnhIRTh2RkFxekpreVlVRjFWVlRXK3g3VytLZWtJZDU4VkJNSFpQZnF1a2xRbjZXRXp1Nkc4cjZ1cmEyWmpZK1BlWnJaamNleWlUQ1l6cWRqOXBiSTZkaXRybDd2L3Q1bnQ0KzdEelN5YnlXUW1CVUhRbHMxbWY3ZU83d29BQUdCQVlSTlZBQU5PRkVVdTZacHNObnQybjRNQkRBaGhHTzVpWnJPbFZhRllTZGtxS0VscWMvY2xrcDZMNC9qbUZTdFdQRFJqeG95bDcrVzZVUlE5TE9renhZL1h1SHVmWVp1Wi9hdWs3ZHg5WGk2WEcxT3MvNU5tTmxtci9vWGpQWkllbDJSZFhWMzNwdFBwbWNYN2VscFNRL0VjUTRwdEhaSTZ5ODU5VHphYi9WcnBjeGlHSjV2WjRldDdQMG1TNVBQNS9QbmxiWTJOalFla1Vxa24xdmNjNjdBd204Mk82bnNZQUFEQXdNQktNUUFBc0Nta0d4b2FCcFUzcEZLcHdibGM3czN5dG9hR2hpRkprZ3lWTkxyVVZoNkVsUWRra21vazFaalpEdWwwK3FCaHc0WXRDTVB3VDBtUzNCM0g4VXRKa3N5Yk9uVnFyNDg2cm85Rml4YjlZUGJzMlcxOWpRdkQ4TE5tdGwzcGMxMWQzU0JKZDBoS3Uvc2lNN3RKMHYyUzB1bDArc0xpZmJoV3JlVGF0L3hjeGNjaFMvdVh5ZDFyZS9UWFN6cHNmZStoYkkrd2JrRVF4TzdlODlIVHF0SythZTdlTHFsclBVNy9ycjliQUFDQS9vaFFEQUFBdkd0MWRYWERodzRkK2dsSjI1cFp5c3plcDFWL1h3eFJXZEJWOUg2OXN5cExraFFFd1JkU3FkUy85aGJtU084RVpPWGhXT25ZekVaSk9pa0lnaFBON0dVemV6eVR5VHhqWmsvbWNybm50SDVCVDdkdHQ5MzJ0Q2lLMW1mT2R1VWZac3lZMFI1RjBiMlN2bXBtcDVqWnMrNytEVWxYU2hwVEhQWS9RUkRjNGU2TDNQM1RablpFMmYzY2FHWlRpdmMwUTFvVkZuWjFkWm1aWFowa3lTMmxzVW1TeE9sMGVxVWt4WEY4a0puOXdNekdGcy96dHlSSmZ0alUxRFFxU1pKUDVYSzUyeVFwbDhzOUxXbG9lYzFoR0Q0bzZkRGllZllyRkFyWkRmaXFBQUFBdGdpRVlnQUFZSjBhR3h2M2tKUkpwVktqbHk5ZmZ2c0xMN3l3b05RM2JOaXdFV1oyZzd2WG1KbTUrekF6QzliMzNFRVFqSlAwOGI3R3JTMGNLNzUxTVRDelhTWHRLdWxJZDc4NWs4bjhLcC9QdjdqK2R5a0ZRWERsaG93djE5SFJjV0U2blg3S3pNNTA5MThrU1hLYW1kMVd0di9YVDV1Ym02ZEptaGFHNGZIRitwTmk3U095MmV4L2xKOHZuVTdQVGFmVDI1VHVzYXpHbHVibTVrd1lodmNGUVhCRTJaU0xjcm5janpPWnpGRkprdHh2WnR0bk1wa2duOC8vdm1ldGpZMk5lNnU0OGI2N3owdWxVaVBETVB4a3ozRWxacFprczlsSDMrMTNBd0FBMEY4UmlnRUFBRW15Q1JNbVZFbXFIalJvMEY2U0RqV3ovZDM5STJhMlRYRk0yNkJCZ3g2WDFCMktCVUhnU1pJTWsrVEZuNlhGSUtjdFNaTG1IdGRZSTZTSzQvaVJJQWphdFdxbDJmZDY5dmQ0ZlBLZFl0OEppanJkdmNQZFowbTZZZVhLbGIrWlBuMzZzZzI2ODNldXRiNXZ0Nnp0R2Z4Tm1UTGwxZnI2K3I5VVZWV2RaR2FqVTZuVTdXWGR0K2R5dWI5SlVoaUd4NW5aaDRyM2NJR2tuN3I3c1dFWVhwL0w1UjR2cStVRk14dGVQRTZaV1YyeHE3MzR1Nkg0ZTRHa1VlNStUaGlHRTgzczZHSjdYQnl6UmlnV0JNRkZWdndDeld3SFNYL3Q0MzVqOFRjakFBRFlBdkVIRGdBQVc3ZDBHSWI3dTN1OW1VV1NQbVptdTVVNnpVekZ6ZTNubWRsOE0rc29uN3h3NGNMNXc0Y1BQOWpkbHlSSjB2WGNjOCs5ckxLTjQvdlMwdEx5ZDBsL0Q4TndGMG5kb1ZodllWaDVFQ2JwSlhkL1FkTFQ3djVJUHAvUGI4aDFlL1BXVzIrTldzODl4YVpJMnJ0bis1UXBVMTV0YW1yYXo5MmZrUFFSU1hMM1dTdFhyanhWa3FJb2FuRDM2MHZEczluc1pXRVlIbXRtR1hmL1RSaUcrK1Z5dWRja0taZkxmVmlTbXBxYWRpdSt5YkxPM2R2TjdFeEpRZkZ0bG5MM1d5WHRibVpIU2pxNjJQWk1raVFudDdTMDVIcldtTWxrUG1WbXg1UzM5UllHRmtPLzB2NW1TVi9mQ1FBQXdFQkVLQVlBQUs0TGdtQnZTU2xKY3ZlM0pEMHJxZFhkVzgzc1ZYZGYyTjdldnFpam8yTmUrY1JpaVBTUGpWbE16MENzN05ISlJaSWVUSkxrZ1ZRcU5XM0praVV2ejV3NWM4bkd1dTdJa1NPUEd6bHlaSi9CbXJ0djAxdDdGRVhqa3lTNXpzeEtnZGg4U1lkUG16WnRZV05qNHlmYy9TNHpHK0h1U1J6SGs3UnFaZDI1a3Y1cVpydEllaVNLb2lPeTJleU14c2JHUFZLcDFKbEprbnpUekFZVmc2dm4zZjJTS0lwRzY1MTl6VjVac1dMRlJZTUhENzdIekE0dXR1MGFCTUhub3locXkyYXp6NWZxcTZ1ckd4NEV3Uzk3S2YySHVWenV1ckxQRmtYUmJaSytWTHlQbi9YMW5RQUFBQXhFaEdJQUFHeEZ4bzBiVnpONzl1eE9yWG9rVGxxMUdmMno3cjZ6cEVlU0pMbGp5WklsOTYzUGlxbE5wWHdQTFVsZDd2NUlraVMvYTJscCtkMG12dlIvcmMrZ0h2VkprcUlvT3RmZEx5ODlWdW51TTRJZ09LSzV1WGxhR0liZmwzUnAyU09MWnhRS2hYOUlVaTZYKzU4d0RIOXBadCtTdEplNy8yOG1remtwQ0lJSHlxNDFYYXRXZ1oxa1ptZVVydW51TGU3K20rblRweTlyYW1vNkpFbVNuMHM2eGN4R1M3cEEwZ1ZSRkIyWnpXYnZsNlJodzRiOWw2VFNLc0MvdS91T3hiM1lyZ3pEc0tYNGlHY1FodUUxZWljUWV6WUlnaDl0MExjSUFBQXdRQkNLQVFDd2hhdXJxeHRlVzF1YlNhZlR4MHRxSERseTVISFpiSFpHcVgvRmloVm4xZGJXbnBQUDV4ZFhzTXlTTmtrdnUvc1VTWCtMNC9pZVFxRXdwOUpGOWFXenMvTlBWVlZWUDVZMDJOMS9Hd1RCNmMzTnphVlZiSlBON0VKSlZlNys3Vnd1ZDMzNTNDQUl6aXlHa29lNSszZnorZnhEWVJoT05iTWQzZjB1ZC8rZG1RMDJzNzhtU1RJOUNBSno5MFZKa3J3VUJFRmRHSVpLa2tTU2JwWDBuTHQvVmRKK2t2NHZsOHZkTDBsaEdQNm85TmlrdXkrUDQvajRkRG85MHQyZk5MTkJraWFIWWZoTk0vdUtwTU9LcGIwU3gvRVhjN25jZTNvc0ZRQUFvTDhpRkFNQVlBdVd5V1RHRlRkMFA2SzRnbWhaVjFkWG5hVHVVT3pkYmt5L01RVkI4SGFTSkQrVDFKd2t5YlNGQ3hkT216Tm56c3JOV1VOWFY5ZlFRcUhRM3RlNE1BenpacmJhbm1LdHJhMHpTNkZTa2lRMzVYSzVKWkpVVjFjM3lNeHFpNDlCem0xdmIzODZETU9Ea3lSWlZOenpLKzN1aDd2N0hFbGZ6K2Z6ZjVDa09JNi81dTZ6cXFxcUxqYXp4MHJYQ1lKVisvdWJtVktwVksvMUpVa1NKa215eE15cWl2VisyOHd1S2h0eVlxRlFtQ1ZwVmlhVCtaS1ozYVZWTHcvNFE5bVlsOHpzb0VLaDhFcmYzeHdBQU1EQVJDZ0dBTUFXcXFHaDRRdG1kcTJrTVdZV3VQc2NkeitwVUNnOFV1bmFlbXB1Ymw0ZzZmdGE5VGhucFl6TlpESjlobUtTcW5wclRKS2tOUWlDdzFLcDFPRmhHUDdJM1Y4S2d1QlhrbXJqT0c1b2JXMXREY053dXBudEVRVEJrNUlPQ01QdzY1SitaV2FLNC9qUjBya0toVUsyc2JGeHh5UkpYalN6djYydEVEUGIxZDNuU3Vvb2F4dGZLQlR1VlBHN05MTlR5cVpjbGN2bC9paXRlcFRXekxaeDl6Zk1iR3o1ZWQwOUg4ZnhHRW12YXRYZVp3QUFBRnVjb084aEFBQmdJS21ycXhzZVJkRjU2WFQ2UHlXTmtmUktraVRuenBzM2I4OThQditRM3VOYkdqZWhTZ1ppU3FmVDA0SWdtTlhYajVudDBkdjhJQWgrYW1ibTdoMUJFTndxNlNsM3I1R2txcXFxRXlUSjNlK1VKRFBiUHd6RGZZTWcrSTI3djF5Y2Y0bUtMenVJb3Vqd1ZDcjFzcGw5MU4yUE1yTkprbDQwcy9aY0x2Znh0OTU2NjdObU5rdlNqcElleXVWeUh3K0M0Rk9TcGtyNmZSUkY1WTlvL3FWNDdUOWtzOWtmWkRLWmo0ZGhlTjJJRVNQbW10bXRQUU94WW4zSHBGS3BmMFJSOUZvVVJYOE13L0RialkyTm45ZzQzelFBQUVEL1FDZ0dBTUFXSkF6RDBVT0hEcjNXM1g4Z2FiaVpQUlRIOFhINWZQN3ExMTU3YlVXbDY5dFNaVEtaVDVuWjV5VEp6SDdaM056OFNqNmZueTNwNmVLUXJ6WTFOVldsVXFtYjNEMHB0cDNSM056Y2FXYVhGZWZ0SGtYUmNaSk0wdm1TVW1ZMkxwL1BMM2IzQ2NWZzdOTmhHQjR5ZS9ic05uZmZxVGptdkNpSzZvcm5HbGJjMFAvZndqQTh2WGlkeHlYOXZyT3o4L3RoR000Tmd1QXhNenZkekVaS2txOTYzZWVka2laSU9sblNHMlczTmtiU2w4enNaNmxVNnBoTjlQVUJBQUJVQkk5UEFnQ3doYWlycXhzdDZWWXorMHp4Y2NtZkIwSHdrMEtoc0tUUHlaQ2tFN1FlcStqYy9iS2VxNnVDSU5pL0dIWXQ3dWpvK0VsWjErMlM2dDM5MmE2dXJyR0ZRbUZXRkVWL2tGUXQ2VDVKYW10cisvV2dRWU11a0xTTnBIRmhHSDVOMGtja0tVbVNDeVVwbDh2ZEgwVlJxNlNKWm5hSnBNbVN6bkgzckpuVnVQczVrcjdWMWRWMWNqcWQvcUNrdmN6czU1bE01dUg1OCtmZk4yZk9uRHNrZVJSRkQwbjYxMkp0U3lUOVBvN2o2d3FGd3ZSaTIvTjFkWFczREIwNjlMZ2dDRTV3OXdPS3E5OFdkWFIwOEJaS0FBQ3dSU0VVQXdCZ3kyRERoZzM3Z3FRRHphdzlTWktMbHk5Zi92TVpNMmFzeng1WmtMUm8wYUxiWnMrZTNkYlh1REFNdnk5cHRWQXNtODMrdUtHaDRhNTBPcjNyYzg4OXQ2alUzdDdlZnNQVXFWUC9RMUpTTnZacjVYT25UcDNhMGREUThGbEpzd3FGd3R2MTlmVTdWVmRYL3o5MzN6T2Z6ejlZSE9aSmtseHNacCtPNC9ncVNjcmxjaTFoR1A0NFNaSnArWHorTGtrcUZBcHZUNXc0OFl2cGRQb3VNenN6bjgrL1dINnRycTZ1NzZYVDZhbzRqdTlidUhEaC9iMjl6S0Q0bjVsYkpOMFNodUg3M2YyVFpyYW8vTDRBQUFDMkJGYnBBZ0JnUTBWUjVKS3V5V2F6WjFlNkZxQS9tVGh4NGw1VlZWWG51L3VjOXZiMlM2Wk9uYnE4MGpYMWQwMU5UVlVMRnk1TVNkTDZCR0tibWVuZGIzTC9YdVlDQUFBQUFQcWpLSW84aXFLcksxMEgwQjlObkRoeHhQdmYvLzdCbGE0REFBQUE2Tzk0ZkJJQWdDMUlhMnZyVzVXdUFRQUFBQmdJZVBza0FBQUQyTVNKRXo4d1ljS0VNWld1QXdBQUFCaG9DTVVBQUJpZ3hvNGRXNXRPcDgrdHFhbDVNQXpETDFTNkhnQUFBR0FnNGZGSkFBQUdxTzIyMjI2a3BFTWw3U3hwZElYTEFRQUFBQVlVVm9vQkFEQkFtZGtoWnJhenBGZmZldXV0WDFlNkhnQUFBR0FnSVJRREFHQ0FNck9qSlNsSmtydG16NTdkVnVsNkFBQUFnSUdFVUF3QWdBRm96ejMzSEdabWgwaVN1OTlkNlhvQUFBQ0FnWVpRREFDQUFhaTJ0cmFwZURnemp1UFhLMW9NQUFBQU1BQVJpZ0VBTUREdFhmdzlONDdqRlJXdEJBQUFBQmlBZVBza0FHeGlVUlE5SWVtQTN2cTZ1cnIyS1JRSy8rampGT2xNSm5PcW1aMW9aaDN1M2licDRsd3VOM21qRjR1QnBFR1MzSDJXbVMycmRERUFBQURBUU1OS01RRFloQm9hR25aMTkvMTc2M1AzNTljakVMTW9pbTRKZ3VBYU03c2dtODFHWmpiZHpCNktvdWlrVFZBeUJnZ3pxNVVrZDI5YnVuUnBYT2w2QUFBQWdJR0dVQXdBTnFGME9uMjhtYlZKV3RMeng4eHU3bXQrWTJQanNaSys0dTYrYU5HaXlaTGs3bjhwL3I2MnFhbHA1MDFYUGZvek05dTErSHYrbkRsemVQTWtBQUFBc0lGNGZCSUFOcTEvU1pLa01aL1B2L2h1SmdkQmNHYnhjTVhzMmJQYkpDbEpram1wVkVwbU5paEprcE1sL1hCakZkdWZqQjI3OThqMDRHRDdTdGZSWHlYdTJ3Vm1TcVJ0eCsweGNjOUsxOU1mZFFhZGI4NmRObTFocGVzQUFBQkEvMFFvQmdDYlNDYVQyVS9TWGtFUTVNTXdYR1JtTGU3K2x5QUlmdFBjM0x5a3IvbDc3cm5uTURQN2lDUVZWNXRKa3R5OXMyellwN1FGaG1KajkyamNzU3F3YTF4ZVgrbGErcXNWN2Ntd0lOQWJuWWtPVnhCOHN0TDE5RWZWR2pSajdCNk5KODk1b1dWdXBXc0JBQUJBLzBNb0JnQ2JpSmtkWHp3Y2JHYURKWTAxczhPU0pMa29rOG1jbE0vbjcxelgvQ0ZEaG54SVVrcVMzTDJyMUI0RVFWSTJMQ3FPMmFMMmxFb0h0cnViSDJDeU1aV3VwYi9xZEhYL1V6ZXJhQ245bGt0ajBvRjJsMFFvQmdBQWdEVVFpZ0hBSmxCWFZ6ZEkwaGQ3NnpPekVaSnV6MlF5V2xjdzV1NDcyRHRwUjYraGw1a0ZEUTBOMnhVS2hmbnZ0ZWIrcUthbVJwUCs5V3ZhZmJjUFZMb1VEQ0F2dmpSVHQvN3VOaTFkdnJ6U3BRQUFBS0FmSXhRRGdFMmd1cnE2S2ttU1kxS3AxRkIzMzlITVB1enVuek96a1pKa3E5S3U2K3ZxNnU2Yk1XTkdlMi9uY1BjUlphR1lsdzdNek12SG1kbTJrcmJJVUt5cUtxMzk5dm13OXZud0J5dGRDZ2FRLzN2bVdmM3h6cnNsUWpFQUFBQ3NBNkVZQUd3Q1U2ZE9YUzdwc2JLbUc1cWFtZ1luU1hLT21mMUlVdHJNUmc4Wk1tUy9IdU82bGU4alZpNk80MVE2L2M1L2ZYZDJkaTdkaUtVREFBQUF3RllocUhRQkFMQzFhRzV1WHBITDVTNTI5K05LYmFsVWFsMXZWM3k5N0xoN3lWZ1FCS215OXJpMnRwYTM2d0VBQUFEQUJpSVVBNEROTEpmTDNTWHA3NUxrN3Erc1kraXpaY2ZkUzhQY1BTZzd6alUzTjNjS0FBQUFBTEJCZUh3U0FDckEzVnZOYk9kY0x2ZU1KTlhYMSs5UVZWVjF0YVFoN3Y2ZGZENy9ZaTZYZXpPS29tWkpUWktHbE9iMldDbjJ5T2F0SEFBQUFBQzJESVJpQUxBSkZQY1BlMGJTOXBLdUM0TGczM3VzNkdwTWt1U0hLcjVWc3JxNituSkp4MG1TbVEyVGRKQWt1ZnQxWm5hcm1RMlpNR0hDME9KZVphT0tmUjFCRU55OEdXOExBQUFBQUxZWVBENEpBSnRBZTN2N01EUGIwOHhHbTluRjd0NGNodUV4RFEwTlVSaUcxNXJaZy9sOC92ZGxVN1l0SGJqN2lOSnhMcGY3cmFRN0pLbW1wdWF3WXZNUnhkOW5OVGMzdjdTcDd3VUFBQUFBdGtTc0ZBT0FUV0RLbENuem9pajZqTHYvUUZLanBEMGtYWmxLcFI0MXMxOW1zOW5tOHZGeEhQOGtsVXBObERUWTNiOWIxdVhaYlBiTFVSUzF1UHRsWVJoZVltWkxraVE1S3AvUC8za3ozdEtBMWQ3ZXJwdHZ2bGxISFhXVXhvNGR1OG11a3lTSkxyNzRZaTFac2tRNzdMQ0REajc0WUgzd2d4L2NaTmRyYjIvWHRkZGVxODdPVlFzUU01bU1EanZzc0Q1bXZlT0JCeDdRdGRkZUswazY4TUFEZGNFRkYyeVNPa3QrOFl0ZmFNR0NCWktrRTA4OGNaUCtzd0FBQUFEV0I2RVlBR3dpMld6MlVlbi9zM2ZuY1ZIVjZ4L0FQOCtaQVFZRTNIQkxUVEpMUllVNVEybHFtbWEzL1dhVzFjMXJXbFkvSzdYRkpTMnpiRFgxbGx0VzN1eTIyVjZtTFphbWJkNXJhakl6b0tLNElwRlo3Z29Lek16NS92NWdacHFCWVJOeFFEL3YxNnNYNTV6djlwekJCWisrQzc2clROMzA5SFFIZ0habEZIdnNkdnR6QUo0N1diR2RLYlpzMllKSEhua0UyZG5aK09tbm4vRFdXMjhoT2pyYVh6NXc0RURrNXVhVzIwZUxGaTN3MldlZlZUaldqQmt6OFBubm53TUFFaElTTUhUb1VCdzdkcXpDZHBxbXdXS3grTytQSGoyS3BVdVhZdURBZ2VXMm16ZHZIajc4OEVQLy9jNmRPM0hWVlZkQjB5bzNDYnlnb0FBSERod0FBQnc1Y3FSVStTKy8vSUxEaHcrWDJUNDJOaFlYWFhSUnBjWUNnTysvL3g2N2R1MENVUHk1TXlsR1JFUkVST0hHcEJnUkVaMjI0dUxpY09qUUlRREE5dTNiTVhueVpFeWRPdFZmZnZ6NGNmOU1xN0lVRlJWVk9NNHJyN3lDOTk1N3ozKy9iOSsrU3MvYXN0bHNlTzIxNHEzaDl1elpnMUdqUm1ISGpoMzQ4ODgvY2Q5OTk0VnNzMzc5ZWl4WXNDRG9tY1Bod0p0dnZvbGh3NFpWYXR5S3pKbzFDNXMyYlNxenZHM2J0dmo0NDQ5UHlsaEVSRVJFUk9IQVBjV0lpT2kwMWFKRkMweVpNc1YvdjN6NWNuL3l5dVB4K0pmekFZQ3U2K2pldlR1NmQrOWU2V1dQSG84SEw3endBdWJQbjM5UzRyWGI3ZGl4WXdjQTRQWFhYOGNiYjd4UnFrNU9UZzRlZlBCQmVEd2VBTUExMTF6am4ybjJ5aXV2WVBueTVTSDdMaW9xd3U3ZHUvMy9CYzRDS3lnb0NDcHp1OTBuNVgycTR1REJnM2owMFVlRHZpZEVSRVJFUkRXSk04V0lpT2kwMXJWclZ3d2FOQWp2dmZjZTR1UGowYUJCOFprR3ExYXRDa3IrekpvMUMvWHExUU5RUE5QcmlpdXVBRkNjTUFybDBLRkRlT3l4eC9Eenp6OEhQVC8vL1BNeGF0UW9SRVpHbG1xemRldFd2UHp5eTBITEtudjM3dTIvdnZycXE1R1RrK09mT2ZiU1N5OGhMaTdPdjVReU96c2JJMGVPOU05K2E5ZXVIU1pObW9UT25UdGo2dFNwTUF3RGp6NzZLQURnc3NzdUN4bzdLeXNMdDk5K2U4aDNXYlZxRmY3Kzk3Lzc3eGN0V2hSVTNydDNiNWpOWnJoY0xxeGN1VEprSDFXeFpjc1dkT25TeFg5LzlPaFJqQmd4QWxsWldVaFBUOGVjT1hQUXRtM2JhbzlEUkVSRVJGUWVKc1dJaUtoR3BhU2tkRXBQVDg4Q2NPcW5IM21OR0RFQ0FIREhIWGVnVWFOR0tDZ293TXlaTS8zbFo1OTl0ajhoQmdBaTRyOCtkT2dRaGc4ZmprYU5HaUVoSVFGanhvekJxbFdyOE1RVFQvajM1SXFLaW9MSlpNS3hZOGV3WmNzV3pKNDlHeE1tVElEVmFnVUE3TisvSHdzV0xNQjc3NzNuVDhTWlRDYU1IVHNXTjk5OGMxQ3M5OXh6RDNKeWNyQjA2VkpFUmtZaU5qWVdBTEJ5NVVwTW5EZ1IrZm41QUlxWGhqNy8vUE9JaUlqQVRUZmRoRldyVm1IbHlwWHdlRHdZUDM0OEJnOGVqRkdqUnNGc3J2NWY5VTg5OVJUaTR1S0Nrb1dCaGcwYmh2WHIxNWZaL3BkZmZnbTYvL0RERDNIampUY0NLRTZJalJ3NUVsbFpXUUNLbDVEKzV6Ly93VFBQUEZQdHVJbUlpSWlJeXNPa0dCRVIxU2hOMDc3VWRUMGR3SWNlaitmempJeU0vRk1kZzhWaXdaZ3hZd0FVTHlPODU1NTdrSjJkN1M4Zk1HQkFVUDBHRFJvZ01qTFN2NS9ZdW5YckFQdzErNnBSbzBiK3ZjaWFOV3VHRjE1NEFRRDhzN2kyYnQyS08rKzhFOTI2ZFVPTEZpMndaTW1Tb0wzSldyVnFoYWVlZWdvcEtTa2g0MzNpaVNkdy9QaHhEQnMyekY5MzhlSy9EaHVOaW9yQzAwOC9qWTgrK2dodXR4c1RKMDdFODg4L2orSERoMlBEaGcwQWdBVUxGbURWcWxXNDc3NzcwTGR2WHpScTFBZzMzSENEdjQrZE8zZkM0WEFBQUZxMmJJbHUzYnI1eTN5SnVNcnllRHd3REtQUzliZHYzNDVmZnZrRjU1NTdMdTY3N3o1czNiclZYM2JaWlpkaDh1VEpWUnFmaUlpSWlPaEVNQ2xHUkVRMVNrUVNsVktKQVBxYlRDYVhydXRmSzZVV2FKcm15TS9QL3lNckt5c1BnRHJaNDM3KytlZWxaaTlkZHRsbDZOYXRHeTY4OEVKLzJibm5ub3RiYjcwMXFKN0paTUtFQ1JNd1k4WU1IRDE2MVArOFE0Y08vcSt6WnMzQ3A1OStpckZqeHlJK1BoNEE4UDc3NytPaGh4N0M1czJiQVFCcjFxd3BGZGVRSVVNd2ZQandvQk1uUzRxS2lzS01HVE93ZCs5ZVhILzk5Y2pMeS9PWHhjZkg0NFVYWHNDQ0JRdnc0NzkycTB3QUFDQUFTVVJCVkk4L0FnQjY5T2lCdm4zN1l0YXNXWGpnZ1FmOGliRWRPM1pnN05peG1EZHZIaTY0NEFKTW5EalIzODhubjN6aVQ0cTFiOTgrcUt5cTR1TGlVTDkrL2FCbnZqM0x5am9OYy83OCtmanp6eitSazVQamYzYmRkZGZoc2NjZWc4bGtPdUZZaUlpSWlJZ3FpMGt4SWlJNmxTSUFYQ2NpMXltbGNxS2pvMyt5V3EzckRNTlllZVRJa2N6czdPelFHM2lkZ0xWcjErTHJyNzhPZXRhNmRXdDA2OVlOSTBhTVFHNXVMcHhPSjE1ODhVVkVSRVNVYXQrL2YzLzA3OThmK2ZuNVVFckJaRElGN1JPV2twS0N4TVJFYk4rK0hWdTJiRUY2ZWpyUzA5T3haOCtlY3VONjk5MTNzWExsU3B4MzNubG8zYm8xR2pac2lBWU5HaUFoSVFFWFhuaGhVTjBtVFpyZ2trc3V3VmRmZmVXUGYrYk1tVWhNVEVSTVRBeCsrdWtuS0tVd1pjb1VwS2Ftb2tHREJwZzNieDRtVDU2TWI3LzlGZ0NRbEpSVTZZTURUdFJMTDcwVWRMOW56eDcvNlp1ZE9uVUsyY1kzKzg1bitQRGgrTC8vKzcrYUNaQ0lpSWlJS0FRbXhZaUlxTWI1OXVoU0ttaEMyTmtpTWxoRUJtcWF0cmRSbzBiYkdqWnMrTDNiN1g3M3FLdG00MW14WWdYeTh2S1FrSkNBV2JObVZhck5rQ0ZEL0p2RHo1Z3hBMHVXTFBIdktSYUtwbWxJVFUxRlRFd01WcTFhNVY5dTZmRjRzSFBuVHV6Y3VUT28vdVdYWDE0cUtRWUFZOGVPeFpvMWE5QzdkMitNSGowYTBkSFJBSXBucXcwWU1BQUxGeTZFcG1uWXRXc1h1blRwQW92Rmd1ZWZmeDY5ZXZYQ2l5KytpTHZ2dmhzQU1IZnVYR3pmdnQzZjcrN2R1LzNYR1JrWkdEMTZ0UCsrckdXZGxmWE5OOS80cjd0MzcxNXUzY2pJU0V5ZVBEbmtYbVZFUkVSRVJEV0pTVEVpcW5POGV4ZmRxdXY2eGVHT2hhb21jQU43SDZXVUJVQnJBSzFGcEc5RVJNVGo5Y1N3NTd0USt2akdLckRaYkRDWlRNakt5Z3Jhc3dvbzNrOXIxYXBWQUlETXpNeEs5WGZGRlZmNGsySkpTVWxZc0dCQnFUcE5talRCQlJkY2dPN2R1Nk5uejU3K2t5N3o4L094ZXZWcXJGdTNEZzZIQXp0MzdndzYrUklvVHJyNUZCWVd3bVF5d1d3Mkl6NCtIdSsrK3k1aVltS2dsQW82dVhMWXNHR0lpWW5Ca0NGREVCMGRIVlRXdDI5ZjlPalJ3eCtEMCttRTNXNFArVzc3OXUzekw4VUVVTzNsaTB1V0xQRmZoMHFLSlNZbSt2ZDB1LzMyMjVrUUl5SWlJcUt3WUZLTWlPb2NUZE5nR0VhRWlHd0lkeXhVS1NIWDdwV1lOUVlBeDVWU3VRRFd1ZHpHVGlnNXB6cUQzbkRERGJqaGhoc3diOTY4VWtteEV4R1kwT3ZYcngvYXQyK1BZOGVPb2JDd0VCMDdka1RuenAzUnNtVkxmNTFRKzRsWnJWWllyVmE0WEM1a1oyY2pPenNiOWVyVlE1czJiZEN4WTBkL3ZmLzk3MytZTW1VS3JyLytldHg0NDQzNDlOTlA4Wi8vL0tmTTJFSWw2QUJnNnRTcC9zTUJUcFh2di8vZVB5T3RjZVBHSVpkUDNubm5uWmc4ZVRJOEhnOFdMRmlBYTY2NUJxMWF0VHFsY1JJUkVSRVJNU2xHUkhXU2lQeGFVRkF3S3R4eFVNVXNGc3Z0dnVzUWlUQUF5QWJ3RG9DdlBSN1Bucnk4dkFOR1pMd09VY05xS3FiYmI3OGQvZnIxdzNQUFBZYzllL2JnOWRkZkwzWGk0Z2NmZklDNWMrY0NBQm8yYklpdVhidjZ5OHhtTTk1Nzd6MHNXYklFa3laTndwOS8vaGswMDZvcWhnMGJobUhEZ2wvVjZYVGl3SUVEK005Ly9vT2lvcUtndmN4TzFKdzVjL3duUkQ3OTlOTll0bXdaQUdEUW9FRzQ5OTU3QVJUUHd0UTBEU2FUQ1hmZWVXZVZ4MUJLNGRWWFgvWGYzM0xMTFNGbm5iVnUzUnJYWG5zdEZpOWVqR1BIam1IOCtQR1lQMysrZjJrb0VSRVJFZEdwd0tRWUVkVkpJbUprWm1ibVZWeVR3czFtc3dVbXd3d0FoMFJrcjJFWVB3TjR6ZWwwcmdVUXRKWXdzWU8xUm1NNmNPQUFKazJhaEUyYk5nRUFubnZ1T2N5WU1jTS9HeXc3T3h2ejU4LzMxeDg5ZWpUaTR1TEs3ZE5pc2ZpWEtnSkFRVUVCRGgwNkJBQ0lqWTBOU3JybDVlVUZuU2haVXVBeXh3c3V1QURIamgzRHBaZGVXdUY3clZtekJ2bjUrZjc3aGcwYkJzVUhGQytWL082Nzd3QVU3K2MxZVBCZ2ZQSEZGMWk2ZENuaTR1SXF2Y2RhS0I5ODhBRzJiZHZtSDIvZ3dJRmwxcjNubm52OGU3dHQzcndaNDhlUHg0c3Z2Z2l6bVQrYUVCRVJFZEdwd1o4OGlZaW94b25JUHFYVU9nRHJsRkpwTHBmcjV3MGJOdndSamxobXo1Nk5tSmdZUFBiWVl4ZzZkQ2pjYmpkV3JseUpSeDk5RkU4OTlSVDI3dDJMVWFOR29iQ3dFRUJ4VXVycXE2K3VzTjhlUFhwZyt2VHAvdnZseTVkai9QanhBSUNiYjc0WkkwYU04SmZOblR1M3pPV1FlWGw1eU1yS0FsQzhWRmpYZGNUR3hsYTQ3OVpiYjczbFQzWUJ3Smd4WTVDYW1scXEzcHR2dnVuZnorejY2NjlIczJiTnNIRGhRbjh5S3ljbkIyZWZmWGFGNzF2UzFxMWJneEpxL2Z2M1IvMzY5Y3VzMzdScFU0d2VQUnBQUGZVVWdPSWxvK1BIajhlVUtWTk95c3c0SWlJaUlxS0tNQ2xHUkVRMXlqQ01oelZOVzVxZm43OTd5NVl0QjFBOFd5d3N2dmppQyt6WXNRTlhYSEVGN3JyckxreVlNQUhQUFBNTUFHRFpzbVhZdTNjdmR1L2VqVC8rS003WG5YWFdXWmd5WlVxbCt2N2hoeC9RczJkUC83MXZxU0lBdlAzMjIzanZ2ZmY4OXlVMzJROWt0OXY5YlpPU2tvSm1tTjE3NzcxbzNibzFoZzRkR3JSLzJVY2ZmWVRaczJmNzcwZU1HSUZCZ3dhVjZqc25Kd2NmZi93eGdPS1pYTDRsa3RkZGR4MWVmUEZGQU1ESEgzK01NV1BHQkxYTHpjMUYvZnIxNFhRNi9jODBUZk5mNzkrL0h3OC8vTEQvaE0wbVRacjRsMlNXcDMvLy9saStmTG4vMElNZmZ2Z0JJMGVPeE5TcFU0Tm11UkVSRVJFUjFRUW14WWlJcUVZNW5jN3BGZGM2TlhiczJBRUEyTGh4SXdCZ3dJQUJ5TS9QeDR3Wk13QUFEb2ZEWHpjMk5oYXpaODlHbzBhTkt0VzNZUmdvS0NnSVdlWjJ1OHROaEFWYXZYcTEvL3FDQy80Nm8rRGJiNy9GMnJWcnNYYnRXaXhhdEFoWFhua2xoZzBiQnFmVGlhbFRwL3JyM1hubm5hWDJLQU1BbDh1Rnh4OS8zQi9Ib0VHRGtKQ1FBTGZiamE1ZHUwSkVvSlRDbDE5K2laRWpSd2ExWGJCZ0FiNzU1cHVnWjAyYU5BRUFIRHg0RU1PSEQwZE9UbzYvYk5La1NSVXVOL1Y1OXRsbmNjY2RkL2hQbzB4TFM4T3R0OTZLVjE5OUZZbUppWlhxZzRpSWlJam9SREFwUmtSRXA3Vmp4NDRGM1p2Tlp2OVN4cnk4UEdpYWhwaVltRkwxTEJZTHZ2LytlOFRHeHZvVFFPWHAzYnUzZnlrZ0FQejQ0NDk0NG9rbkFBQzMzWFpiME1iMXI3LytPdDU1NTUyUS9RU2VXaG1ZRkZ1N2RxMy8ydVB4NEt1dnZzS1NKVXVDMmc0YU5BajMzWGRmeUg1ZmVPRUZyRisvM24rL2VQRmlmUGpoaDBGN2tBSEFrU05Ic0dMRmlxQm5iZHEwS2RYZjVaZGZEcUE0a2JoejUwNy84eHR1dUNGb3hseGd2NkhFeDhkajl1elpHRHAwS0E0ZVBBZ0FNSmxNYU5hc1djajZSRVJFUkVRbkM1TmlSRVIwV2t0TFMvTmZSMFJFNFBISEg0ZkpaTUtUVHo2SjVjdVhsMHFHK2V6YnR3OXo1ODdGSzYrOGdzNmRPeU1sSlFVcEtTbm8yN2R2eVBxRmhZWCtaWmNBY1Bqd1lmOTFmbjUrVUZuSlJKVFBuajE3L0RPbXpHWXpkRjMzbDAyY09CRURCZ3pBL1Buei9TZGRCcDdtR1JzYml4NDllcFQ1T2JSdDJ6Ym9mdi8rL1dYV1hieDRjZEI5eDQ0ZDBhMWJOeWlsRUI4Zmp6NTkrdUNxcTY0Q0FQVHQyeGNkT25UQTVzMmIwYnQzYjR3ZlB4NDVPVGx3T0J5SWk0dERURXdNMHRMUy9Ba3Y0SzlOLzMxYXRteUoxMTU3RGFOR2pjTHZ2LytPMGFOSDh5UktJaUlpSXFweFRJb1JFZEZwclhQbnp0aTBhUk1pSWlJd2JkbzBUSjgrSGJ0Mzd5NVZMeUlpQWtPR0RJSEw1Y0pISDMza1h3cHBHQVl5TWpLUWtaR0JvMGVQbHBrVVc3Tm1EVzY1NVphUVpRc1hMc1RDaFFzcmpOVzN0NVl2N3BMSm82U2tKTHo0NG92WXVuVXI1cytmanhVclZ2Z1RZM2w1ZVJnNWNpVE9PKzg4akJ3NUVoZGZmSEZRMjZ1dnZocXpaczFDUVVFQkVoSVMwTHg1Y3lRa0pLQlJvMFpvMEtBQjZ0ZXZqemZlZUFPSERoM0N1blhyZ3ZiMHNscXQ2TldyVjhpWVJRUkRodzdGNHNXTE1YWHFWSmpOWmhRV0ZnYk5tZ3RrTXBuUW9rV0xVcy9QT2VjY3ZQWFdXM2p0dGRmUXIxKy9DajhySWlJaUlxTHFZbEtNaUloT2F3ODg4QURXcmwyTEJ4NTRBTDE3OTRiSDQ4SFlzV1A5NVpHUmtiajIybXR4eHgxMzRLeXp6Z0lBREI0OEdHKysrU1lXTDE3c245VVZIUjFkYXErdGs2MUpreWJvM0xrek5tellnQXN2dkxETWV1ZWRkeDZtVHAyS25UdDNZdjc4K1ZpMmJKbC9jLzZ0VzdlR1BMMHhOallXYjd6eEJscTJiSWw2OWVxRjdEYzdPeHRyMTY3RlAvN3hEM3oyMldkQnM3dkswNjlmUC9UdTNkcy9icnQyN1JBYkc0dTh2THhTZGErNzdycWd3d01DTlc3Y0dCTW1US2pVbUVSRVJFUkUxY1drR0JFUm5kYWlvNk94WU1FQ3hNVEVBQ2hlN3RlbFN4ZkV4c2FpYjkrK3VQenl5MHR0Q3QrNGNXT01HVE1HOTk5L1A5YXNXWVB2dnZzT1o1OTlkcmtuSXZicDB3ZFBQLzEwcFdKNjdiWFg4UGJiYjVkNjNxdFhML1RxMVF0WldWbWxab21GY3M0NTUrRFpaNS9GOE9IRE1YLytmSHp6elRmbzM3OC91bmJ0R3JMKytlZWZYMjUvbzBhTlFseGNIRFJOSzdWZldYbE1KaE5NSnBQL1hrU1FrcEtDVmF0V3dXdzJvMTY5ZW1qYXRDa3V2ZlJTM0hISEhaWHVsNGlJaUlpb0prbTRBeUFpcWlxYnphWUFPT3gydXkzY3NWRE5TT3hnN1FOUjc4Zkh4VFdmTjJjR0x1cDZRY1dOQ0xtNXVXallzR0daTThIT0ZLdlhyc1A5WXlaZzcvNzloNkF3SUh1ejg0ZHd4MFJFUkVSRXRROW5paEVSRVowbVdyVnFGZTRRaUlpSWlJanFEQzNjQVJBUkVSRVJFUkVSRVoxcVRJb1JFUkVSRVJFUkVkRVpoMGt4SWlJaUlpSWlJaUk2NDNCUE1TSWlxclhjYmpkK1NYUGd5SkdqNFE2RjZwQ3NyZHRRVkZRVTdqQ0lpSWlJcUpaalVveUlpR3F0NDhjTDhOSXIvNFpvbk5oTWxhY01BeTYzTzl4aEVCRVJFVkV0eDZRWUVSSFZPb2JIazZPWnRFd0ZGQlM1bU55Z0U3YmI4SGh5d2gwRUVSRVJFZFZPVElvUkVWR3RrN04xL2M1enp1azRUSm1qR29ZN0ZxcTdsR1ljenRtNlBqdmNjUkFSRVJGUjdjU2tHQkVSMVVacTU4NU51d0RzQ25jZ1JFUkVSRVIwZXVJbUxVUkVSRVJFUkVSRWRNWmhVb3lJaUlpSWlJaUlpTTQ0VElvUkVSRVJFUkVSRWRFWmgwa3hJaUlpSWlJaUlpSTY0ekFwUmtSRVJFUkVSRVJFWnh3bXhZaUlpSWlJaUlpSTZJekRwQmdSRVJFUkVSRVJFWjF4bUJRaklpSWlJaUlpSXFJekRwTmlSRVJFUkVSRVJFUjB4bUZTaklpSWlJaUlpSWlJempoTWloRVJFUkVSRVJFUjBSbkhITzRBaUlpSWlFNUhIVHAwYUJ3ZEhiMENBUGJ1M2RzOU56ZjNlTGhqSWlJaUlxSy9NQ2xHUkVSRUJFRFg5VFVBb3BSUzl6bWR6bFhWN1UvVHRBZ1JTUUdBK1BoNFU4bnlwS1NrV0xQWjNNUnNOamNEMEVZcGRRNkFSQkU1eHpBTXA5UHBIRi9kR0lpSWlJaW9iRXlLRVJFUkVSVkxFWkVvRVluM1BiRFpiQk9WVWpkVm91MUdoOFB4ejRvcTZicitwSWpjRHFBSmdPakFNaEVKdkQ0ZkFKTmlSRVJFUkRXSVNURWlJaUtpTWlpbFd2dG1lMVhBRFFCV3E3V0hpTHpzZmViL09jdGlzYXpTZGQwb3A2L2pBSFlCeUZGSzVRREk4YlozbjNqMFJFUkVSRlFlSnNXSWlJaUlLcUNVK2xFcE5iUGtjeEg1dTRnTTg5MXJtaFlQSUZUaXE0dHZKcGhTNm40UnlmVjRQSHMxVFpzaklsWUEwK3gyKytTYWlwK0lpSWlJU21OU2pJaUlpR29EczlWcWpYVTZuWWRPNWFBMm0rMGhwZFJRNzIyazkrdGNYZGVQaXNoT3BkUWZBQ0FpdVE2SFkxR0k5b21COTRXRmhXc2pJaUw2QW9DbWFZMEFmQW9BU3FtcmxWTEhBY0RwZFA0RXdBQUFYZGZ6UThYVnJsMjcrRzNidGgzeDNTY2xKVVZHUlVWTkF0QVh3R0VBKzEwdTE3Z05HemI4VVlsM0hBZGdXb2lpV1hhNy9jSEFCN3F1bndYZ2ZoRzV4RzYzZDYrb2J5SWlJcUs2akVreElpSWlDanRkMTFzQ2NGcXQxczljTHRlL05tN2NtSGtxeGxWS3RReXhwTEd0ZDFhWEJjQWYzbnBYNjdydURORytTZUJlWUJzM2JqeWc2L3BvQUdjcnBjeStNaEdaQ3NBUWtlOEIvSkNhbXByZ2Nybk9CdERBMjgvbHVxNmZEK0JjRVdrTElDRTFOVFV5TFMzTkJRQVdpMlVCZ0p1VVVva09oK00zbTgyV0V4a1orVU5xYXVwRmFXbHBoeXQ0elgrRWV1anhlRjd6WFNjbkozYzJtODFqbEZLRFJDUVNRRllGZlJJUkVSSFZlVXlLRVJFUlVhMGdJZzFFNUk3SXlNaWhOcHR0SzRCdlBCN1AxMHFwN0FNSER1VGs1dVllcjRFeFAxRktiZk5lendGZ1Zrck5BWkFwSWdkUlBETUxJdElRUU1OSzlwa0U0TndTajMzTEoxTnNOdHR3cFZTMDJXd09iTk1kUU5ETXJQejgvSGdBKzFOU1V2cWlPQ0YyME9GdzdQSVdad0M0d2pDTU1RQWVMeXVXbEpTVTh3RVVLYVh1TFJGalhucDYra1lBYU4rK2ZaeW1hZWNxcFpaNkR3RWdJaUlpT2lNd0tVWkVSRVMxalFhZ1BZRDJtcWJkRFdCTDA2Wk50elp0Mm5TRnkrWDZkdjM2OVRzQnFKTXhrTjF1WHcxZ05RRG91ajVUUk13aXNzUnV0My9qZmRZWHFQeWVZZ0RnZHJ2L3FXbGFkS2psa3lKeXQ0Z004bGJkRHlBR1FMUlM2aGNBbjR0SXRzZmp5VlpLWlcvZXZQa0FBSmhNcGx1OVkrVUZESFBZKyt4bWxKTVVNNWxNdHlxbFhuTTRIUDhwcTA1V1Z0WlJBSXU5Ny91eU53RklSRVJFZE5walVveUlpSWhxSGFXS2MxNGlFZ1BBQ3NDcWxPb2ZFUkZScU92NlpvL0g4MUplWHQ3aUhUdDJWTFIwOElUcHVqNFF3RVZLcVhRQURVUWs1RWI0M25LenpXWjd5RzYzejhqSXlGZ0RBRWxKU2MwdEZnc0FvTEN3Y0dWbVptWmU1ODZkdDBkR1JrN056OC9mbVpXVmRWVFg5ZitLU0U5dkl1NlpNa0xwNWYzcUNoalQ0NTE1MXI1ejU4N055dGxiN0ZZUk9kZG1zMDBGc0VrcDlXMWhZZUZybVptWmUwSlZGaEdqL0UrRmlJaUk2UFRCcEJnUkVSR0ZpNlNtcHNZRFFGRlJVWHhFUkVUeHc0QTl1bnpKTWE5SXBWU2tpRnhvTnB2ZnFsKy8vZ0diemJaQ0tmV2wyKzNlQ0dESCt2WHJEMVkzS0tYVVVGM1g3eGFSSzFFOGs2dXk3VnJhYkxaeFNxbC9laC81Zjg2eVdDeXJkRjAzdlBYdThzN09LbGY3OXUzanZQWGFlTnQ1QW9melhXaWExaExldmM4Q3BhU2s2Q2llY1FjQUNRQjZpVWd2aThVeVJ0ZjFPeDBPeDZlVmZUY2lJaUtpMHhHVFlrUkVSRlJ0N2RxMWk0K0tpbW9hR1JuWlJFVGlsVkt4U3FubUFDQWlyUUFvbDhzMUszQkdrNjdyQ1laaHZBd0Fack01WlBMSmx5QUxUSTRGekNKckJPQW1BQVBOWnZOZUVmbWYxV3JOTUF6anB5TkhqcXpLenM0dXFDaHVxOVY2azRoY0tTSTZnQ2h2djBFYjB5dWxmbE5LamZTV1BTSWlYUUhzTVF6ajNoTFBBQ0RVeHYzQVgzdUt3VENNaHFtcHFXY3JwYzVTU3ZrMjJ2K2J6V1pybzVScTVlMmpGWUM0aElTRWVBRFIzbkg4czdoRXhQK0JtTTNtQm1WOGRtMlVVcCtMU0VzQWlRQWFlNHZxaThnSEtTa3BYZFBUMHgwVmZVWkVSRVJFcHlzbXhZaUlpT2lFZE9uU3BhM1piSjRtSXAxUlBLTXFBa0NFVXNva0lwcjNGRU1vcFNJQklDSWk0a01FejJpS0VaR0JsUm1yck9TWWlFQ0tDNXNDR0NBaWY5TTBMU0krUG40TGdOeUsrdFUwN1NZVUo5WUM3VkZLL1ZkRVdnUG9KaUo1RG9kakVRRG91bjROZ0s0QTBweE9wKzlaNE9iMEx4bUdzVWpUTkEzQVFnRDF2YkhtQVhoQ1JGN1FORzFaUUdMUDk3VUhnQjZCcytRQW9Ibno1akVBUEFCTWdjKzluN0h2K2tpb2QvUEd0OGozcWxhcjlVb1JlVWhFTGdOZ05wbE05d0w0djRvK0l5SWlJcUxURlpOaVJFUkVWSkxaYXJYR21reW1lTGZiM1ZoRWtrU2tsMUxxRzE4aUNBRDI3OSsvcDNuejVqY0NnRkxLQmFBUVFKR0lGQ2lsM0FCOE03VUtBYmdNd3dnNlBmTDQ4ZU41MGRIUnIzdHZZMFhrbHBLQmxGZys2UmVRUERxcWxOb1BJTXN3akhlVlVnc3pNakx5Sy91aVNxbGZBZXdDOEl1SURFQng4dWtPaDhQeGphN3I5NGhJdHhManhudmJoVnorYUxmYnR3SFlaclZhQjJtYVZqK2dYYXhTYWxTSjZvZVZVaFlSaVFLUUJtQ3BZUmkvQWZnTndHNlR5WlM3WWNPR1AyMDIyeTRBYlpWU0V0Q2ZQMGxXV0ZoWVlmSVBnT0YwT3BjQVdLTHIraXNpY285U3FuVWwyaEVSRVJHZHRwZ1VJeUlpSWdDQTFXcE5GSkZVQUZZUmFhK1U2cUJwMmpuZWhJNEM4RHVLVHlsVUFMQjc5KzVqelpzM2Yxa3BkUURBUWUvWFEwcXBRd0R5QWV3RmdMeTh2QVBidG0wck5adHA4K2JOK3dIY0JRQ2RPM2R1SFJrWjJSK0FwUktKTUFCWXI1UmFvNVQ2bjFMcWwvVDA5Q3dBN3FxK3M4UGhlQmpBR0FEUWRiMGdNTmtVaWxMcUhPL3N0RElUVWUzYnQ0L1ROTzM1RXUwT2lFZ2lBQmlHMFhYZnZuMGJjbk56ait1Ni9sOEFQUUY4YWJmYi9SdjUyMnkyRDVSU20xSlNVdVlEV0FXZ0xiekxPNzM5K1dhSzdRamNORDgxTmJWK1dscGF1WWNQS0tVZVFmRU1zUzNsMVNNaUlpSTYzVEVwUmtSRWRJWkxUazYrMG1ReTNTb2kzWlJTVGIyem9VeEFjU0pLS1pXcGxGb0Q0RWNBR29xWDh3RUFEaHc0TUNZN083c1FBUnUvbndqRE1Gd29UcUtWbXIwVWtBdzdiaGpHQnlMeU1ZRE1QLzc0WSsvdTNidVBWV2RjQkx4TFJYUmRieU1pTmdCUVN1bEpTVW5OUTUzaUdCTVRNd2RBYTZYVVFSRnBDQUNHWWR4cU1wbStBbUFXa1g2NXVibS9WREJjRW9CYk5FMnplRHllZDB3bTAyQVJDZHc3ek9LTjR5UHZ2ZWk2dnRTN045a2JkcnQ5V0pjdVhScEdSRVFNTWd6amYwNm4wK2xyNkhRNjgzUmRQdzVnWHNsQmxWTGkvWjVMeVRJaUlpS2kwdzJUWWtSRVJHY3dxOVg2bWFacDEzdHYzUUR5QU93MERHT05wbW5mdU4zdUh6SXlNc3FjRlZXWnpld3JTeW5sOGM3QzhqMDZycFE2cXBUYVlCakdBcGZMOVhGbVptYmV5UnF2S3BLU2tpSUJ2STYva29YOW9xS2lOdW02UGlhd250VnF2VnRFaGdLQVV1cEpFWmtKQUM2WGE1V21hWStKU0MrSHd6RzlFa09lN2YyNkxUMDlmWm11NjUrSXlNQXVYYnEwWGI5K2ZRNEFxMUpxcTFKcXFqZStaaUx5TisrNC93UndaMFJFeEwwQW5oVVJwZXY2NjRaaFRNN1B6OThYRnhmM0JJQUhIQTVIWm9reE5RRDF2TzhYVi9WUGlZaUlpS2h1WVZLTWlJam96Q0h0MnJXTDNMWnRXMkhBczQrVlVyMUZaSjFoR09zQS9PL1lzV01yczdLeVF1NlpkWXBrS2FVY0l2SS9wZFIvblU3bkJwekEwc2pxY2pnY3J3SjQxV3ExV2kwV3kwOEF1Z0dBVW1vZWdCdEVwQW1BMTVWU3l6MGVUNnYwOVBUZmRGMS8yZHQ4UVZGUjBZY1dpMlZtUUgvVFVsTlQ1eUI0ZHByYjIyZXM3NEgzWk1yNkFHQVlSaFlBSEQxNmRIQmNYTnd1czluOHFhN3JSd0Q4b0pRYTRYUTZEd0ZBWm1ibUhwdk45cVpTNmlhbDFFd0FTa1QrclpRNlQwU3VVRW9OMFRUdHl2ajQrT1VlajJkMmlWTW56VmFyOVJaTjA2N0NYMHMwVytpNlBnZkFZb2ZEc2Z3a2ZhUkVSRVJFdFFxbnhoTlJuV096MlJRQWg5MXV0NFU3RnFLNklqazV1YjJtYWZjQytOYnBkSDdsZTk2cVZhdm9oSVNFemtWRlJiOW1abWIrQ2NBSVIzeWRPblZxRkJVVjlZakg0MWxuTXBreWpodzU4bHVvZmNocWtNbG1zeFVBTUJ1R2NZMVNhcGZKWk9vRDRFYWxWQjhSRWUrK2FzODZISTVKSFRwMGFCd2RIZjJpaUF3QkFPOVN5WHVWVXR0RjVIVzMyOTNEN1hiSFdTeVczd0dnb0tBZ0x0UXNOMTNYM3hhUjJ3QzRsRksrbVZzdFJLUXBnSUkvLy95elVXNXU3dkdTN1lpSWlJaW8ramhUaklpSTZEVFdybDI3K05qWTJOdEU1QmtBOVVXa1RhZE9uWDdldUhIakFRREl6YzA5WG9uOXJXcWNONTV4cDNwY204MzJFb0RybEZLRjhQNWNwR25hMVFCRytPcDQ5OWhLVjBxTmN6cWQzd0wrUXdLR1dxM1dqelJOZTFORUVnQjhJQ0xEUk9US2pJeU0vS1NrcEFxWElJckl5d0FHQW9nV2taVEFNcVhVYzB5SUVSRVJFZFVjSnNXSWlJaE9UeVpkMTNVVW42eDRvNGhFQU5oZ0dNYTNKcE9wc0lLMlp3ekRNTFpxbXRiYXQ0K1pVaXJkNFhEY2I3UFptZ0JJVmtvdEIvQ3h3K0g0S1ZSN3A5UDVWVXBLaXRWa01yMFBZSmZkYm44YlZkaTgzMjYzcjdaYXJVbWFwbDBjc0lTeUNFQ0d3K0ZZVjYyWEl5SWlJcUp5Y2Zra0VkVTVYRDVKVkNHeFdxMERSZVJKRWVtb2xNcFRTczB4RE9PdGpJeU03UWpEL2x5MWxYZi9ycXNBbUpWU0I0NGVQZnFWZDltbW9Hb25hcHE4OWNPeS9KU0lpSWlJcW80enhZaUlpRTR2V25KeThyVWlNa2RFbWltbDlpbWxIbkE2blIrQUNadFMwdExTY2dETUMxRlVsWVFZVUlYWllVUkVSRVJVT3pBcFJrUkVkUG93cGFTa0ROVTA3U1VSaVFTd3h1VnlqZHl3WVFPWDRSRVJFUkVSbGFDRk93QWlJaUk2S2NScXRWNnJhZG96QUtLVVVsKzZYSzdibVJBaklpSWlJZ3FOTThXSWlJaE9BMWFydGI2SVBDZ2lMWlJTdXdzTEMrL0p6TXpjRSs2NGlJaUlpSWhxSzg0VUl5SWlPZzA0bmM1REhvOW5tRkxxRmJmYlBaQUpNU0lpSWlLaThuR21HQkVSMFdraUl5TmpKNEQ3d2RNbGlZaUlpSWdxeEpsaVJFUkVweGNteElpSWlJaUlLb0ZKTVNJaW9ycExTMGxKNlpTY25Od2VnQ25jd1JBUkVSRVIxU1ZNaWhFUkVkVlI3ZHExaTlVMDdWOG1rK2xEWGRjSGhEc2VJaUlpSXFLNmhIdUtFUkVSMVZGeGNYR3RBRndxSXBFZWp5Y24zUEVRRVJFUkVkVWxUSW9SRVJIVlhRTkZKRklwOVV0NmV2cmFjQWREUkhRNnNWcXRpU0x5SElBckFFUUJTRE1NNDluMDlQUmxWZWpHYkxWYVI0akkzU0pTcEpRcUFQQzB3K0g0dWhKdFRUYWJiWmxTcXFmRDRiQ2N5RHNRRVZINXVIeVNpSWlvamxKS1hlLzkrbDY0WXlFaU9wMGtKeWUzMXpSdG5ZamNLaUtOUktTZWlQVFdOTzBibTgxMlN5VzdFWnZOOXFhbWFUTkZaSkxkYnJlSlNKYUlMTEhaYk1NcmFteXoyYVlBdUxSNmIwSkVST1ZoVW95SWlLZ082dEtsUzFzUlNWRktGUnFHOFZPNDR5RWlPcDJZVEtiWEFiaVVVdDhxcFg3elBSY1JVVXJOU2twS2lxeW9qNVNVbEpzQS9GTXBwUTRjT1BBMUFDaWxsbnEvemtwTlRUMjdyTGE2cmc4RU1LN2FMMEpFUk9WaVVveUlpS2dPMGpUTktpS2FpR3cxbVV6N3d4MFBFZEhwSWlVbHBTdUFiU0p5dHNQaHVMeXdzTEF0Z0k5ODVTTFN6R0t4bkZ0UlA1cW1QZUM5UEphZG5WMEFBSVpoNUhyN2lESU00NTVRN1d3MlcwY1JlYWJhTDBKRVJCVmlVb3lJaUtnT0VwR09BS0NVeWdWd0xNemhFQkdkTmpSTnl5MHNMUHkvdExRMEZ3QmtabVlXRlJRVVBCQllwN0N3OEkveSttamZ2bjJjaUhRREFCRXA4RDFYU3JrQ3F2MHRWRHNBNzNvOG5ydXE4dzVFUkZRNVRJb1JFUkhWVGI1bE4zdVBIVHRXVUc1TklpS3FOSWZEc1Rzek03TW84RmxtWnVZZlNpbmZNL3ZHalJzUGxOZEh2WHIxTGdSZ0FnQ2xsTnYzWE5NMEk2Q2F6VmZIUytyVnEvZVdZUml6WEM2WHMxb3ZRVVJFbGNMVEo0bUlLcURyK2lVaThnU0FpNVJTeDBWa2hXRVlFNTFPNTlZcTlORlBSSmFIS2xOS2ZlTndPSzd5M2JkdjN6NnVYcjE2ZXdERWhLaDc2T0RCZ3kxOHl6RG96Q1VpYmJ5WHVWbFpXZmxoRFlhSTZEU1huSnpjVWtRaUFVQXA5YStLNml1bG1vbUk3OVlUcW82SWFNbkp5WTB6TWpMK0JBQ3IxVG9Cd085T3AvT3RwS1NrMkpNVU9oRVJsWU16eFlpSXlwR1Nrbkl6Z084QTlBVVFMU0tOQU55a2Fkb3ZWcXYxdkNwME5hU3NBc013M2dpOHIxZXYza0NFU0loNXZjK0VHSGsxQXdBUktRUmdWRkNYaUlpcWNSSjRVQUFBSUFCSlJFRlV3V3cyWCsrOS9OTGhjTHhmVVgybFZNUEFXOStGaUtqQWVpTFNBQUIwWGI5TVJLNHBLQ2g0NkdURVMwUkVsY09aWWtSRVplalFvVU5qazhuMEdvQXRBSFlEdUFCQXZMZTR2cVpwVXdIY1VGRS95Y25KOVVSa0FJRERJWXFQNU9mbkx3NThvSlFhSWlKSEVTTFJvWlI2bytTejA5Vlo1M1p1SFJsaHJuQWo0ek9WVW9nVkFUd0dFaE03V1B1RU81N2FxTEN3Y09mdk96ZnRDbmNjUkZTM3BhYW1SaWlsUmdMSUVwSEJsV2tUdUk5WUlJL0hZektiLy9vbm1NdmxPcUxyZWhzQXN3ekR1THprc2swaUlxcFpUSW9SRVpVaEppWm1HSUJ4ZHJ2OTN3Q1FtcHJhUWluMUhZQU9BS0NVNmxtWmZrd20wdzFLcWM4Y0RzZlFpdXFtcHFhZWJSaEdLN3ZkM2dpQXU2TDZwNnZFUkdzaUl0UWJFTlVoM0xIVVZvY0tGUURzQVhBbEJGZUdPWnhhS2NvU21aT1lhTDBsTzl1WkhlNVlpS2p1TWd4akFvQllwZFRGVHFjejFQL2dDdVgzZ0d2L09rcE4wd0wzRVBORVIwZnZWMHFOQUpCa01wbHliVFpicVk1RUpNcG1zeW1sMUswT2grT0RFM2tISWlJS2pVa3hJcUl5dU4zdVR6SXlNbmI2N3RQUzBuN1hkZjFKRVhrZkFFU2szSk9uQXR3bUlwZnF1bjR0Z0J3QVB3TjR4K0Z3L0Z5eW9sSnFNSUJ6YlRiYmZxWFVId0RXQVZqb2NEZ1c0VXhLa2xtUUNFRUhnVFNQaVk2R3lXeXF1QTJSbDhmdHdmR0NBaGhLV1dCQklnQW14WWpvaEtTa3BGd01ZTGlJL00zaGNHUUhQTytVbnA2K3NaeW02d0t1L2YvbVVrcHBBZGNPdTkzdUNwVUlJeUtpVTROSk1TS2lNZ1FteEh5VVVyLzZOczVWU2kycnFBOWQxODhDMEErQTV0MlByQkVBSzRCN2RWMWZmUHo0OFRzM2I5NjhQNkRKYlZJOFFMeUl4QU00RDhDdHVxNXZGSkZCZHJzOW8vcHZWbmZFUkVkajlQMGprTlN4ZmJoRG9Ub2tjMU1XNXJ6eWJ4dzZjaVRjb1JCUkhhYnIrbGtpTWxORUxrdExTOXNNK0pkU3BnSVlEZUJtQUVoT1R1NW1OcHVmQXBCZFVGQXdKak16TTgvaGNPeTEyV3hwQUZJQjFQUDFXV0ttMkFxZytPY0pwZFFkZ1dOcm1oWUY0Rlh2cmRzd2pMc053MWhUVSs5S1JIU21ZbEtNaUtnS05FMDdCd0NVVW9VZWoyZHVSZlc5ZTQrRVBOUkVSUHJIeE1TMGJ0ZXVYWTl0MjdZVnBxU2tkSVYzYVdhSXVwMlVVajlZcmRadVZUbjFzcTR6bVUxSTZ0Z2VGM1c5SU55aFVCMFRFUkVSN2hDSXFBNXIxNjVkbEloOENpQlZLYlhKTjV0TEtmOCsrZjRUS0UwbTB3Y0FFZ0VnS2lycU53QlBlZXZPRnBHM1JLUmVVbEpTYkdabVpoNkFCRzlaa2FacHJ3R0F3K0hJQkpBWk9INVNVbEtzeFdKNTFWdlg0M1E2MzZ5NXR5VWlPblB4OUVraW9pcFFTdmxPbjVvWWFpWlpTVzYzZTRsaEdKZDdQSjViQUV4V1NwVmNNbW1MajQrL3o5djNiZ0Q5RE1NWVlCakdPS1hVNTBxcFFsOUZFV2tvSWhVZUEwOUVSRVRWRXg4Zi96cUFpOG9xTnd6REVYRGJ3SGNoSXY1VEp4ME94enNBUGdJQWk4VnlqZmZ4MzcxZkgweExTOXQrMGdJbUlxSVR3cGxpUkVTVjFLVkxsN1lpMGw4cDlZSEQ0WGloTW0weU1qSTJBTmdROE9oSlhkY3ZFSkYvQTlBQmY2SnRSa1pHUmk2QTNJQzYvMHBKU1dscE1wbGVBSEFMQUlqSVZlM2F0WXZhdG0xYklZaUlpT2lrMDNWOVBJQi9sbGZIWkRMWkEyNGZVRXJOQkxCTDA3UVpBYytWM1c0ZlpMUFowcFZTVTNSZGYwWkVEaHVHY2IzVDZWd01JaUlLT3liRmlJZ3FSOHhtOHp3QVB4MDlldlQyNm5Ua2NEald0V3JWcW1lVEprMStFcEVMUktScFdYWFQwOU4vQS9BUG04MjJEOEFJQUJFV2k2VUJnTXB1OGs5RVJFUlY0SEE0cGdLWVdvWDZid040dTR4aWo5MXVmdzdBYzFXSndidlVVaXFzU0VSRTFjTGxrMFJFbGVEOXY4WXhCUVVGL1FObmFhV2twSFE2a2Y1eWMzT1BBNWpndmMycHFINStmdjRqQUk0QktOaXdZY1BlRXhtVGlJaUlpSWlJL3NLWllrUkVGZEIxL1RJUnVieWdvT0FLNy8rNVJhdFdyYUtiTm0zNkQ2VlVTd0FiQWNCcXRkNnVhZG9RQU4vWTdmWnBBVjBJQUZXeVg0L0hzOTVzTnNNd2pFOHFxcHVWbFhWVTEvVmRBQndBakpQM2RrUkVSRVJFUkdjbUpzV0lpTXJoM1Vmc0F3Q05MUmJMVWQvcFV6NUtxV3NCSURrNStSd1JlUjNGTTNENzZycSsydUZ3L0tUcitqQUFMd05ZclpSNjBPbDBPbjF0UmNRS1lQMmhRNGZlQVFCZDExTUEvQ0FpZnhpR01jbnBkSDRjRUVkREFJMDhIczlUTmZ6S1JFUkVSRVJFWndRbXhZaUl5cENhbWxyZk1Jd3ZBVFF1cTQ2SU9BREFaRExGaTRoL1NicFN5bmY2bEM0aVVRQXVFWkcxdXE3UEZwSDNEY05vSlNMRFhTN1g5ZG5aMlFYZXV1MUVwQUdBQnBxbWZhVHIrbUx2eHIwdVRkUEdBTGc5SXlNanEwWmVsaXB0d1lJRmNMbGNBSUErZmZyZ25IUE9xVlM3Z29JQ21Fd21SRVJFblBEWWVYbDVPSDc4T0pvMGFYTENmWndzZVhsNW1ENTlPZ0RBYkRaajBxUkpZWTZJaUlpSWlLaHFtQlFqSWlxRFlSZ2ZpRWpIc3NxVlVuODRISTdkQU9Cd09OSnROdHRjcGRSUUFNdWNUdWRYQUZCWVdQaElWRlJVUG9BYlJhU1ZpTnl1bE9vdUloOGNQSGp3aG9DRUdCd094NmMybSswZUFNTUJuQXVnbjZacDV3TDRYQ2sxMGpjVzFienQyN2RqeFlvVlNFMU5SWmN1WFJBWkdla3ZlK1dWVjFCUVVQeHRPK3Vzc3lxVkZITzczUmczYmh3T0hUcUVhZE9tb1VXTEZqaDgrREJXckZpQmdvSUNGQlFVNFBqeDR5Z3NMUFRmNStmbjQvRGh3emgwNkJBT0h6Nk13NGNQdytQeG9ISGp4bGkyYkptLzcrKy8veDV6NXN3NUtlODlidHc0ZE8vZXZWSjFDd29LOE9XWFh3SUFJaUlpbUJRaklpSWlvanFIU1RFaW9qSTRISTZycWxMZmJyZVBCREF5OEpsM0Q3SUorR3RUL1lyNm1BZGdYbFhHcFpOdjBhSkZlTys5OXdBQURSbzB3TktsUzJFMm4vaGZtZE9uVDhlcVZhc0FBSU1HRGNLVUtWUFFvVU1IUFB2c3MxWHVhLy8rL1RoKy9EaWlvNk1CQUVlUEhzV3VYYnRPT0xaQStmbjVKNlVmSWlJaUlxSzZnRWt4SWlLaUFHNjNPMmdtVnUvZXZhdVZFQU9Bb1VPSHdtNjNZOGVPSFRoeTVBaEdqUnFGeVpNbm8wR0RCamgwNkpDL25zbGtnc2xrUWxGUkVRQWdMaTRPU1VsSmlJK1BEL3JQNC9GVUs1NVRaZjM2OWZqaWl5L3c4TU1QVi9zekpDSWlJaUk2MmZnVEtoRVJVWUR2dnZzTysvYnQ4OTkzNjlZTnUzZUhYcmw2OE9EQk1zdGlZbUxRb0VFREFNWExMTjk0NHcyTUh6OGVxMWV2eGxsbm5ZVUxMN3dRSDN6d0FVUUVGb3NGRm9zRlpyTVpuMy8rT1o1ODhra0FRRXBLQ21iTm1sWHAyTHQzNzQ1cDA2WUZQWHY2NmFmOVNiN2h3NGRqOE9EQlFlV2pSbzFDd1BrUEo4VGxjaUU3T3h1SmlZbitaMWxaV1JnNWNpVHk4dkx3NjYrL1l2cjA2WWlOamEzV09FUkVSRVJFSnhPVFlrUkVWS09zVnV0NVRxZHpCNEE2TWIzcDNYZmZEYnFmT0hGaW1YV25UNS91MzJ5K3BHdXZ2ZGFmM0FLQTJOaFl6Sm8xQzNQbnpzVS8vdkVQTkczYTlPUUVITUJrTWlFbUpxYlVNNStJaUloUzVacW1vYVNpb2lMMDdObXp6SEZTVTFQeHpEUFBCRDM3OE1NUE1YNzhlQURBMXExYmNkOTk5eUV2THc4QXNIYnRXbno3N2JjWU1HQkExVjZJaUlpSWlLZ0dNU2xHUkVRMVNrUStzMXF0RHFYVVozdjM3djFtOSs3ZHg4SWRVMWwrL1BGSGJOaXc0YVQzbTU2ZWppKy8vQkxqeG8zREF3ODhBQUJZc1dJRlZxOWVYYXB1NFA1ZzI3WnRDN252V0V4TURCNTY2S0ZTenowZUQ0NGRPMWJxbVkvTDVTcFZiaGhHcVg2VVVpR2ZoK3JUNTRzdnZzQ0lFU093YytkT2pCbzFDa2VQSHZXWGpSa3poZ2t4SWlJaUlxcDFtQlFqSXFJYUpTS2RBSFFTa2NITm1qVXJhdHEwNlNjQVhpNHFLa3JQek13c0FPQU9jNGdBaWhOR3MyZlA5dDlIUjBlSG5NMFZtTFJLU0VoQXZYcjFRdmFYa0pBQUFOaXpady9HakJtRGd3Y1BZdlBtemZqWHYvNkZaczJhSVNNakF3c1hMaXczcGoxNzlvU3NVNzkrL1pCSnNaOS8vaG05ZXZVcXM3OTU4K1poM3J5S3ozRVFFZFN2WHovb21jZmo4Yy84Q3B4OTVuUDgrSEU4Ly96eitQNzc3LzJuYzRvSUprNmN5SVFZRVJFUkVkVktUSW9SRWRHcEZDa2lnd0FNc2xnc08zUmRYMllZeGxxbDFDL0hqaDNidW0zYnRzSndCZmJxcTY4aU96dmJmLy80NDQvajhzc3ZMMVd2WjgrZS9xVFA2TkdqY2NVVlY1VGJiMFpHaG44ei9jek1UQXdaTWdRelo4NDhpWkdmZkpHUmtmanV1KytDbm4zMTFWZDQvUEhIQVFDZE8zY08yZTdycjcvMlgwZEhSMlBLbENubEp1bUlpSWlJaU1LSlNURWlJcXB4SWdLZ2VGbWVqMUtxTFlCN05FMGJJaUsveHNYRlpWbXQxcFdGaFlVZkgxZGxkRlNEQXBOQUYxNTRZY2lFMkltNC9QTExZVEtaOE9pamo4THRkbVBmdm4wWU9YSWtQdnZzTXd3ZlByeFUvYSsvL2hyUFBmY2NnTkFiNXdOL2ZaNGx4Y2JHQm0xMkR3QzV1Ym4rcEZ5elpzM1FwRW1Ub1BJZE8zYVVXbElaU21EQzY2S0xMaXEzYnZQbXpURno1a3ljZDk1NUZmWkxSRVJFUkJRdVRJb1JVWjJqbElKUzZpeGQxNmVFT3hhcW1sREpIS1ZVakZLcVBZRDJtcVpkRngwZFBTWFNZOWp6WFlnOGxiSGRlT09ObURGakJpd1dDeDU1NUpHVDJuZS9mdjB3YytaTWpCa3pCa1ZGUlhqc3NjY1FIeDhmc201RVJJVC9PdFRHK2VXeFdxMmxUcXQ4N0xISC9BbXRtMjY2Q1hmY2NVZFErZDEzM3cyNzNWNXV2L3YyN2NQYXRXc0JGTThBUzBsSndlSERoLzNsWnJNWnpaczNSMjV1TGdEZ3lTZWZyRFVKc1dnVHJEYWI3WDBBemNNZEN3QW9wVndpVW5KVE5sWEdOVlJnSmpsRUhSRXBXVjV1L1JEOVZidi9FbjFXV0w5RW4xVjYzNUwxUThRWFZLY092bSs1OTVXSXIwcjluK3orcXRvLyt6dTkrNnZwL3RsZjlmb3pES05LOVU5MmZ4WDFmNkw5S2FVSzNHNzNvZzBiTm13Q1VTVXdLVVpFZFpLSU5BWndaYmpqb0JNWDR0KytMcVhVRVFBN1BRcHBoa0xiVXhsUC8vNzk4Y29ycjJEczJMRllzMlpOcWVTUmoyL3BKQUE4ODh3em1EcDFhcWs2U1VsSmVPbWxsNEtlZGUvZUhiTm16Y0syYmR2UXQyL2ZreHQ4RFh2enpUZjltK3YzNk5FaktIRUhGQ2M3NzdyckxreWVQQmtBOE1JTEwrRHR0OTh1VlM4Y2lnempRRFMwRHdIVXI3QnlOU21sQkVEcDR6eTlwRmhWdXF5d3ZuZk1TdmRYbGNFQlNPZ2NWZVg2TENQMmNtTW8wYWJjdWtxcHlzUlg2ZjY4ZlZacC9NRDdVQ2U1VmpSK2VkL2ZVTi9iRU85N3d0Ly9TdnhhckNqZUt2MTZxdUt2MVpEOVYrWDdVNnF6S3Y3bXEweVRrdThVNGgybGpPdEtqVi9CcisrcS9GNnExUGlCYlNyeC9UcnB2LytxK3V1ckt0L1RHdmp6b2xyOVZSQjY2RDg4cS9iOXFmRDNTMVZqcUU1L0ovTDdyN3cvVTh0N2Z4RkppWXlNYkFSZ1hCWEhwRE1VazJKRVZPZUlDSlJTaDVWUzNMMjdEaENSbmI3ck1uNkEvQlhBUnlLeTNPVnk3ZlY0UEh1UEdaRnRJVGlsMzkrNHVEZzgrK3l6Nk5PbkQ5NSsrKzJnbVZCbEtXdlpZZURKaTRIMjd0MkxxNjY2eW44L2V2Um8vUGpqajJYMi85Ly8vaGVwcWFtbG5xOWN1ZEkvZzh6dC91dWNnb3lNRE54OTk5MUJkWGZ1OUgvOFdMaHdJVmF0V2hWVXZtWExsakxIQjRBLy92Z0RuM3p5aWY5KzBLQkJJZXRkZmZYVmVPT05ON0JyMXk1czJiSUYwNlpOdzhTSkU4dnQrMVR3S0MzSGJyZS9mWXFHRTVUL0Q2bHFKd1ZPY3YwZ1NVbEpWV3BmVkZSVXBmcHV0N3ZLOFZXMWpXRVlsYTdmb2tXTG9IdVh5MVdqNytQeGVHcTBmbFhlSFFBYU5teFlyZkZxT3I2VDNYOWNYRnkxMnBkVTArOWYxZnBBY0tLZ0tyT01UMlM4cXRhdmFsTDBWSHhlUHBXSnpXS3hWTGxOb0pyK3ZFNGc2Vnh1KzZpb3FITHIxN1pmTDRIMUl5SWlOb0Y1RHFvQy9tSWhvcnJLNDNRNnN5dXVSdUZtczlrQ2syRUtnRXRFQ3BWUy93UHdMMDNUZmtwTFMzTUZ0a25zWUQybHM4UjgrdlRwVTJOOTUrYm1ZdEtrU1RDWlRPaldyZHRKMjJ6ZjVmcnJvenR5NUVpNVN5RjM3OTZOM2J0M1Y2bi82ZE9uKzhmbzNMa3pyRlpyeUhvbWt3a1BQZlFRSG56d1FRREZDYmdXTFZwZzJMQmhWUnF2amxNSXZUeXZUc2pNekF4M0NLZFVWWDh2RUJGUjdXZXoyY0lkQXRVeFRJb1JFVkdORTVIRFNxa3NBSnVVVXY5MXVWeExOMnpZOEd1NDR5ckxvRUdETUhEZ3dKQmxmL3ZiMy94TEtDZFBub3grL2ZxVnFoTnF5cjh2V2VYeGVQRG5uMy9DWkRJRmxmZm8wUVBObTVlOTdkWG5uMzhlTkN2TXA2aW9xT3dYcWFaUFAvMFUzMy8vdmY5KzZOQ2g1ZGJ2MWFzWHJyNzZhaXhac2dRQU1IZnVYSWhJbVV0UmlZaUlpSWpDaVVreElpS3FVWVpoVE5jMDdUdTMyNzFsL2ZyMU9RQktaM1pxR2JQWkRMTzU0cjhpSXlNaks3MUV4YmRSUFlDUVN5SnZ2dmxtOU9yVnE4ejJ5NVl0UTE1ZVhxbm5lL2Z1OVYvZmNNTU5HREZpUkZENWM4ODloeFVyVmdBQTdycnJMdHg2NjYxQjVRODk5QkF5TWpKSzlldDBPdkhpaXkvNjczdjI3SWxMTDcyMHpQaDh4bzBiaDdWcjEyTGZ2bjBBZ0pkZWVnbjc5Ky9IZ3c4K1dLblBsSWlJaUlqb1ZPRlBwMFJFVktPY1R1ZkQ0WTZoTmxpelpvMy8rc0lMTHp4cC9RWXVBV3ZWcWhVYU5HZ1FWQjRaK2RjaG5oYUxwVlI1cUVUVit2WHJNV3JVS1ArTXVOallXRXlhTktsUzhjVEh4MlBtekptNDY2NjcvTzNmZi85OWJOeTRFYSsrK21xRis1UVFFUkVSRVowcUZSNlRRMFJFZENaUVNxR3dzTERDL3dLNTNlNXk2L3BPYk16S3lzS0JBd2NBRkMrdFBKbEpzZTNidC91dm16VnJWdVgyZ1h1UytYejk5ZGRCaHdoTW1EQUJUWm8wQ2FwVDFtRUNBTkN4WTBkTW1USWxhQmxwUWtJQ0UySkVSRVJFVkt0d3BoZ1JFUkdBVFpzMjRiYmJicXRTbThjZmZ4eVBQLzU0bWVVUFAvd3dicm5sRnZ6MDAwLytaMTI2ZEVGc2JHeXB1dSs4OHc2V0xsMWFabCsrV1ZlQmZ2LzlkK1RrNVBqdnp6Ly8vQXBqL3ZYWDRxM2NvcU9qc1dQSERtUmxaZm5MZkVtc1ljT0dZZEdpUlNnc0xNVDk5OStQcTY2NkNtbHBhZmo5OTk4UkZ4ZUh5TWhJZlBUUlIvNTJKVS9sQW9EZXZYdGo2dFNwZU95eHg2Q1V3dGl4WXl1TWpZaUlpSWpvVkdKU2pJaUlxSWI5K09PUC91dUxMNzQ0WkoyMHRMUXE5K3ZiMEI0QTZ0V3Joelp0MmxUWTVzTVBQOFQ3Nzc4ZnNxeHg0OFlBaW1kMVhYdnR0V2pjdUxGL2MvMnRXN2RpK3ZUcElkdTFidDA2NVBOTEw3MFU4K2JOZzhQaE9LRlpiRVJFUkVSRU5ZbEpNU0lpb2hxMFo4OGViTnEweVg5L3lTV1hoS3dYR1JrWjh0UktuNUl6eFpSUytQenp6LzMzdlh2M0xuV2laU2c5ZS9ZTW1SUnIzcnc1T25iczZMOS84TUVIZ3c0UnNGcXRaZlpaY3ZQK1FGMjZkRUdYTGwwcWpJdUlpSWlJNkZSalVveUlpQWhBVWxKUzBHYjRKNFBKWklKU0NtKysrU1pXcjE2TkhUdDI0Tnh6encxWmQ5cTBhZVdlUG5uSkpaY0VuVDRwSW5qcnJiY3dkKzVjTEZxMENBTUhEcXhVVERhYkRiR3hzU2dxS2tKa1pDUmlZMlBScFVzWGpCZ3hJbWhUL3BLbmFwNTMzbm1JaVlsQlFVR0J2OTNaWjUrTkcyKzhFVmRlZVdXbHhpWWlJaUlpcWswazNBRVFFVldWeldaVFNxay9IUTRIMTJPZHBoSTdXUHRBMVB2eGNYSE41ODJaZ1l1NlhoRHVrR3FFWVJnd0RBTkFjUUpONU1UK1d2N3R0OS9Rc21YTGt4bGFuYlo2N1RyY1AyWUM5dTdmZndnS0E3STNPMzhJZDB4RVJFUlU4MncybXdJdzAyNjNQeFR1V0todTRFd3hJaUtpTU5FMHJkd2xrNVhGaEJnUkVSRVJVZFZWL3lkeElpSWlJaUlpSWlLaU9vWkpNU0lpSWlJaUlpSWlPdU13S1VaRVJFUkVSRVJFUkdjY0pzV0lpSWlJaUlpSWlPaU13NDMyaVlpbzF2SzRQY2pjbEJYdU1LaU95ZHlVQlpmTEZlNHdpSWlJaUtpV1kxS01pSWhxcmVNRkJaanp5cjhSRVJFUjdsQ29Ebkc1WERoeTlHaTR3eUFpSWlLaVdvNUpNU0lpcW5XS2xQRjdwTWp2aGxLV1EwZU9oRHNjcXF1VStxTklxZC9ESFFZUkVSRVIxVTVNaWhFUlVhMnpPeXRqNjludE9nM1d6QkZOd3gwTDFWMGVVZnQyYjg3WUd1NDRpSWlJaUtoMllsS01pSWhxSXlObjI4Wk1BSm5oRG9TSWlJaUlpRTVQUEgyU2lJaUlpSWlJaUlqT09FeUtFUkVSRVJFUkVSSFJHWWRKTVNJaUlpSWlJaUlpT3VNd0tVWkVSRVJFUkVSRVJHY2NiclJQZEJMb3V0NGR3QmdBdnprY2pnZXFVeTg1T2ZrY2s4bjBCSUIrSWhJSHdPN3hlQ2FrcDZldlBaSFlyRmJyZVNJeUdNQUZTcWtzQU11ZFR1ZVNFUFVTTlUxN0FNQkZkcnU5KzRtTVJVUkVSRVJFUkZSWE1DbEdkT0kwWGRjSEFCZ2pJcjRrMHR4cTFFTktTb3F1YWRvS0VXa1k4TGl2cG1rcmJUYmJKWGE3ZlhWbGcrdlFvVVBqNk9qb0YwUmtrRkxxUmJmYlBYajkrdlVIUTR6WjFXUXlqUUZ3SXdDVFVtcGpaY2NnSWlJaUlpSWlxcXVZRkNNNkFhbXBxUWxLcVljQk5BQndZWFhyQVVDclZxMmlUU2JUbTRaaFRCZVJMS1hVSlNJeUFvQkpSQ0tWVWc4QXFGUlNMRFUxdFlOaEdGK0xTR3ZETUFZNm5jNUZvZXBacmRaSFJLUzVVcXFQaUpncTB6Y1JFUkVSRVJIUjZhQldKc1ZhdGVyVXlCeWpOUTEzSEZSM3VUVFgzdDgyYjk1ZlUvMm5wYVh0QS9Bd0FPaTYzbGhFYnFoT1BRQklTRWk0WEVSdWNUcWRtNzJQRnVxNm5pOGlqd0NBaUZncUUxdHljbkpUcGRReWIwSnNXbGtKTVFCd09wMVR2TEZ0QXpDN012MFRFUkVSRVJFUm5RNXFYVktzVFp1T0xTUTZZZ29FS2VHT2hlcXVDRVBiMHFaTnh3ZDM3ZHIwK3lrWTd1akpxT2QwT2hlWGZLYVUrcCtJK0s3ZnJjd2dack41RG9EV1Nxa2lqOGZ6ZkdYYUtLV08rc1loSWlJaUlpSWlPaFBVdXFTWVJFZTFoNmdyQk5JODNMRlEzYVUwU1pUb3FQWUFUa1ZTck1hSXlCVUEzSVpoUE9KME9qK3BxSDV5Y25KbnBkUk4zZ1RYYnJQWnZOQm1zNlVDVUVxcFJacW1qZkhPWGlNaUlpSWlJaUk2bzlXNnBKaVB4V0xCWGJmZmh2UE9iUnZ1VUtnTzJicDlCOTVhOEQ2TzVPV0ZPNVJxU1UxTnJlL3hlTzRETUVJcEpacW1kVXBLU29yTnpNd3M5OFZNSnROZytXdksxMVlSZVY0cE5VQkVSb3JJRUtXVU5URXhzVnQyZG5aQnpiOEZFUkVSRVJFUlVlMVZhNU5pRVJGbTlMaW9LeTdxZWtHNFE2RTZaUFhhZGZqZzQ0VkFIVTZLZGVyVXFaRmhHQXMxVGJzazRQSHRVVkZSaVFENlZ0RDg0b0RycFhhNy9Uc0EzOWxzdHNzQWRBQ1EzS2hSbzZIWjJkbnpUbkxZUkVSRVJFVDAvK3pkZVhnVVZmWTM4TytwNnV3aFlRY2hMQUlhREpCMFZVUUZWOXhmZE54RzNOQlJVRlJFR1VkQW5SRkVjRlFRUVJIOEtlN2lBcUk0NmlpYkRydUFZTG83Q1lROWhCMUJJR3doU1hmZjgvNlI3ckk2Nld4c1NlQjhub2VIcXJ2VnJRalg1dlJkaEJCMWlsYlRIUkJDaEZxMWF0VSt0OXQ5QlROM0FyQXltRTVFVjZTbHBWVVdGR3NUdkdEbW83YjAyYmIwYTA1WVo0VVFRZ2doaEJCQ2lEcEtnbUpDMUZKdXR6dkg1L05kaE5EQTJIa1YxU0VpRmJ6V05DMHllTTNNRzIxbDVHUlhJWVFRUWdnaGhCQm5QQW1LQ1ZHTFpXVmxIUUh3citDOXBta0hLNm15SlhqQnpBMXQ2UWRzMTN0UFRPK0VFRUlJSVlRUVFvaTZTNEppUXRSeVhxOTNjZURTeDh4emcrbE9wL01CMHpUbm1xYjVkRENObVdmYnFwNWpTL2NGcjVWU3kwOW1mNFVRUWdnaGhCQkNpTHBBZ21MSDZjTVBQOFRnd1lOeDg4MDNJeTh2cjhyMWpodzVna1dMRm1IOCtQRmc1cEM4WjU1NUJyZmRkaHR1dSswMkxGcTBLR3o5K2ZQblkvRGd3ZkI2dlNIcE0yZk94Tml4WTdGcjE2NXF2VWQyZGphR0R4K080Y09INDlOUFA2MVczVE1kRVZrSFZqQnp1WCtuS2ltbm02YjVIOE13VmppZHpvdnRHWnFtdFFqVUdlOTJ1M2NBUUdwcTZ0bEU5QUZLTnQ0ZmJSakdaUUJRVkZUMFB2NmNGWGFKclkwR2djc0NwVlM0LzhEMlF6ZGtYQkJDQ0NHRUVFSUljZHFydGFkUDFoVTVPVG1ZTjI4ZUFPQi8vL3NmSG56d3daRDh3NGNQWS9QbXpkaTFheGUyYk5tQzNOeGNyRnUzRGhzM2JyU0NZZDI2ZGNNRkYxd0FBSEM1WFBqNTU1OEJBQTBiTnNTRkYxNVk1cG5UcGszRDZOR2pBUURqeG8zRE04ODhBd0E0ZE9nUXhvNGRpLzM3OStQcnI3L0c5T25UMGFKRml5cTl4NDRkTy9ERER6OVkvYm52dnZ1cSs2TTRZekZ6TXlJSzNwYTdYMWRGNVRwMTZwVEl6RGRUaWZtbWFiN3U5WHJmMFhWZEo2TC9BL0N4MisxK0psaGUxL1VFSXRKc2JUY0FnSnljbkYxT3A3T2ZwbW1mRTFHU1lSZzN1ZDN1N3dIOFAyWldBQVptWldWdEs5MDNUZE9hMlc0YkF5QUFYTHFjRUVJSUlZUVFRZ2h4dXBDZ1dEWE5tREVETDczMGtuWHY4MW1yMGpCcDBpUjgrT0dIMXYzdzRjT3haY3NXdlAzMjJ4VzIrZjMzMzF0QnNYZmZmZGRLejgvUFI0OGVmeDQyZU04OTkyREFnQUc0OGNZYjhmbm5uMlBidG0yWU5tMGFUTlBFTmRkY2d3a1RKbUQvL3YwQWdJY2ZmcmpLQVRGUmZTa3BLWkdSa1pIOUF4dmZYeFZNSjZLYkRjTjRVeW0xT0RNemMxcFZ5NjFhdFdxZllSajNBQmdDNER3QVR6b2NqdDRBbGhIUnl5Nlh5NzRzRW02M085TTB6YmVZK1g0QWN6d2V6NC9CUEkvSDg1VnBtbHVaK1o5RU5ORXdqS2NCRkFHNDF1MTIvOC9lam1FWWR4TlJaMlorTEJpd0k2SW1obUg4aDRqbXUxeXVDUUQ4Si9qSEo0UVFRZ2doaEJCQzFEZ0ppbFdUeitkRFlXRmgyRHkvM3crLzN4OVN0anlOR2pYQ3VlZWVpOVRVVkppbUNRQ1lQbjA2VnF4WVlaVlJTb1U4cTdpNEdBQVFHeHVMZi8vNzMramJ0eTlhdEdpQitQaDRaR1JrWVByMDZRQktabm85OE1BRHgvNlM1WmcyYlJxSUNMMTY5VHJoYmRjMU9UazV4UURHQjI0ZlBkNXlBT0IydTZjQ21GclZQcmhjcnNjQlBGNU8zaklBTjFmV2h0dnRuaEs0Zks2cXp4VkNDQ0dFRUVJSUlVNEhFaFNycHVUa1pEejg4TU1BU3BZNnRtL2ZIb21KaVFDQWZmdjJZZjc4K2JqKyt1c1JHeHVMYzg0NUJ6dDI3TERxWG52dHRYand3UWVSbEpTRTZPam9rSGJYcjErUDExNTdEUURnY0RqUXUzZHY2THFPVFpzMldjc3pXN1pzQ2EvWGkzSGp4Z0VBMnJScGc5VFVWQ3hjdUJBTEZ5NjAycXBYcng1ZWZmVlZKQ1Vsb1hmdjN0Vit4NDBiTjhMbjg4SGgrUE9QeC9mZmYyOHQyZHl4WXdjR0Rod0kyMUpBSVlRUVFnZ2hoQkJDaURwRmdtTFZsSnljakxpNE9Eenh4QlBZc21VTDJyWnRpMGNlZVFRQThPcXJyK0tQUC83QWYvN3pIL3p6bi8vRU9lZWNnd1VMRmxoMXp6cnJMSFRvMENGc3UxOTk5WlUxRTZ4Ly8vN1dUSzlnQU82c3M4N0NMYmZjQXEvWGkyblRwbG4xTm0zYVZLYXRPWFBtQUFEUzB0TFF1M2R2TEYyNkZBTUhEaXozbmZyMTY0YzJiZHBZOTd0Mzc4YjgrZk54OWRWWEF5aFpNdnJpaXk5YStWOSsrU1Y2OXV5SmM4NDVwMHhiUWdnaGhCQkNDQ0dFRUhXQm5ESjNERnEyYkltRWhBUUF3RGZmZklPOHZEeHMyclFKWDMvOU5ZQ1NtVjVkdTNhdFZwdE9weE1Ba0ppWWlNYU5HMlBHakJsNC8vMzNrWkdSQVFCSVRVM0Z6ei8vakkwYk4xYTd2OHdNcFZTNXYwcWZmZ2tBVTZlV3JPTDc2cXV2TUd6WU1DaWxBSlFzM1h6cnJiY2tJQ2FFRUVJSUlZUVFRb2c2VFdhS1ZkT3dZY093WnMwYTVPZm5BeWpaOSt2aGh4K0dVc3JhVDh6djk2Ti8vLzVvM2JvMXpqdnZQS3Z1ZDk5OWgwV0xGcFZwczM3OStoZzVjaVFBNE1DQkF4ZytmSGlaTXJObno4YnMyYk14WU1BQXZQLysrMWI2amgwNzhQenp6d01BemozM1hEejk5Tk5XWG54OFBBQWdJaUxDV3VJWlZGUlVaTzJkdVJxUkFBQWdBRWxFUVZSWHB1dDZtZWU1M1c2ODlOSkwrT2FiYjZ5MHhNUkVUSmd3QVowNmRhcm9SeVNFRUVJSUlZUVFRZ2hSNjBsUXJKcTJiOStPM056Y2tMUzllL2VHM0I4K2ZCaUhEeDhHZ0pDZ1dINSt2aFZNczJ2WXNDSE9PdXNzcEtlbkl5TWpBN3F1SXlJaXdncGFSVWRIVzlkRUJNTXdyTHIxNnRXenJ1UGo0MFB5Z3JwMjdZcTVjK2VHcEkwWU1RTGZmLzg5QUtCVHAwNDRlUEJnbVhyMmdGanIxcTN4NXB0dm9sV3JWbVhLQ1NHRUVFSUlJWVFRUXRRMUVoU3Jwa3N1dVNRa01MUjc5MjRzWDc0Y0FOQzJiVnQwN3R6WnltdmF0R20xMmc3TzVycnFxcXZ3eWl1djRNb3JyOFNCQXdjd2RlcFVQUDc0NDlpMmJSc0FZTXFVS1ZpMWFoVUFXTUUzb0dSL3NhRkRoMXIzdDl4eUM4NC8vL3d5enlrdUxyYUNaSkdSa1RCTkUvUG56eSszWCtlZmZ6N0dqQmxqTFJrVlFnZ2hoQkJDQ0NHRXFPc2tLRlpOZmZ2MkRibGZzbVNKRlJUcjFxMGJCZzhlSEpKdlgrcll1M2R2UFByb281ZzZkU3JlZXVzdEFNQ0FBUU53enozM2hOVEp6ODlIZG5hMnRSeHo3ZHExMWliOFFNbXBsNlZuZmdIQS92MzdNWFBtVE9zK1BUMDliRkJzNGNLRlZqRE5ORTFFUlVXRjVMZHExUXJidDIrSFVncXhzYkVZTzNhc3RSU3pMcWtYcVY1eE9wMFhWZWVVVEdhMlR0VzBYMWRXUHJndlcvQ2FpRGpjWG0xRXhFb3BxMTBpNGxKdEJldXg3Zm5CYXlzamVCMG96NEZrQmdCTjA0TFh5bDZlbVZYZ1VZcVpXZE0wcFpSaUltSWlVb0dpaW9pVVVrb0ZucUdVVWtyVE5IK2dQUldvN3d2VUQ5NnJRQnYrd0xOOFJLU1kyYy9NZmlMeUI5N2RxMmthKzN3K0h4SDVOVTN6KzN3K1JVUStXem1mVXNwSFJNRXlYcS9YNnllaW93Q0MvYXZ5ZjFNaGhEZ2VIVHQyYkJRVEUvTS9BTml6WjArM2JkdTJIYTNwUGdraGhCQkNpQk5EZ21MVnRITGxTdnp5eXkvVy9kYXRXNjNyN094c1RKbzB5YnJ2M3IxN1NOMm9xQ2pFeHNiQzRmanp4KzV3T0JBZEhSMVNidm55NVZhZ0RRQ2VlZWFaa1B6R2pSc2pLU2tKQU9EMWV2SDc3NzhES0puMVpaK2RGaTZReGN6NDhNTVByZnZMTDcrOFRKbWtwQ1E0blU3ODk3Ly9SVUZCQVNaT25JaG5uMzIyVExuYVRnSGJIRVErbEJ3b1FhV0RYUGFnRlRORDA3UXk2UUNvZEZwVmdtek1UT0hLTWpNRm4xTXEzUjRvczM0UHB0dmJLZDFtOEY3VHRKRGdYT24zS2gzc0k2SXkrOGtGeTlqVEsrcXZ2Vnk0SUtMOW1mYTJJaU1qclRMaDlyUXIzWWI5NzB5d1BhVlVYSVVWaFJCbkpNTXdmZ1VReGN5UGVUeWVKY2ZibnFacEVVU1VCZ0FKQ1FsbEJxeVVsSlI0aDhQUnhPRndOQVBRaHBuUEJ0Q1dpTTVXU25rOEhzOHpwZXNJSVlRUVFvamFRWUppMWJScTFTcTgrKzY3WWZOV3JseUpsU3RYV3ZmMTZ0VUxtZUVWRjFlMWY4Tlh0S2NZRUJvazI3QmhBKzY4ODA0QVFPZk9uZkhlZSs5VjJQYlBQLytNdFd2WEFpZ0ptdDE0NDQxaHkvWHIxdzh6Wjg2RXorZkRWMTk5aGJTME5QeS8vL2YvcXRULzJtSlAvdEYzSTlYUkordlZxK2NBZ0gzNzltbk1yQ21sSEFDZzYzb0VBRGdDRVJlbGxBYUFkRjNYYldWMGg4TkJ6S3hGUlVXUlVrb0hBR2JXQTNVY0FFalROQzN3MzAwUDVqR3p4c3pFekhvZ0dLWUZucWVqSkVoSHdlY2dFSHp6K1h3UkFLQnBHamtjanVCemlKbEoxM1VvcFNLQzEwU2thNW9HdjkrdjJmb1NwQU53TUxOR1JNRjMwQU45Q2dZSmRRQWFsVVN1TkUzVE5DSUt5U3VaWkVaYThKMDFUYU5BZlMwUStLTmcvY0N6S1BCc0xkQzJwcFFLdGdzaTBxaGtLcGtXcUJ2TXA4QnpyZlRnejZSa29wcG0zUk5SaEtacExZbG85WEgrRVJGQ25KN1NpQ2lLaUt3MS82WnBQc2ZNdmFwUWQ1WGI3ZTVkV1NIRE1FWVEwUU1BbWdDSXNlZVYraExqWEFBU0ZCTkNDQ0dFcUtVa0tGWk5FUkVSSVRPN2xGSlc0TXZoY0pTWkJiWi8vMzdydnFwTEVDdmJVK3hZSFQ1OEdPUEhqN2Z1YjcvOWRzVEd4b1l0MjdKbFM5eDExMTM0N0xQUEFBQXZ2UEFDbWpScEVuWTVabTBWR3h2bnpWdXpmbnROOTBPY1dJWmh0QUdRcDJuYXBwcnVpeENpYm1EbVZzSFpYcFh3QVlEVDZleE9SUDhYU0xQK3h4NGRIYjNFTUF4VlFWdEhBV3dHc0lXWnR3RFlFcWp2Ty9iZUN5R0VFRUtJazBXQ1l0VjAyMjIzNGV5enowWmVYaDR1di94eXJGbXpCazg4OFFRQW9GZXZYdWpmdnorKysrNDczSEhISFhBNEhDRjdqRlUxS0ZaVVZJUS8vdmpEV25LV241OXY3UysyYmRzMlhILzk5VmJaWURvQVpHVmxoZVFCSlp2eU4yalFBQUR3OHNzdlkrZk9uUUJLbHEvZGRkZGRGZmFqZi8vK1dMaHdJYlpzMlFLZno0Y25uM3dTNDhhTnd3VVhYRkNsOXhCQ0NDRnFFMlpld014dmxFNG5vcjhRa2JWcHFLWnBDUURDQmI2NjJKYUZEeVNpYlg2L2Y0K21hUk9JeUFuZ1ZaZkw5Y0xKNnI4UVFnZ2hoRGl4SkNoMkRLWk5tNFk1YytaZzlPalJHRGx5cEpXK2RldFczSFRUVGNqUHowZGhZU0g2OXUyTDNOeGNLNzlObXpaVmFuL0JnZ1ZZc0dDQmRmL0FBdzlZMXo2ZkQzdjI3QWxiTDF4ZU1HajIyV2VmWWZiczJWWjYvLzc5MGFSSmt3cjdFUjBkalJkZWVBRVBQZlFRbEZJNGV2UW9CZzRjaU9lZmZ4NDllL2FzMHJzSUlZUVFKNXRwbXY5ZzV2c0R0OEZOQzk4eURPTVFFVzFpNXQ4QmdJaTJ1ZDN1YjhQVWIydS9MeW9xV2g0UkVkRURBRFJOYXdoZ09nQXdjMDltUGdvQUhvOW5JUUlIbWhpR2NTUmN2enAwNkpDd1ljT0dnOEg3bEpTVXlLaW9xR0VBZWdBNEFHQ3YxK3Nkc25MbHl0OHJlOGZVMU5RTGRWMS9pWWdPb21UWjVrU1h5L1ZsQmVXYmFwcjJJQkZkQ1dBMU0zL3A4WGgrS2ErOEVFSUlJY1NaU0lKaTFWUlVWSVRGaXhjREFDNjQ0SUtRMlY5SlNVbllzV01IOHZQejhlR0hINkpyMTY3WXZIa3pnSktsbE8zYnR6L3U1OGZGeGVIS0s2KzA3bzhjT1lKZmYvMFZBRkMvZm4yWXBobFNQaW9xQ3RPbVRjUHJyNzl1cFhYcDBnWDMzbnR2bFo2WGxwYUdwNTkrR3FOR2pRSlFzckgvc0dIRHNIcjFhZ3dhTk9oNFgwY0lJWVE0YnN6Y01zeVN4bmFCV1YzUkFINFBsT3RwR0lZblRQMG05cjNBVnExYXRjOHdqS2NBdEdabWgrMEFsTkVvT1FWM0hvRDU2ZW5wamIxZWIyc0E5UVB0WEdzWXhya0EyaE5ST3dDTjA5UFRJek15TXJ3QUVCMGQvUm1BWHN6YzF1MTJiemROYzB0a1pPVDg5UFQwaXpJeU1nNlU5MzZHWVp4UFJITUJUSE81WEgxTTB4d0FZS3BwbXZWZEx0ZWtNT1VmSktJM21YbWhwbWtQWm1Sa2JLbmlqMUlJSVlRUTRvd2lRYkZxbWp0M0xnb0tDZ0NnekZKRklzSkREejJFZi8zclh5Z3FLc0tZTVdPc3ZIYnQyb1djdUJmTzMvLytkL1RwMDZmY2ZML2ZqN2k0T0xScjE4NUtzMiswMzY1ZHU1Qm5CbjN6elRmV2RVeE1ERWFNR0ZIbVJNR0RCdytXcm1icDFhc1hkdXpZZ2NtVEoxdHB3ZE12aFJCQ2lLQjI3ZG9sNXVibWxodmNPVm1JNkd0bTNoQzRub0NTZzBZbUFNZ2hvdjBvbVprRkltb0FvRUVWMjB3QlVQcmJyT0R5eVRUVE5COWg1aGo3WHFKRTFBMUFOM3VGSTBlT0pBRFltNWFXMWdNbEFiSDlicmQ3Y3lBN0M4QjFTcWxCQUo2dm9EdGpBY1F5c3p0d254SDQvVlduMC9tbHgrUEpEeFkwREdNQ0VUM096Tis3M2U1YkVaak5Kb1FRUWdnaHlwS2dXRFY5OGNVWEFFcG1ZRjF4eFJXWVAzOStTUDQxMTF5RFpjdVc0WlpiYmduWlQ2eEhqeDRWdHJ0cjF5N2s1ZVVoUHo4ZkJ3NGN3UDc5KzdGdjN6N3MyN2NQZS9mdXhSOS8vSUc5ZS9mQ05FMjg4ODQ3MWVwei8vNzk4ZFJUVHlFcUtncmp4NDlIbXpadE1IdjJiQ2lsRUI4ZkQ2VVVwa3laWXBXM0h5UVFOSERnUUJBUlB2bmtFNXh6empubzFhc3FoM2dKSVlRNGt5UW1KZzV6T3AwTmlXaVYzKzlmcGV0Nmh0dnREci9tL3dSeXVWekxBQ3dEQU1NdzNpQWlCeEhOY0xsY3N3SnBQWUNxN3lrR0FENmZyN2VtYVRIaGxrOFNVVDhpdWlkUWRDK0FXQUF4ekx3Q3dQZEVsT2YzKy9PWU9XL05talg3QUVEWDlic0R6enBzZTh5QlFOb2RLQ2NvWmhoR0N5SzZMSEI3MkY0UFFBSVJYUTlnS2dDWXB0a0h3T01BQ2dBOEJBbUlDU0dFRUVKVVNJSmkxVkJRVUlCR2pScUJpSkNRa0lDK2ZmdUduQWdaRVJFQlRkTXdmUGh3REI4K0hQdjI3YlB5YnJ6eHhncmJuanQzTHNhT0hYdFMrbjNaWlpjaE9Ua1pUenp4Qk5MVDB3RUFQLzMwRStiTm14ZTJmS3RXcmNxa0VSRUdEaHlJVnExYW9Ybno1bVZtbWdraGhCQkVwQk5SSHdEV2FjeE9wM010Z0FYTVBOZnI5UzdJeWNuWmRTcjdaQmpHN1FBdVl1Wk1BUFdKS094RytJRjhoMm1hLzNDNVhLOW5aV1g5Q2dBcEtTbk5nMThXRlJVVkxjckp5VG5jdVhQbmpaR1JrYU9QSERteWFlM2F0WWNNdzFoTVJCY0hBbkgvTHFjcmx3Wis5OXFlNlEvTVBFdnUzTGx6czNCN2l4SFJwYlpiTHdENC9YNi9ydXZCdE1zQlRIVTZuZlVCQlBkSytQSlVCQ09GRUVJSUllbzZDWXBWUTJ4c0xONTQ0dzNrNXVaaTQ4YU5lUGJaWjBQeXp6bm5IQUFsRys0dldyVElTci8wMGt2Um9rV0xDdHR1M3J4NXVYa09od09OR2pWQ28wYU4wS1ZMbDJyM200ancvdnZ2SXpZMjFrb3pEQ05zVUN3cUtncTMzbnBydVcxVmxDZUVFT0xNcHBUYXJtbWFkWG95QUdpYWxnd2dHY0REdXE3RE1JenRBTElCL0FaZ0ZZQWRBUDd3K1h3N3M3T3pEK0FFelc1aTV2c053K2dYbUVrVlcybUZQK3UxTkUxekNEUDNEaVJabjVXaW82T1hHSWFoQXVVZVdydDI3YUhLMmt0T1RxNFhLTmNtVU05dnk3WitVSnFtdFVSZzc3TlNyRk42Z25XSmlHMzVMUVAxN3dTUUdDalh5VENNclVSVWo1bVhLcVgrbnBtWnVhNnl2Z29oaEJCQ25Ha2tLSFlNMnJWcmh4WXRXa0RUTk9pNmpnWU5HdUNhYTY3QnRkZGVDNkJrcHRXVUtWTXdaTWdRYk55NEVVOC8vWFNsYmJadjN4NjMzbm9ybWpadGlpWk5tb1Q4bnBpWUNQc0d3TWZDSGhBRFNqYlFCd0JkMXhFVkZZV0VoQVIwN05nUmZmcjBRZXZXclkvcldVSUlJYzVNU3FsMXBXY1Myd05rQUVCRUxWRVN5TG1lbVJXQWZBQi9PQnlPWFU2bmN4K0E5VVQwcTFJcU96TXpNeGVBcjdMbk9wM09Ya1IwUFJFWkFLSUN6N21yVkQrMk0vUGpnYngvRXRFRkFIWXBwZnFYU2dPQWNCdjNBMy91S1FhbFZJUDA5UFRXek55Q21ZTWI3VjlqbW1ZYlprNEt0SkVFb0Y3anhvMFRBTVFFbm1NRi9lekJMWWZEVVQvY3V6RnpBOXRHL3dvQU5FMno2aEZSOE5tWEI4c3g4d2hkMTkxS3FabEVkTDJ1Nnd2UzA5TTdWclNadnhCQ0NDSEVtVWlDWXNjb09qb2FLMWFzS0RlL1diTm1lTys5OTVDVmxWVm1sdGh0dDkyR3E2KytHZ0NRa0pBQUFHalRwZzJHRGgxYTdYNTA2TkFCR1JrWmxSY3NwWFBuenNkVVR3Z2hoQ2lQcnV1WkFDcjhJc2NlSkNNaURVRER3Szl6YlVFZHBldjZUMDZuOHdtUHg3TytzdWRxbXRZTFFPbk5MbmN4ODJJaWFnWGdRaUk2N0hhN3Z3VUF3ekJ1QUhBQmdBeVB4eE5NZThCV2Q2SlM2bHV0Sk1MM0RmNmNnWFVZd0hBaUdxdHAycHpndTlpQ1Z0MEJkQy85L3MyYk40OEY0QWVnMjlPWldiZTljM2tuM2hTVVR2RDVmTHB0Zy8rRGdXZmJUOERKeWNqSTJPbDBPc2NRMFdjQW1pdWwvZ1pnUWpuUEVFSUlJWVE0STBsUTdDU0tpb3BDMTY1ZHk2VEh4OGNqUGo2K0Jub2toQkJDbkREYXVlZWUyekF1THE0bEViVldTaVVEdUpTWkZSRnB6QncyT0VaRVZtRE1IbFRpa3B1ZHpEeVBpRDRtb2dVZWo4ZGJwb0V3bUhrcmdNMEFWaERSclNnSlB2Vnh1OTJ6RE1ONGxJZ3VMTldIaEVDOXNNc2ZYUzdYQmdBYm5FN25QWnFtSmRycXhUUHpFNldLSDJEbWFDS0tRc21wa0xPVlV0c0JiQWV3UTlmMWJTdFhydHh0bXVabUFPMlltV3p0V1VHeW9xS2liUWd2ejk1MUFOQnRHNG9GM2gyd0JjK1lPVExRdnR1cVNKUmNUdnRDQ0NHRUVHY3NDWW9KSVlRUW9sclMwdEo2RU5IMW1xYWxBV2dMb0xXbWFUR2xsMHFHVTJxbVdEQXREOEJrcGRUOEF3Y09MTTNMeXl1c1RuL2NidmZUQUFZQmdHRVloZlpnVXpsOU9KdUlRRVRsQmFLUW5KeGNUOU8wVWFYcTdTT2l0Z0NnbExyZ2p6LytXTGx0MjdhamhtRXNCbkF4Z0I5Y0xwZTFrYjlwbWxPWmVYVmFXdHI3QUpZQWFJZkE4czVBZThHWllybjJBd2pTMDlNVGcwc2ROVTFiWWdzaVJnRWxNOFVpSWlLQ3haY0U4bFlTMFhXQnRKWUExaFVWRmUwTEhoSlFYZ0JRQ0NHRUVPSk1Ka2NJQ2lHRUVLSlNTVWxKTVU2bjgrK0dZV1RwdXY2RHBtbURBRnlIa2szMFk1aDVBek8vQzJCMXVQck1IQzRnVnFDVUd1SDFlaTl5dTkwak16TXo1MVUzSUJiZ3I3eElDY013MmhDUkdlaVRrWktTRXZha205alkyQWtBV2pIei9tQ2FVdXB1QlBZNEk2S3J0bTNiZHJTU3g2VUFlRUhUdE1mOWZ2K25nWHIydmNPaUEvMllGcmdud3pEbU1ITythWm9mQWtCR1JzWkdabDRLQUpxbTFRY0FYZGVqQStXUEZoY1gveGpvMitlQjJYYlFOSzBkQU1URXhFVGFuald6a3I0S0lZUVFRcHh4YXUxTU1aL1BoeFVaYmh3OEtGOXNpcXBidTM0RGlvdUxhN29iUWdoeDJtbmN1UEV2bXFZWmdkdTl6T3dCa0FuZ2YzNi8zNVdWbGJVNU9UazVMalkyZGlxQTg0Q3dtK3dEd0ZGbVhzbk0zeDg5ZXZUdE5Xdlc3RDFWNzVDU2toSUo0QU1FOXZZaW9xdWlvcUpXRzRZeHlGN082WFQySTZMN2daSk42NG5vRFFEd2VyMUxORTBiU2tTWHV0M3VNVlY0WlBEa21nMlptWmx6RE1QNG1vaHU3OUtsUzd2czdPd3RBSnpNdko2WlJ3ZjYxNHlJcmdrOHR6ZUFCMUZ5UXVWQUFJdVkyUXkwRjl5YlljaXFWYXYyQVVCbVpxYmJNSXpYQVR4RlJIY0ErSUNaend1VSs5THRkaStzM2s5TENDR0VFT0wwVjJ1RFlrZVBGbUxpMisrQ05Kbk1KcXFPbFlMWFYrbEJaVUlJSWNwSDdkcTFTOGpOelQwTTJ3d3NJbnFEbVFjVDBUZk0vS3RTS2lzek0zTW5BT3MweGFLaUltOWNYTnp1TWcyV0JNTzh6THdRd0dTLzM3OG9LeXRyczczdXllSjJ1OThCOEk3VDZYUkdSMGN2QkhBaEFERHpKQUMzRVZFVGxBU1FmdmI3L1VtWm1abmJEY1A0djBEMXo0cUxpNytNam81K3c5YmVxK25wNlJNUU9qdk5GMmpUMmpBMGNESmxJZ0FvcGRZQ3dLRkRoKzZ0VjYvZVpvZkRNZDB3aklNQTVqUHpBSS9Ia3c4QU9UazV1MHpUL0ppWmV6SHpHeWdKaU1IdGR2L21kRHF2SnFKWERjT1lBNkFCTTkvdWRydW5sM3JYUVlaaGJBQXd3RFROL3pCelF3RC9yR0lBVHdnaGhCRGlqRlArOFZBMXBIbmJqbTFqb3FNbU10QytwdnNpNmk0aWJEOTZ0T2loWFhscjhpb3ZMZXFTd05LblBBQmZ1Vnl1TzJxNlAwS2NidExTMGg0bG90NUtxYjlsWldWdHNtWHBxYW1wMFZsWldZV29ZTG1pWVJnamlPajVVcHZvWnl1bEh0dTdkMjlHRlpZY0hnL2ROTTFDQUE2bDFBM012Rm5YOVNzQS9KV1pyeUFpQ2l3eGZNbnRkZy9yMkxGam81aVltSEZFOURjQVlPYjlSTlNmbVRjUzBRYytuNis3eitlckZ4MGR2Uk1BQ2dzTDYrWGs1QndPODg2VGllZytsQVQrY2dMSlp4RlJVd0NGdTNmdmJuaVMzMXNJSVlRUUFFelRaQUJ2dUZ5dWY5UjBYMFRkVU90bWl1M0tXN1A1N0xQUEd3QkhWSU9hN291b3U1U21EdXpLVzdPNXB2c2hoQkIxUWNlT0hSdEZSMGRmUWtRamlDZ05nSStaZXdDd0I4WDhXVmxaUjZyUVhBRktnbWI3QVN6MysvMlRNek16dnp3SjNiYVlwamtSd0UzTVhJVEFaeHROMDNvQ0dCQXNFd2pPWlRMekVJL0g4eE1BQkpadTN1OTBPcWRwbXZZeEVUVUdNSldJK2hMUjlWbFpXVWRTVWxMcVZmWjhJdm8vQUxjRGlBbjgvQ3pNL0xJRXhJUVFRZ2doYXFkYUZ4UUR3SnMycmQ2TWtxUFZoUkJDQ0hIeU9KeE81N1ZFOUNnUlhRNGdJYkN4L0tlYXBpMDd4amF6bVBsdHY5OC9wNkNnWU1HR0RSc09uc0QraHFXVVdxOXBXaXZiYVphWmJyZDdvR21hVFFDa012UFBBTDRxYjE4dGo4ZnpZMXBhbWxQWDlTa0FOcnRjcnNtb3h1YjlMcGRybWRQcFRORTA3UkxiRXNwaUFGbHV0L3UzNDNvNUlZUVFRZ2h4MHRUR29KZ1FRZ2doVHJJT0hUcEV4Y2ZIUHg4SWlEVUVBR2IrenVmelBidC8vLzdOeHpxNzZkQ2hRM01MQ3d2bm44clpVYnF1LzRlWkN3RTRtSG5mb1VPSGZnU2dYQzdYWFFqc3kxV1p6TXpNN1FCNkJNcGJlNTNsNU9Uc1FoVzJtL0I0UEhrQVpNbStFRUlJSVVRZElrRXhJWVFRNGd5U2twSVM2WEE0enRWMWZUUVI5VVRKSnZITGZEN2ZpS3lzcko4RDk4ZHN3NFlOUlNla285V1FrWkd4QmNDa01GbFZDb2paVkhsMm1CQkNDQ0dFcVBza0tDYUVFRUtjSWRMVDB5T1VVbjJKYURDQTlzejhPek8vWDF4Yy9HNU9UczZXbXU2ZkVFSUlJWVFRcDVJRXhZUVFRb2d6eE5HalJ5a3FLaW9GUUZ0bTNzYk1qK3E2UGljbko4ZGIwMzBUUWdnaGhCRGlWSk9nbUJCQ0NIR0d5TW5KS1hZNm5lT1lXZmY3L1dPenM3TnphN3BQUWdnaGhCQkMxQlFKaWdraGhCQm5rTUNHOEFOcXVoOUNDQ0dFRUVMVU5LMm1PeUNFRUVLSWt5TTFOVFhPTUl5cG5UcDFTcW5wdmdnaGhCQkNDRkhiU0ZCTUNDR0VPQTExNk5BaHdlRndmRVJFZDBaRlJiM1VxVk9uaGpYZEp5R0VFRUlJSVdvVENZb0pJWVFRcDVtMmJkdEcxNnRYNzU4QWJnUndsSmtYSHpodzRHaE45MHNJSVlRUVFvamFSSUppUWdnaHhHa21NVEh4YmdDUEE0aFJTazNWTk8zdGJkdTJTVkJNQ0NHRUVFSUlHOWxvWHdnaGhEaU5wS2FtWHFUcitvY0EvTXc4MitQeDlLM3BQZ2toaEJCQ0NGRWJ5VXd4SVlRUTRqVGhkRHJiT2h5Ty8yTm1CakJUS2ZWZ1RmZEpDQ0dFRUVLSTJrcUNZa0lJSWNUcFFRZHdEek9uRU5GQnBkU2JtWm1aMjJ1NlUwSUlJWVFRUXRSV0VoUVRRZ2doVGdPcHFhbXRpYWcvRVVVeDgxU1B4L05UVGZkSkNDR0VFRUtJMmt6MkZCTkNDQ0hxdVBUMDlBaWwxSE5FbEFSZ2pkZnJIVjdUZlJKQ0NDR0VFS0syazZDWUVFSUlVY2Q1dmQ0R21xYVpBSW9CREZ1NWN1WHZOZDBuSVlRUVFnZ2hhanNKaWdraGhCQjFYRlpXMXU0T0hUcDBpNHVMNjhyTTdwcnVqeEJDQ0NIRUtVQXBLU2tSeGNYRlpFOWtacjFEaHc1Undmc05HemI0QWZoT2VlOUVuU0JCTVNHRUVPSTBzR0hEaGlJQWkydTZIMElJSVlRUXA4SjU1NTNYUENvcTZ0bm82T2pXOW5RaTZwbVFrTkFxZU85ME9qLzJlRHpmbmZvZWlycEFnbUpDQ0NHRUVFSUlJWVNvVTRob0x6TzNBM0JqNEQ2WTFSNUFlMllHZ0FLbDFPaWE2YUdvQytUMFNTR0VFS0x1b3ZUMDlGaklsMXhDQ0NHRU9NUGs1T1FVYTVvMnU2SXlSTFNXaUxhZXFqNkp1a2VDWWtJSUlVUWQ1WFE2T3pEelhLZlQrVUpOOTBVSUlZUVE0bFR6K1h3L0VwRVhBQUl6dzJDN1ptYk84SHE5ZTJxb2U2SU9rRytXaFJEaUJIRTZuVDJKYUNnUnhhUGtmOElmdU4zdXR3RDRxMUkvT1RtNVhteHM3QkFBZHhKUkVvQU5BTWE0WEs3UFRtSzNSUjNHekpjQ3VKQ0lvZ0FNcmVuK2lEckI0WFE2QnhCUlB5SXFadVpDQUMrNjNlNlpWVzNBNlhTMkphS1hBVndISUFwQWhsTHFwY3pNekRsVnFLNmJwam1IbVM5MnU5M1J4L2dPUWdnaEJBQWdLeXRyazJFWVN3RmNWanFQaUFxWk9TTW5KNmU0QnJvbTZnaVpLU2FFRUNlQWFacVBhSnIySTRBVkxwY3JWU2sxam9qR202YjVDUUNxckg2WExsMGF4TVhGTFNDaVlVUjBMb0JZQUtrQVBqVU00Nm1UM0gxUlIrbTYvcGZBWllWTEI0UUlJTk0wUDlZMDdRMGlHdVp5dWN6QXNwSVpwbWsrVXBVR1VsTlRrelZOKzQySTdpYWloa1FVUjBTWGFabzJ5elROT3l1cmI1cm1Ld0N1UE80M0VVSUlJUUtZT2V3WHlNeDh5T2Z6L1hLcSt5UHFGZ21LQ1NIRWNVcE5UVTFpNWpjQlFDbjFJd0FVRnhjSGd4UzlUZE84bzdJMklpSWlKakh6THdEK0N1QVpadDRmekNPaUlTZWgyNktPUzBwS2ltSG15d0NBbVpmVmRIOUU3WmVXbHRZTFFHOW01bjM3OXMwRUFHYWVIZmg5ZkhwNmV1c0tHd0NnNi9vSEFMek0vQk16YncrbUV4RXg4L2lVbEpUSTh1b2FobkU3QUJuUGhEaERHSWFSWXBybWZ3ekR5REZOTThzd2pQR2RPblZxV0owMm5FN25RNlpwWmh1R1VXUVl4bGFuMHprdU9UbTVYaFdmZjdWcG1qN0RNSjQ5dGpjUWRRVVIvUWpnOStDOWJSbGxkbloyZG5hTmRFclVHUklVRTBLSTQrUndPUG9UVVNRQWFKcTJEd0J5Y25KMkliQnNrcG4vWGxGOXA5UFpGc0IwdDl2OWhNdmwrc2JsY3IycWxMb3JtTS9Nc3NSSWxGRy9mdjFPUk5TUW1YY3JwVmJYZEg5RTdhZHBXbkFzS3NqTHl5c0VBS1hVTmdBZ29paWwxS01WMVU5TFM3c0F3QVlpYXUxMnU2OHRLaXBxQjJCYU1KK0lta1ZIUjdjUFY5YzB6Zk9JNk44bjVFV0VFTFdlWVJqbkU5RXlBRzNjYm5kbnI5ZDdDeEVOaUlxS1dsRFZ3SmhoR0JNMFRYc1BRR2NpaWlTaUpFM1QvaEVYRnplL2JkdTJGWDQyU2s5UGIwMUVVd0RvSitCMVJDMVhVRkJ3Q0VDWkdXSGx6U0FUd2s2Q1lrSUljWnlZK1pyZ3RkL3ZMN1JsZVFHQWlDN28wS0ZEUW5uMVBSNVBuc3ZsK3JKVW05Yi8ySW5vOHhQWVhYR2FpSWlJT0Q5d21lUHorUTdVYUdkRXJaZWNuRnlQaUM0RVN2WllDYVl6czlkVzdKb3lGVzAwVGR0V1ZGVDBjRVpHaGhjb09mV3JzTEF3Sk9oZlZGVDBlK2w2Z1ZrZG4vdjkvb2VPNXgyRUVIVUdFZEZIQU9veDh5d0FLanM3T3hjbGU2VjJqb3lNZktteUJnekR1QnJBWXdDV01mTVNBRDVidHRtZ1FZT0h5NnZib1VPSEtLWFVkQUNOaitzdFJKMnhkdTNhUTBRMGo0ajh0bGxpaHowZWp3VEZSS1VrS0NhRUVNY2hQVDA5Z29qTTRIMUVSSVQ5UTVzSy9LN0h4OGVicUFhSHczRmQ0UExMZmZ2MkRUN09ib3JUVTZmQTd6dUtpNHNMYXJRbm90YUxpNHZyaXNDTUNXYTJ4aWxOMDVTdG1Ja0tabFc0M2U0ZHBUY3J6c25KK1oyWmcybXVWYXRXN1N0VmplTGk0ajVSU28zM2VyMmU0M29KSVVTZDRIUTZyd2JRR1FDWTJSb1RtSGxiNExKdlNrcEtmQ1hOOUZGS2RYTzVYTjNjYnZmRmdlMENySUErRVYxY1hzVjY5ZXE5QmFERk1iK0FxSk9VVW01bS9zT1dOQTJod1ZRaHdwS2dtQkJDSEovR3NQMGowdS8zaHoxcGtwbWJWcVd4OVBUMENLZlQyUXZBdTRGNlNZbUppWlh1OHlQT1NERUFRRVRGa1pHUnFyTEM0c3pHek0xc3QySEhLU0xTVWxOVEcxV24zZFRVMUpiQjVlUE0vRnJwZktmVCtTeUFuUjZQNTVQcXRDdUVxTHMwVGJ2R2RoMXVCbjFrWkdUazVSVzE0ZmY3aDJabVppNFAzcnZkN3FYTWJJMGp6RnhtVmlvQW1LYjVNSUE0QUZPT3NmdWlqanA2OUdnV2dHQlF6S3VVK3JLaThrSUVTVkJNQ0NHT2cxS3FnZjFlMHpScnpqYmI1bS9ydWw2L2l1MU5JS0xQQURRQ1NyNEoxVFJ0WWVmT25adFZVbFVJSWNyRnpQYXh5aHFiaUlqdDVZaW9TbU5Wa01QaHVDVncrWVBiN1E3NVI2aGhHRmNUMFEyRmhZWC9xRzUvaFJCMTJrWEJDL3ZNVlB3NWd4NmFwbld0cUlHc3JLeE5wZE9JYUt2dGVrN3AvTUMraHcvTFV1MHowOXExYXc4Qm1FZEVBTENObWRmWGNKZEVIZUdvNlE0SUlVUmQ1dlA1Q2lNaUlzTG1FWkUxZzR5WkQxYWxQYmZiL1dpblRwMytGUmtaT1ltSWJnKzAweXdpSXVJeEFNTlBSSi9GYVNNOThIdGVUazdPNFJydGlhajE3UHVJMmZuOWZ0M2grUFBqb05mcnJkSllCWlRNYkdYbXh3R3NKYUo3N1htR1liUUJNRjRwZFczcEpaZW5xNlNrVGcwZHNWcVZaZ1VMRVk1WDgrN1p2bWJOM3BydXgvRmk1bWFCd0FTWStiaG0wSmVxYzNhZzNSd096QWNBQUNBQVNVUkJWRFV1bDJ1R1BjOHdqQ1pFOUlGUzZyYXNyS3dqaG1FY1E4OUZYZWYzKzZjNUhJN0hBV1FWRkJUVStiOUw0dFNRb0pnUVFod0hJdnFkbVJVUmFRQ2dsQ0pidGhVVVUwcUZuZVlmVG1CUG5sNm1hWDRJb0UvZ09lZWRvQzdYR1MzYWQyNFZHZUVJZTVLZEFKZ1JUd1Q0RmRxMjdlaThvcWI3VXhzVkZSVnQycmxwOWVhYTdrY3RzZE4yYlkxVG1xYlo5eER6eDhURVZQa2ZFVXFwWndIRU0vTWxIbzhuNUxBSElyb1ZRSXF1Njl0TXMreVdpa1FVWlpvbU0vUGRicmQ3YXBYZm9wWnEzc0ZvNG5Ed0dCRFNhcm92b3U2S1VOcTZObTNPZTNMejV0VTdLeTlkcTFWbFptcTFacVVHZ3ZBOUFYaVp1Uzlzczg0QTZFUTBsWm1mODNnOHAvWHNJUGxzVkxHOWg0djFKZ242T3A5ZjdTcEV0Tm0ybzdPbXUxVHJ5R2Vqc2lRb0pvUVF4eUh3YmVRYUFDa0FvR21hZlZ3TkxsSDNIemx5SktPNmJSY1VGQXlKalkyOUYwQkVWV2VhblM3YXRuVzJSUVIvQk9LT05kMlgydXB3c1lvQTBYNmxjQU1JMTlkMGYycWpxT2pJTFczYk91L015L1BrMVhSZmFvSGZiTmZXT01YTW11M2E3WEs1dktpQ3RMUzBTd0E4UWtUWHVOM3VQRnQ2cDh6TXpGVW5vc04xU1RUODdVRjBIWUdhMTNSZlJOM0ZHcldsbUtoa2hBYXg2NXp5WnFZeXN4NmNRUWFnV3A5cmxGSjNFZEZaek56ZjdYWXZ0ZWVacGpsS0tiWFU0L0Y4ZjJ3OXJodmtzMUhsSXFJaVVPRGpHTCtmYjNkRTZEZmJZcklpUUQ0YmxTVkJNU0dFT0g0ekVRaUtNWE9jTFQwNEErTzNEUnMySEFTQXpwMDdONHVJaUhnZFFCd3pENjdvRzgwMWE5YnNOVTF6TllCVXBWU1p2VE5PYTlGb0MwSkhBaldQalltQjdpajNRRHdoeXZENy9EaGFXQWpGSEkxb3RBVnd4bi93Yzd2ZGUwelR6RURKc2x0cm5DbzFVK3gvd1l2VTFOUUxIUTdIU0FCNWhZV0ZnK3hMZEEzRGFFRkVieERSMVJrWkdXc0FheFpIT29DbkFOekJ6SE9ZdVkrOUQ1cW1SUUY0SjNEclUwcjFVMHI5ZXFMZnRTWkZSMGZqL3Q1M0k2WGp1VFhkRlZHSHJOK1lpMDgrbTRLRGgwK1BsZkRNdkpPSVdnVnV3ODZnQjFEbEdmVHA2ZW1ObFZKamxGSXZlVHllZDhJVTZhZHBXcUpwbXMrRnEwOUVyNWltK1lETDVhcmJ3U1Q1YkZRbHdTMTliUUZZQWZsc1ZCRUppZ2toeEhIU05PMXRaaDRJSUlLb1pKWkF4NDRkN1NlNFRReGVSRVpHamdKd053QVFVVDBBVndZK3hOMm5sQnJyOFhqZXM5WFRBeWZHTGMvTXpQejZwTDlJTFJRYkU0T25CZzVBeW5uSk5kMFZVWWZrckY2TENXKy9pL3lEWjlRRXkwb3g4NXRFOUFrUnhhV2twTVFIQWwyTkEzbkZtcVpaNDQrdTYxTUJ0QVdBcUtpbzdRQkdBa0NIRGgyaWlHZzZnSFJtWGgxY0dtazdWK1ExQUhDNzNUa0FjdXpQVDBsSmlZK09qbjRuVU43djhYZytQbmx2V3pNaUloeTQ2SUowWEg3cHhUWGRGVkdITEZ2K0c2Wis5UTF3bWdURmlPZzNBQmNFcnNQTm9BY3pMeTlkcjd6bWxGS1RBWHpwOFhpR0JoT1RrcEppR2pSb2NGWjJkbmJ1aWVoelhTS2ZqY1N4a005RzVaT2dtQkJDSEtlTWpJeU5wbW4rQThCRVpyNEJ3QS9SMGRGL0NXUi82WEs1UHJNVnQvYlFDSjRHeDh5OWlDaFowN1IzRGNPNGtZaEdGaGNYYjR1SWlIZ093RmF2MTNzVFF2Zk9PR1BvRGgwcDV5WGpvZ3ZPcittdWlEcW12QU13em1SdXQvdFQwelJ2QUhCSGRIVDBEUUMrQkJBY3E1N015TWpZYUN0dWpWVkVaTzBQbEpDUThBRnNKOHVWcHBSeW45aGVDeUhxb0prQUhnUEN6NkJuNW1KZDF4Y0gwMHpUZkFWQXVsSnFuTWZqK2RIZWtHRVlMekR6R28vSDgxUWdpWnhPWnlJUmpTS2l6d0hrS3FVZUF4QnByMGRFZHhMUjlZSG5mVTFFWDV6d3Q2d2g4dGxJSEN2NWJCU2VCTVdFRU9JRWNMbGNieG1Hc1l1SW5qTU1JeGVBRjhBekxwZHJyTDJjMys4ZnFldDZGd0N4elB4MElLMnZydXVqaWFnckVkMEE0T0xJeU1nc3BkU1U0dUxpd1dmS3lXMUNpSk9PWFM3WFBhWnBaakx6SzRaaC9KdUlEaWlsYnZGNFBOK1ZLdnQzWm40RHdHWk4wMTRIQU1Nd25nSFF1NklINkxydU9rbDlGMExVRVM2WGE1WmhHT3VKNkp6Z0RIb0FJS0xHZ2N0UE16SXlEZ0NBMCttOEY4Q1FRUDZGNmVucFRUTXlNZ29DZWJjQUdLWnBHZ1crZkxRd014ODVjbVFJQUhnOG5qSUJMOE13T2dQV2Zwc1pMcGZyUHlmNE5ZVVFwd2tKaWdraHhBbmlkcnVuQTVoZVVabk16RXczZ0E3MnRLeXNMQmVBYTA1aTE0UVFJc2p2Y3JsZUJ2QnlSWVhjYnZka0FKTkxwWTBHTVBwWUh4eFlyaW1idkFoeCt2TXhjMjhpbWs5RTF3YjJIR3dEb0NNenIvYjVmRU5zWmUyblVNWVdGeGRIQVNoSVMwc3ppT2d6S245anFBMXIxNjQ5ZE5MZVFBaHh4dEFxTHlLRUVFSUlJWVFRUWxTTngrTlp3Y3pkQWV4ZzVvM01QQWZBaDhYRnhaZGtaMmZ2RDViVGRmMWpabDZBa3RNby81V2RuYjIvWThlT2pUUk4rNTZJNHNwcm40aGtWcW9RNG9TUW1XSkNDQ0ZFRlRBelpzNmNpVU9IU3I2WXZ1aWlpOUNtVFp0cXRWRllXSWh4NDhiaHZ2dnVRNnRXcmF6MDFhdFhZOVNvVVFBQXA5T0pmL3pqejFVaVBwOFBiNy85TnE2NDRncDA2ZExsQkx6SmlYSDQ4R0dNR1RNR0FPQndPREJzMkxBYTdwRVFvcWI0ZkQ2c1hyMjZTbVBVcWxXck1HWEtGQURBWC8vNlZ4aUdVV0g1WGJ0Mm9Ybno1aFdXQVlCeDQ4WmgrdlNTeWRwRGhnekJMYmZjVW9XZWk1UEo3WFpuNHM4bGpHRUZsbEZlWVU5YnMyYk5YZ0N0d3RlbzhyTUhBeGg4UEcySTQ3ZDkrM1lVRmhhaWZmdjJJZW5MbGkzRDRjREJFaDA2ZEVEYnRtMnIzT2JSbzBmeHpqdnY0TjU3NzBXVEprMnM5QjkrK0FFLy9QQURnSkt4NVpwci9seUVjZmp3WWJ6OTl0dTQ1NTU3MExKbHl6SnR5amh6WnBPZ21CQkNDRkVKbjgrSEVTTkdZTWFNR1ZiYTQ0OC9qajU5K2xTcmpXZWZmUmFMRmkzQ2p6LytpS2VmZmhvMzMzd3pBT0RJa1NOWXVYSWxBS0IrL1Q5WGt1VG41K09aWjU3QmI3LzlocWxUcCtLMTExNUR0MjdkUXRxZE4yOGVKa3lZY0R5dlp4a3laRWlaOXN0VFdGaG9mZmlNaUlpUW9KZ1F0ZHlLRlN1d2VQSGlzSGxYWDMwMWxpeFpVcTMyR2pSb2dEdnV1QU5LS1F3ZlBoeXpaczFDbno1OTBMOS9mK2k2WG02OW5UdDNZdWJNbVFDQUN5NjRvTUtnMkxKbHkvRGtrMC9paGh0dXdKQWhReEFkSFYxdVdhL1hpOExDUWdBbDQ2MFFvdWE5OTk1NytPOS8vNHV6eno0YnZYdjN4cTIzM2dvQUdEdDJMSEp6U3c0T3JlN25xVkdqUnVHSEgzN0E5T25UMGE5ZlAvVHUzUnNPaHdQYnQyL0hpaFVyQUFEZHUzZTN5aTlkdWhRalI0N0U3dDI3c1hqeFluejg4Y2RvME1BNlAwYkdHU0ZCTVNHRUVLSWl2Ly8rTzRZTkc0YU1qSXlROUlrVEp5STNOeGREaHc1RlZGUlVwZTM0L1g0cjRGVllXSWlSSTBjaUl5TUR3NGNQRDF0KzllclZHRHg0TUhidDJnVUFhTnEwYWRodk1ROGRPb1RObXpkWDk3WENPbkxreUFscFJ3aFIrNnhjdVJLZmZmWloyTHhXclZyaDNYZmZyVlo3N2RxMXd4MTMzSUZaczJaaDFxeFpBSUNQUHZvSWE5YXN3YWhSb3hBZkgzOWMvZDJ6Wnc4R0RSb0VyOWVMYjcvOUZ0bloyUmc3ZGl4YXRXcUZPWFBtWU42OGVRQ0E2NisvSHBkZmZ2bHhQVXNJY2VJZE9uUUljK2JNQVFCczJyUUp6SHhDMnUzYXRTc1dMbHlJZ3djUDRzMDMzOFNLRlNzd2NlTEVzR1VuVHB5SWp6NzZDQUNnYVJxdXZmWmExS3RYejhxWGNVWUFzcWVZRUVJSVVhNVpzMmJoamp2dXNBSmlaNTExRnNhT0hZdWtwQ1FBd0l3Wk0zRG5uWGRhMzB5VzU5Q2hReWd1THNhZ1FZUHcxRk5Qd2VFbytVNHFMaTRPQlFVRk9IcjBxRlhXNy9majBLRkR5TTNOdFFKaTZlbnBlUHZ0dDlHNGNXT3JyYm9nT3pzYkw3LzhzbnliS2tRdEZ4c2JpOFRFeEdyOVNraElBQUQwN05rVDk5OS92OVhXMHFWTE1XellNQ2lsVUZCUVVPYVhmZnp5ZXIxbDhvT3pNSm8wYVlMbm5udk9HaTgzYnR5SXZuMzc0c2lSSTFpL2ZqM216Sm1ET1hQbVdMTk5Lck45KzNaNHZkNFQ5U01UUWxUaTIyKy9SVkZSRVFBZ0lTRUJQWHYyckZJOW44K0g5ZXZYaDZRVkZoWWlKeWNIT1RrNWFOZXVIVWFNR0lHenpqb0xBSkNXbG9hY25CenMyYlBIS3I5NzkyN2s1T1NnWWNPR0FJRG82R2dNSGp3WVBYcjB3THAxNjVDVGs0UEN3a0laWndRQW1Ta21oQkJDbExGNjlXcU1IejgrSk5qVnRXdFhEQnMyRE92V3JjTUxMN3lBTVdQR1lPM2F0ZGk2ZFNzZWZmUlJYSGZkZGVqWHJ4L09QdnZza0xhS2lvcHd4UlZYbEg0RUFHRGF0R21ZTm0xYVNOclNwVXZMbE0vSXlNQU5OOXhnM1E4YU5BajMzSE5QbWZhNmRldUdWMTk5TlNUdHhSZGZ0TDZwZmVTUlIzRHZ2ZmVHNUQveHhCUHdlRHpsL1NpcXhPdjFJaTh2TDJSUGtMVnIxK0x4eHgvSDRjT0hzWFhyVm93Wk0rYTRaNDRJSVU2TXQ5OStHd3NXTE1EVXFWUGhjRGh3MVZWWG9YdjM3dGl4WTBlVjZrZEVST0NjYzg2eDdnY09ISWpFeEVTOCtlYWJxRisvUGdZTkdvVGMzRnpjZWVlZEZiYno4c3N2NCtXWFF3OUNiZGV1SGI3NjZpc0FKUUczcGsyYll0Q2dRU2dvS01BLy8vbFB4TVdWdS9lNjVjaVJJL2oxMTEreGN1VktaR2RuSXpzN0cvbjUrWmc5ZXpZYU4yNWNwWGNVUWh5N3dzSkNUSjc4NXdIR2Q5NTVaNFhMRW9PWUdTKysrQ0ptelpxRko1OThFbmZmZlRjQVlQUG16Ymp2dnZ2QzFubm5uWGZ3emp2dmhLUk5tVExGMnJzdzJKL1NuNCsrK09JTEpDY255emdqSkNnbWhCRGlwSEswYU5FaWNzZU9IUVUxM1pHcXlNbkp3YWVmZm1vRmtRQWdNaklTL2Z2M1IycHFLbTY5OVZiNC9YN2NldXV0K09DREQvREtLNi9neHg5L0JBRE1uajBiczJmUFJvOGVQWERMTGJmZ29vc3VzcjU1UEZWMFhVZHNiR3ladEtDSWlJZ3krWnBXZHRKNGNYRXhMcjc0NG5LZms1NmVqbi8vKzk4aGFWOSsrU1dlZWVZWkFNRDY5ZXZ4MkdPUFdadm9MbCsrSEQvOTlKTzFsNGdRdFpuVDZYUjZQSjVWQUU3YnIvc2JObXhvTGJ0T1RrNUdWRlFVWnMrZWpSRWpSbFNwZnZQbXphMnhMK2orKys5SFltSWlPblRvZ0tTa0pHellzT0dFOVBYODg4L0h4eDkvakRWcjF1REtLNjhNVzJiWHJsM1l1WE9uZGYvbW0yK0dMWGVxeDJRaHlwT1dsdFlwTXpOekxZRFRjaXIxMTE5L2pYMzc5Z0VvbVJVZjdvdThjTWFORzJmdFYvcmFhNjhoTnpjWHp6MzMzRW5yWjVDTU0yYzIrUzhtaEJEaXBPblNwVXNIaDhQeGZOT21UWDhsb2wvY2J2ZHZOZDJuY0RadDJvU1JJMGNpS3lzckpOM2hjT0QrKys5SHMyYk5zR1BIRG1pYUJyL2ZqOW16WjZOcjE2NjQrT0tMa1orZmoxOSsrY1dxTTIvZVBNeWJOdy8xNjlmSFYxOTlWZWJieHFlZmZ2cVkramhuenB4S1ozVDUvWDRVRkJTVVNRc0tMbFd5VTBxVmFZZVp3NmFIYXpQb3YvLzlMd1lNR0lCTm16YmhpU2Vlc0U3cEJFcG10a2xBVE5RVm1xWjlaNXJtYXIvZi82WFg2LzBxSnlmbmNFMzM2V1JZdlhvMUFJUTlNVEkrUGg2UmtaRmwwZzhjT0JEMjcvK0dEUnV3WjgrZWNrOWlpNCtQdDA2Zk8zRGdBUEx5OGdDVTdHWFdzR0ZEK1AxKzY3QVJ1OExDUXN5ZE94YzllL2EwWnVINi9YNHI0QTRBNzcvL2ZybjdDWlZXMFFFQVFweEttcWI5WUJoR0pvQXYvWDcvOTFsWldhZk5wcDc3OSsvSCsrKy9iOTFmZSsyMTFuTHI4akF6WG4vOWRYenh4UmRXV254OHZEV210R25USmlRUEtQa0M3OXR2djhVUFAveFE3allOY1hGeGVPQ0JCOEorMFJjOFFWekdHU0ZCTVNHRUVDY05NOGNEdUl1SWJpT2lnMDZuTTVlSVBpNHFLdm8ySnlkblYwMzNMNmhseTVabGdrVkF5YjRXNzczM1hwbjBnb0lDL090Zi82cXd6V3V2dlJZTkd6YTA5dE1Jc3A4dVdSM2gvb0ZhMnRLbFMzSHBwWmVXbXo5cDBpUk1talNwMG5hSUNJbUppU0ZwOWcrSTRUN3dIVDE2RktOR2pjSzhlZk9zUFlHSUNNODk5NXdFeEVSZDA1cVpXMnVhZGwxMGRQUjdobUhNVmtxOVgxeGN2T3pBZ1FNSGR1elljUlRBaWRreHVvWnMzNzRkK2ZuNUFJRFUxTlF5K1VPR0RBbTdxZlFERHp4Z0JiU0N0bTdkaXNjZWV3eDc5KzdGMy83Mk53d1lNS0RNVElrdVhicFkvNkQ4K2VlZnJWbWxmZnYyeFUwMzNZVDgvSHhjZGRWVklYVzhYaStHREJtQ0pVdVdZTTZjT1JneFlnUldyVnFGcDU5K09tUWZ4dUI0WTllOGVYT2NmLzc1Nk5TcEV6Nzk5Rk5yV2FqTTRCQzFCUkcxWmVhMkFHN1dkYjNZNlhSK3I1VDZ3T2Z6ZVFvS0N2THo4dkxLL3NHdUk5NTg4ODJRTDhZcVd6YnA5L3N4ZlBqd2tObW5jWEZ4bURoeElqcDE2bVMxa1p5Y0RLVVVzckt5TUh2MmJNeWNPZE42VHJObXpkQzZkV3RyMjR0TEw3M1VXczc0MWx0djRhZWZmc0pmL3ZJWFhITEpKV2pkdXJYMUhCbG5CQ0JCTVNHRUVDZlJ2bjM3Y3BvMWEwWUFvcGk1Q1JFMUFYQmhWRlRVMjRaaHpGQktUUUd3M09mei9iRnExYW9EQU1wT1FUZ0ZJaU1qTVdMRUNEeisrT1BvMGFNSHZ2bm1Hd0FsSDhJcUMyTDVmRDc4OGNjZkFFcjJIVXROVGNYaXhZc3hZTUNBc09VckM2YlZCcEdSa1pnN2QyNUkybzgvL29qbm4zOGVBTkM1YytldzlXYk9uR2xkeDhURTRKVlhYcWt3U0NkRWJjZk1Pb0NlbXFiMWpJNk8zaDRkSGIyNGVmUG12eXFsRnUvZXZYdFZYVmthWHRxcVZhdXM2M0F6eGNvN0ZUZWNTWk1tWWUvZXZRQ0F5Wk1uSXpzN0c2TkdqVHJ1UHM2Y09STkxsaXdCQUN4YXRBajMzbnN2Qmc0Y0dQSVBWYURrSDZEbm5YY2VqaHc1WW0yRzNhZFBIOXgrKyswQVNwWnhCVVZFUkJ4M3Y0UTRDU0tKNkhaZDEyL1hkWDFMWkdUa1FxZlQrWnRTYXRIQmd3ZHo2bEtBYlBueTVmaisrKytyVmVlVFR6NEorV0l5TmpZV2I3MzFWc2pZOU4xMzMySFpzbVZZdm55NUZkQUhnSHIxNnVIdXUrL0czLzcyTjB5ZVBOa0tpcG1taWFGRGgyTDA2TkdZTzNjdTFxMWJoN0ZqeDJMczJMRm8xS2dSemo3N2JGeDQ0WVZvM0xpeGpETkNnbUpDQ0NGT25oMDdkaFEwYjk3Y3VpOTFISGRQVGRONkF0Z1VHUm01MGpUTlg1VlN2eHcrZk5oVkV4dHNkT3pZRWJObXpjTE9uVHV0b05oRkYxMkVGMTk4c2NKNm16ZHZ0amF2YjlDZ0FSNTc3REU4OXRoalZuNUVSQVFtVEpnQW9HVHorZUJzQ1UzVEtwMzk1ZmY3clZPTXVuWHJadTNKVVhvei82RDQrUGlRemU0QllOdTJiZFlIeUdiTm1xRkpreVloK2JtNXVXRm55WlZtRDNoZGRORkZGWlp0M3J3NTNuampqWkNOdUlXb1M0Z0lRSmt4cXlXQU81bjVGaUxhMDZ4WnM4M05talg3WDNGeDhhZEhpc0sxVW52Wlp6TDgvdnZ2YU5HaUJTSWlJcXA4R0lhOTNBc3Z2SUNHRFJ2aTg4OC9CMUF5enUzY3VSTXhNVEhIMWNlYmJyb0pSVVZGZU8yMTErRHorYkJqeHc2c1c3Y09yVnExUW1GaG9YWFMzS09QUG9vK2ZmcGc5T2pSWVUrSXN5LzNsQmtjb2pZcFo1eHBUVVQzRXRIdG1xYnRhZGl3NFlZR0RSck04L2w4bngrcTVic2M1dWZuWTlpd1lkV3VaLzhNMHFoUkk0d2JONjdNbDIrNXVia2grNzBtSnlmajVwdHZ4bzAzM2xqdXB2aU5HemZHbURGamtKT1RnOG1USjJQQmdnVW9MaTdHM3IxN3NYZnZYbHgzM1hVeXpnZ0FFaFFUUWdoeENwWHpBZkRzd0srZVJIUW9JU0ZobjgvdlgzV2ttRS81VjIybFA4ak1uei8vdUdjNmFacUc3dDI3QXdoZGR0aTllM2VNSHorK3dyb3pac3l3UG1BMmJkclVhcWM4VHFlelRKdERodzYxQWxxOWV2VkNuejU5UXZMNzllc0hsOHRWWWJ0Ly9QRUhsaTlmRHFCa0JsaGFXaG9PSERoZzVUc2NEalJ2M2h6YnRtMERBSXdZTWFMV0JNUmlkRGdOdy9nR1FDSVJLV1pXQUppSTJIYXR1T1FQcFVMSnNqanJkMlptSWdwZXE4QzFWY1plMTFhT2lVZ0JZSHRlOEhuaHlnU3VROUxEOWEzMDg1UlNURVRLMXBaVjE5YmYwcyt6ZmdhbCttYTluNzJNVWlxay9UQmxWRG5QRGRzM1c1c013R3EvZExxOS9YTFNyZmFEZGUzdEEyQk4weFFSS2IvZmI1VzNYOXZMK1h5KzRNL0VFaHl6N0pnNUNrQVNnQ1FpdWpneU1uS29JNEl6amhSejVXdWNhNGtlUFhwZ3hvd1oyTHAxSzZaT25ZcU9IVHRhd2V5cVdyVnFGVHAxNmdTSHc0R25ubm9LN2R1M3grdXZ2NDQzM25nRFhicDBDZGxvZjlPbVRSZzllalNBa3VXV1FUTm16TURxMWF2TExETVA2dFdyRjVLU2tqQjQ4R0QwN05rVEF3WU13SUFCQS9EV1cyL2h3dzgvckZJL2c4dWVxbkx5WFcwUUdMTytBTkFzK0hlcjFOaGxIeFBzWTVaMWIvKzdqNUsvMXlIamh1M3Z1OVd1ZlJ5eWx5ODFqbGpYcGNhRWtPdFNmM2ZEalcvV2RhbXhwOHg0WkJzZnJMYkN0Ui9tWjJSZGw5ZlA0SDN3R2JhMjdHbldHRlA2ZVg2L256Vk5zOFlRdjkrdjdHTk9NQy9ZUm1Ec1VZRjBTem5qVERTQVZnQmFFVkdQaUlpSTV4TTE1VHJpUmEwZFp6Nzg4RU5yNW54bHd1MU5tSnljak5kZmZ4M05talVyay9mZ2d3OWkvZnIxNk5xMUt5Ni8vSEswYTljT1M1WXN3Wk5QUGdrQXVQcnFxL0dYdi93RjZlbnBBSUNrcENUTW5EblQrcEx6dHR0dXc5Q2hRN0Z3NFVLNDNXNXMzTGpST3RYN1RCeG5SQ2dKaWdraDZpUm03bVdhWnAzZTArVk1Sa1NsQTJQQlpVcjFBZWdNOGlQTWg4UlR6ZUZ3VlBvQlJ5bFZwWmxXcFMxZnZoelhYMzk5aFdYQzdXRlJFejcrK0dQckEyejM3dDNMTEEwZ0lqejAwRU40NFlVWEFBQmp4NDdGNU1tVGE4VVNBcjlTdXdEOVZRQXhnVDl6QklDVVVxUnBHcGhaczZjek13Vk81QXdleXhrMm5abXQ5TUEvYU1LbFV6QXptQTZnVEhyZ09teDVlNzY5UDdZK1VlRFplcGhub0hRYnBkTkw1WWVrQjM4RjNydkNkdXpwcFg5dXRwOEY3UDBMWGdlQ3hjRm5sWGx1NmZMMmR1enZZQzl2YjhmK0RHWW1YZGV0TnUxMUlpSWk3RC9uTWtxUFdjRTBadDdyOC9OTXYrTCs1ZFd0YllnSVBYdjJ4S1JKazdCNDhXS3NXN2NPRHozMFVMWGFhTktrQ1diTm1tWGQzM3p6emJqNjZxdkR6dHJZdFdzWHBrMmJWaVo5eFlvVjFuS244blRyMWcxZmZQRkZ5RDVBVmVYMys3Ri8vMzRBS0hQeWJtM2xWMm9Yc3phT2lPb0YvbnlIakJPbC81NGovTitGTW1uQmNTclladUFhOWpic3Y2Z2tPbFZtZkxLM2laSU1EWC8rdmRGS2pZbDZtUEV0Wkh3cy9WNmx4N3hnKzh3TTdjL2prdTEvdDh2VUM5ZHU2VEVoMkdiSk1LQ1ZkTmhXeGo1TzJIOG11cTViYmVxNkh2S2NZRHNBdEVCOU1IT3cyL1l4cHRyakRJQ2RYci82V1RHRm55cGVDN1JxMWNxNmJ0eTRjZGdBV1Y1ZUhrYU5HbVdkZmh0MDFWVlhZZVRJa2VWKzVrcElTTUFqanp5Q2ZmdjJZZlBtemRpOGVUTldyRmhoZmFrWEZ4ZUhwazJiV3VWWHIxNk5KVXVXV1BuTm16ZEhkSFEwWW1KaTBMMTdkOXgyMjIySWlvcXl5cDlwNDR3SUpVRXhJVVNkeE13ZkVkSG15a3VLV3VDRjRFVzREM3RFZElpWjNVUzBYQ2wxV0NtMTgxQVJyUU54eFd2MFRvSExMcnNNWThhTXFiQk1YbDRlL3ZyWHYxYTc3ZUxpWW10YS92R3duN2lVbFpXRmZ2MzZoZVJ2MnJUSnV2N21tMitzdlRPQzFxMWJWMkg3di8vK2U4aGVHZVVkcTk2elowOTg5TkZIMkx4NU05YXRXNGRYWDMzMWxCeWpYcGxpMW5hdGM3dW4ycEtvbk91SzhpajQ3ZlBSbzBldDlPTGlZdXZhNS9PRnZRWUFwUlNkZGRaWkFBQ3YxeHUybk4vdkQzc05BSW1KaVpXV1UwcUYxQ2t2THk0dXJ0TDY5bXZiUDZBUkd4dHI1WEhKQ2FWaHk1WHVpMUtLZ2t2cHd0V3BxSzNTOTVHUmtaWDJzNkpyKzVMbDh2cXM2L3BLV3htRXNSWEFaOHc4aDRqMisvMytvaU5IcVQ0aTZPSC96OTZkeDBkVm5mOEQvengzWnJLd0JCQmNDYkpGd1FTU3VSTlJRY0RsaXd0b3JZcTdyVnFxMXExMXExVmI2NzdVbnd1NDFoVkZXeFcwRlhmYmlxSldzRURtVGlaaElJSVFKYWdnU3lDQlpKS1orL3oreU13NGsweklRbUFTOG5tL1hyNjQ5NXh6enp3M0xaZWJaODZTckhGbk5XYk1HRHo5OU5Pb3JhMU5XR09zdlVwS1NqQm56aHljZnZycE1FMnpBeUpzb0txWVBYczJwa3laMHV4NmhvMXQzYm9WWjUxMUZpb3JLMk9qME9LbjhuZG1kV3I4OEpYUDE5SXpxMTNQcXVhZVV5MDlvM2IwM09uWHIxOUNlWFBQbFdUbDhjK2orRFl0UFkvaW4wWHgvVGIzZHpyNkRHcnI4eWMrS1JsTm9MVGx1UlAveklsOFFSRHJveFhQbVhJQUw5dTIvVy9ETUtwVWRmdjJrREVRb3RPU05lNE0zRzQzQUdEcTFLa0loVUo0NjYyM1luWEJZQkF6Wjg3RWl5KysyR1NueUNsVHB1RE9PKzlNT21JdTNsLy8rdGRtaytpZmYvNDVQdi84ODJhdmZmLzk5L0grKysvSHprOCsrV1RjY2NjZHNmUHU5cHloUkV5S0VWR1hKQ0t6dkY3dnA2bU9nMXJtOFhodWIrYUZieVdBcHdDOHBhb2JMTXVxUW1TaC9TRWozVWZ2eGhDYk5YLysvS1RiZUxmWDBLRkRjZlBOTnpjcC8rcXJyL0NQZi93ajF1YWNjODVKZW0weTBUWEhnSVlYdEIxTmhmenV1KzlpdXlPMTFnTVBQQkQ3akZHalJzVmVlaHR6T0J5NDl0cHJZMU1aL3ZuUGYyTC8vZmZIdEdtZDd2MWRtem5lb2FLaW9wMzYwTGIrM0NsMVBCNVAvQytwQ21DN2lHeFYxVVVpOHRldFc3Zk9YN2x5WmNKOHZ5RTUrU2xQNHJmVjhPSERZOGRmZi8xMTdIajY5T240K3V1djhlYWJiK0xXVzI5Rjc5NjljZGRkZDJIQWdBR1lNbVVLM243N2JTeGN1TEJKZjU5OTlsbnNGOC9ERHo4YzExMTNYYXh1ekpneHNTOFlQdjMwMDloQy9qZmVlQ01tVDU2TUxWdTI0T2MvLzNuU09KY3ZYNDdaczJkajl1elpHRHg0TUdiTm10WGl2V1ZsWlVGRVloc0FBR2l5dTJVWDBxWm5WbnVmVlh4RzdWNUpualBiQUd3RnNBREE0NVpsTFFDUXNJcllrSkh1Z2JzMXlEWWFPblFveG93Wmd4dHV1QUgzM1hkZnJMeWlvZ0pubm5rbTFxNWRtL1M2WWNPR0pTVEVxcXFxVUY1ZWpyeThQUHcwT0hEWDRuT21lMk5TaklpSWRqa1JDYXZxRmhINXpyYnR6d0M4NlBQNWRqeG5waE93YmJ0TlV4ZzNiZHJVYkYxVlZSWFMwdEl3YWRLa0puV1ptWm14cE5pQUFRT1N0Z0VhRnJIdDFhdFh3dHBuZFhWMXJZNnZyZjd4ajMvZ2swOCtpWjFmZU9HRk8ydy9ZY0lFVEpreUpmWnQ3Qk5QUEFFUmFiS09HVkZuSnlKYlZIV0ppUHd2SEE0WHErb0N2OTlma2VxNE9sTDhZdm54YXdRT0hUb1VjK2JNd2RxMWEvSEZGMS9nc01NT3c3Smx5MkFZQmk2Ly9ITDA3dDA3YVgveGliTEdhd282bmM3WWRmSFRvekl5TXRDN2QrK2s2d3NsNnpjVUNqWDcrWTJOR3pjT2E5ZXV4Y0NCQXpGKy9QalloaWhFbllXSWJGRFZKUUNXcUdwUktCUmFXRnBhdWk3VmNiV1gwK25FakJrem1peWRjTUFCQjZDcXFpb2hLV1lZQmhxV2RHeHE5ZXJWK05XdmZvVytmZnRpM0xoeCtQM3ZmNDgrZmZyZ3lTZWZUTGptdmZmZXc1MTMzZ2tBT09lY2MzRHR0ZGNtOVBQU1N5L2hpU2VlQUFCY2VlV1Z1T0NDQ3hJK1B4NmZNOTBiazJKRVJMUkxxZXBuQUQ1VDFTVlZWVlVMVnE1Y3VmTnpCbmNUMHpSeHlTV1hJQndPNDg5Ly9qUDY5dTJMVTA4OUZRY2ZmSENzVFYxZEhlYk9uWXY1OCtkanlaSWxtRFZyVnRMazBiUnAwNUx1V05UWTRzV0xkL2hONDhzdnY0emMzTnpZZWZ3VXpOTlBQeDFYWG5sbFF2dDc3NzBYOCtiTkF3QmNmUEhGT1BmY2N4UHFyNzMyV3ZqOS9pYWY0L1A1OFBEREQ4Zk9qenp5U0J4NzdMRXR4bi9ERFRkZzBhSkZzYlZFSG4vOGNXemN1QkhYWEhNTmQyU2lMa0ZWYncySHcrOEJxUEQ3L1J2UXNGajVIbVhObWpVSno2UDRYd0MzYmR1R3laTW5ZOG1TSmRpeVpRdWVmUEpKMGdXOHN3QUFJQUJKUkVGVUFNRFJSeC9kN0MrS2xaV1ZXTDU4ZWV4OC9QanhIUlpyL0MrcmJSbTVlL1hWVitQcXE2OEdBTng5OTkxNDY2MjNNSG55Wks3NVE1MkNiZHQvTUF6alg5dTJiZnZ1cTYrKzJvUTk1RG1UYkUwd3d6Qnc1NTEzNHF5enprTGZ2bjF4MDAwMzRkRkhIMjMyblNpNlBsZGxaU1hlZi85OTNIampqVmk0Y0NGKytPR0hoSGJ4N3k2clZxM0NPKys4azFBZkNBUVNqaHZYNzdmZmZoZzdkaXdBUG1lNk83NmRFaEhSTGhVTUJzOE9CQUliQUlSYWJOeko5T3ZYRDRjZmZqais5cmUvb2JLeUVwV1ZsWmd4WXdZT09lUVFuSDc2NlFpRlFuamhoUmV3ZnYzNjJEVXZ2UEFDSmsyYWhJRURkODhzaC9ncEw5bloyZWpidDI5Q2Zmd2FTaGtaR1UzcWt5V3FTa3BLOE52Zi9qWTJTcTVYcjE2dDNtWTlLeXNMTTJiTXdNVVhYeHk3L3RWWFg4WFNwVXZ4MUZOUEpTeHNTOVFaV1paMVY2cGoyTldlZnZwcHJGaXhJblkrWXNTSTJQSENoUXZ4K09PUEEwRENta0FmZi93eDFxeFprM1FxOTRJRkMySlR3VEl6TStGMnU1c3NwTjBlMjdadFMvakZkK0xFaWUzcVovNzgrWGp6elRjeFk4WU12UDc2NjF6M2gxTE81L1B0ZU1IU1BjekFnUVB4eUNPUElDOHZENW1abVhqMDBVZWJiYnR1M1UrRDVmcjI3WXRldlhyaDczLy9lOUpwMjFHTEZpMks3WktkekNlZmZKSXc4aDFvV0Z4LzdOaXhmTTRRazJKRVJMUnJCUUtCSDFwdTFibmw1ZVhoK09PUHg4Y2ZmNHhRS0lSbHk1YmhubnZ1U1dnemN1UkluSEhHR1pnOGVYTFNiMHAvOTd2Zm9hcXFLbW4veTVZdHd5dXZ2QUtnWWRwUi9CRC94aG9uMitMWEFrcTJqWGxMNHRja2kvcmdndzhTZHRTODZhYWJzUGZlZXllMGFlNWVBT0NRUXc3QmZmZmRoK3V2dno0MjFXSEFnQUZNaUJGMUVrT0hEbzBseFNaTm1yVFRDK04vL1BISHNlUEREeis4eWZTcGtwS1MyUHFDOFZNMVo4NmNpYmx6NXpZN2ZmS0xMNzZJTGNxZG1abUpRdzg5RkFBUzFoK0tKdU5PT2VXVTJKcUhlWGw1c2ZvTkd6YkVScDZFdzJFTUdEQ2dmVGRKUkRzbCt2Y1hTUHc3dkhYcjFvUjJaV1Zsc2VQQmd3Y0RBTkxUMDF2Y0RieXRvdThrZk00UWsySkVSRVJ4NHRjRisvSEhIL0h5eXk4akVBaWd0TFFVb1ZBSUkwZU94S1pObXhKR2gwVkZkckZLS0Z1d1lBRktTa3AyK0pueDI1YlgxTlJnelpvMXpiWjk3YldHVGNrdXZQQkNiTjY4R2Q5KysyMnNMbjVhWjNPaWZXZG1abUxWcWxVSkw1L1JOVGFtVFp1R3VYUG5JaGdNNG5lLyt4MG1UNTZNb3FJaWZQLzk5K2pkdXpmUzB0SXdaODZjMkhYSlhsUW5UcHlJKysrL0g3ZmNjZ3RVRmIvLy9lOWJqSTJJZG8vamp6OGVZOGVPeGVEQmcxRlFVSkR3SEpnMGFWSnNIY0FqampnQzlmWDF1T3FxcTJKbE45eHdBNENmZm1Hc3FhbEoyTlUyMlNpTDZ1cHFGQmNYTnlsZnMyYk5EcDkzSDMzMFVleDQ3Tml4c1dSYi9JalhSWXNXNGRSVFQ4WGd3WU5qdjBBRHdQYnQyMUZkWFkxbm4zMDJWbWFhSnFkeEUzVUMwVjFMQVdEdTNMazQ0SUFEMEs5ZlA1U1hsK1BkZDkrTjFVVTNCSG5vb1ljU3J0KytmVHNzeThMaXhZdXhhTkVpVEpvMEtXRmpuM0E0aklzdXVnZ3Vsd3VqUm8zQzZOR2prWitmbi9UTFF6NW5pUDlyRVJFUnhmbnNzODlpeHlVbEpVMFNXa2NkZFJTbVRadUdlZlBtNFpWWFhrRnBhY091NnN1WEw4Yzk5OXlENmRPbjQ1eHp6b210N2JWZ3dRSzgrdXFycmY3OGlvb0tQUFBNTXkyMk8vdnNzeE8yRisvWnMyZkNpMXB6WnMrZTNXdzgvZnYzQjlBd3F1dmtrMDlHLy83OVkrdWpyVml4SXJaN1hHT0RCZzFLV243c3NjZmk2YWVmaG1WWjdSckZSa1M3eHFCQmc1Q1RrOVBxOXZYMTlYam1tV2RRVTFNVG04SVVYYWovODg4L1J6RDQwMmFjSGJXZVdHMXRMYjc0NG92WStkRkgvN1FwY2Z3WEFJc1hMOFp4eHgzWHFqNVBQUEhFRG9tTmlIYk9RUWNkaENWTGxnQm9HQ24ybDcvOEpXbTc2UE9rc3JJU2xtWEJzaXdVRnhkaitmTGxzZEZkQUZCZVhvNFRUendSQnh4d0FBRGd6VGZmakswcEZwK1EzMmVmZlpDZm40LzgvSHhNblRvVkFQaWNJU2JGaUlpSTR2WHMyVE5wK2FCQmd6QjY5R2djZHRoaGNEcWRPT0dFRTNEQ0NTZkE3L2ZqeFJkZnhLZWZmZ3FnNFZ2RHhsTU5kd1ZWeGR0dnZ4MDduemh4SWh3T1I0dlhIWG5ra1VtVFl2dnR0eDhPT2VTUTJQazExMXlUc0ZCc2RMcEFNbzBYNzQ4M2V2Um9qQjQ5dXNXNGlLanpjcmxjbUR0M0xpb3FmdHFBODRnampnQUFlTDNlV05ubzBhTmp5ZlY0aHgxMldKT1JIdkcyYk5tQ2swOCtPYUZzNGNLRnNYVUpIUTVIUXJMdDBFTVB4VkZISFJWNzdyYkdrVWNlaVNsVHByUzZQUkh0T2hkZGRCSGVlKys5SmxNbjQwMmNPQkVUSmt3QTBMQWpaYklSNXk2WEMyUEdqTUV4eHh5VDhQNW1taVl1dSt3eS9QZS8vOFhTcFV0ajB4L1hyMStQano3NkNHVmxaVGovL1BQeHlTZWY4RGxEVElvUkVSSEZ1K0NDQy9EQkJ4OGdHQXppeUNPUHhKZ3hZMkNhWnNKUS8zajUrZmw0K09HSFVWNWVqaGRmZkJGZmYvMTE3TnRIb0dGbm9pdXV1S0xENCt6Um93ZG16WnFGSjU1NEFuUG56c1VaWjV6UnF1czhIZzk2OWVxRnVybzZwS1dsb1ZldlhoZzllalN1dlBMS2hFWDVHKytjZE5CQkI2RkhqeDZvcmEyTlhYZmdnUWRpNnRTcC9GYVVxSXN6RENNMkRUcCtIWjE0eHgxM0hPYlBuNCsrZmZ2R2R1WUZnQnR2dkJFVEowN0U3Tm16bTEyYnpPRnc3SEEzdHJxNnVpWmw0OGVQeHlPUFBJS1BQdm9JMWRYVjZOT25UMEw5UXc4OWhQbno1MlBGaWhYWXRtMWJzMzFuWm1iaWtFTU93Y1NKRTV1OU55TGF2UVlNR0lEWFgzOGRMNy84TWxhc1dJSE5temREVmRHelowL3NzODgrT09hWVkzRHNzY2ZHbG5Vd1RSTVRKa3pBNTU5L2pxeXNMSXdmUHg0VEowN0V1SEhqa242Wk9YejRjQXdmUGh5WFhISUpLaXNyc1hEaFFpeFlzQUFMRml4QVpXVWxUanZ0TkFCOHpsQUQvaTlHUkYyS2FacURSYVJjVlkrMkxLdjFYOTFRbHpKa3BQdG9pTDZhMWJ2M2ZrOC9OaDFISEhab3l4ZDFvT3JxNnRqVW9MYXliVHYyRXJlN3JGMjdkcmZ0ZHRrVmZMbG9DWDUzL1UzNGNlUEdTaWhPSzEvdW01L3FtR2pQTmlRbi93aTQ1TTJzM3IzM2UvVEJ2K0NvQ1VlbU9pVHFRdmpNb3RaSTlidFJxbFZVVkdEOSt2VW9LQ2hvMWNqNFpGUVZaV1ZsT09DQUE1Q1ZsZFhCRVhadWZNNDBqeVBGaUlpSUdtbHZRZ3pBYmsrSUFVMTNwQ1FpSWlMYWsyUm5aeU03TzN1bitoQVJqQnc1c29NaW9qM0Y3bjl6SnlJaUlpSWlJaUlpU2pHT0ZDTWlvazRySEFvanNLd3MxV0ZRRnhOWVZvYjYrdnBVaDBGRVJOVGgrRzVFN2NGM28rWXhLVVpFUkoxV1RXMHRIdnZyTTNDNVhLa09oYnFRK3ZwNmJLMnFTblVZMUEyRlFpRVVXY1VJQnBzdUhFL1VuTElWSzVOdU5rQ1VETitOcUQzNGJ0UThKc1dJaUtqVHFWUDcrelNSNzIzVmpNb2RiTmROdEVPcTYrcFV2MDkxR05SOTFOVFU0cW5uWGtqSjJvTFVkYWx0b3o0VVNuVVkxTW54M1lnNkJOK05tbUJTaklpSU9wM3Z5dndyRHN6Sis0WGhkTzJUNmxpbzZ3cUxidmh1dVg5RnF1T2dQVjg5VUpHbUtGTG9jRTVQb2ZZU3dkcWEybUI1cXVPZ3pvbnZScTJUSm5ZdUlCdnJWTmFsT3BiT2lPOUdUVW1xQXlBaWFndlROQWVMU0xtcUhtMVoxcWVwam9lSWlBaUFEQjE2eUlIcVRPK1g2a0NvNjFMRDN2Sk5tYjhjZ0tZNkZxS3V5alROMVFCbVdwWjFWNnBqb2E2Qkk4V0lpSWlJaUhhT3JsNjk3QnNBMzZRNkVDS2k3a3hFaGdEWUs5VnhVTmZCQlErSWlJaUlpSWlJaUtqYllWS01pSWlJaUlpSWlJaTZIU2JGaUlpSWlJaUlpSWlvMjJGU2pJaUlpSWlJaUlpSXVoMG14WWlJaUlpSWlJaUlxTnRoVW95SWlJaUlpSWlJaUxvZEpzV0lpSWlJaUlpSWlLamJZVktNaUlpSWlJaUlpSWk2SFNiRmlJaUlpSWlJaUlpbzIyRlNqSWlJaUlpSWlJaUl1aDBteFlpSWlJaUlpSWlJcU50aFVveUlpSWlJaUlpSWlMb2RKc1dJaUlpSWlJaUlpS2piWVZLTWlJaUlpSWlJaUlpNkhTYkZpSWlJaUlpSWlJaW8yMkZTaklpSWlJaUlpSWlJdWgwbXhZaUlpSWlJaUlpSXFOdGhVb3lJaUlpSWlJaUlpTG9kSnNXSWlJaUlpSWlJaUtqYllWS01pSWlJaUlpSWlJaTZIU2JGaUlpSWlJaUlpSWlvMjJGU2pJaUlpSWlJaUlpSXVoMG14WWlJaUlpSWlJaUlxTnRoVW95SWlJaUlpSWlJaUxvZEpzV0lpSWlJaUlpSWlLamJZVktNaUlpSWlJaUlpSWk2SFNiRmlJaUlpSWlJaUlpbzIyRlNqSWlJaUlpSWlJaUl1aDBteFlpSWlJaUlpSWlJcU50aFVveUlpSWlJaUlpSWlMb2RKc1dJaUlpSWlJaUlpS2piWVZLTWlJaUlpSWlJaUlpNkhTYkZpSWlJaUlpSWlJaW8yMkZTaklpSWlJaUlpSWlJdWgwbXhZaUlpSWlJaUlpSXFOdGhVb3lJaUlpSWlJaUlpTG9kSnNXSWlJaUlpSWlJaUtqYllWS01pSWlJaUlpSWlJaTZIU2JGaUlpSWlJaUlpSWlvMjJGU2pJaUlpSWlJaUlpSXVoMG14WWlJaUlpSWlJaUlxTnRoVW95SWlJaUlpSWlJaUxvZEpzV0lpSWlJaUlpSWlLamJZVktNaUlpSWlJaUlpSWk2SFNiRmlJaUlpSWlJaUlpbzIyRlNqSWlJaUlpSWlJaUl1aDBteFlpSWlJaUlpSWlJcU50aFVveUlpSWlJaUlpSWlMb2RKc1dJaUlpSWlJaUlpS2piWVZLTWlJaUlpSWlJaUlpNkhTYkZpSWlJaUlpSWlJaW8yMkZTaklpSWlJaUlpSWlJdWgwbXhZaUlpSWlJaUlpSXFOdGhVb3lJaUlpSWlJaUlpTG9kSnNXSWlJaUlpSWlJaUtqYllWS01pSWlJaUlpSWlJaTZIU2JGaUlpSWlJaUlpSWlvMjNHbU9nQWlJaUlpSWlJaW9zN003WFlQRVpGN0Fad0FJQjFBa1czYjl4UVhGLzk3Vi9SUldGaTR2NnJlRW1uN0xZQStxbHF0cXROOVB0L2NEcmtwNGtneElpSWlJaUlpSXFMbTVPZm5qekFNWTRtSW5Dc2llNGxJVHhHWmFCakdoeDZQNSt5TzdxT3dzSEM0YmRzV2dDc0EzT1AxZW8vZHRtM2IwUUFPTkF6alRkTTA3OTBGdDlrdE1TbEdSRVJFUkVSRVJOUU1oOFB4UElCNlZmMlBxcTZObG91SXFPb2p1Ym01YVIzWmg2ck9FSkY5QVdEcjFxMnZBRUJaV1ZtVmlNeUtOTG5STk0yOU8rajJ1alVteFlpSWlJaUlpSWlJa2lnb0tEZ013RW9ST2RDeXJPT0R3ZUF3QUhPaTlTS3liMFpHeHZBTzdtTnM5S0IzNzk2eGN0dTJLeUx0alhBNHZPOU8zeHd4S1VaRVJFUkVSRVJFbEl4aEdCWEJZUERTb3FLaWVnQUlCQUoxdGJXMVY4ZTNDUWFENnpxeUQxVmRIejBXa2R2ait0azNVdjlkS0JUNmFtZnVpeG93S1VaRVJFUkVSRVJFbElSbFdkOEZBb0c2K0xKQUlMQk9WYU5sM3FWTGwyN3E0RDVteFIyZjZmRjRuaTRzTEhTcDZqRUF0Z0E0dDNGLzFENU1paEVSRVJFUkVSRVJ0VkorZnY1QUVVa0RBRlY5c0tQN3NDenJRVlY5SmE3b1V0dTJmU0xpVnRVQ3k3SSthM2Z3bElCSk1TSWlJaUlpSWlLaVZuSTZuYWRHRHQrMUxPdlZYZEJIMkxLc1g2anFVd0MyQW9DSTVBTG9MeUovS3l3czdOT3V3S2tKSnNXSWlJaUlpSWlJaUZxaHNMRFFCZUFxQUdVaThvdGQxSWRobXVZZEFINVpYMTl2cXVyTmNYWGpiZHQrSmNrMTFBNU1paEVSRVJFUkVSRVJ0WUp0MnplcGFpL2J0azhzS2lyYXNpdjZNRTF6dW9qOEdZQy9wS1JrbFdWWmZ3RndSN1JlUkthNDNlNHg3YjhMaW1KU2pJaUlpSWlJaUlpb0JRVUZCZU1CL0VaRWp2UDVmT1Z4NVhrZDFZZmI3ZTRySWxjQ2dJaXNpdFo3dmQ2N0FjVE9EY1B3N05UTkVBREFtZW9BaUlpSWlJaUlpSWc2TTlNMER4Q1JHU0l5cWFpb2FEblFNQTFTVlFzQlhBZmdMQURJejg4LzNPbDAzZ21ndkxhMjl2cEFJRkRkbGo1czI4NDJETU1SdVdSN1hBZ2hBQjhBdUJJQWJOdXUzY1czM0Mwd0tVWkVSRVJFUkVSRTFJeWNuSngwRWZrSGdFSlZYZWJ4TkF6U1V0Vm9rOWp1a1E2SDR6VUFRd0FnUFQxOUxZQTcyOUtIeStWYVpkdDJ0WWowQXBBVEg0ZXFxb2dBd1BhNnVycC83WUpiN1hZNGZaS0lpSWlJaUlpSXFCbFpXVm5QQXppaXVYcmJ0cTI0MDc3UkF4SHAxOVkraW9xS3RnTzRJVkk4MFRUTlF3RWdQejkvSHhFNUEwQllWUzhQQkFJL3RPZGVLQkdUWWtSRVJFUkVSRVJFU1ppbWVTT0E4M2ZVeHVGd2VPTk9yMWJWemFycUU1SHA3ZW5Ec3F5blZIV0txbjRNNEYzVE5EOXhPcDJmcXVvWG9WRG9TTXV5WG1yL0hSRVJVWmRsbXVaZ2o4ZWpwbWtlbGVwWWlJaUlpSWlvOC9CNFBPcnhlS2FuT2c3cU9qaFNqSWlJaUxxdGdvSUNNemMzZDc5VXg3R3JtYVo1UUc1dWJxOGtWYkxiZ3lFaUlpTHFKTGpRUGhFUkVYVkxPVGs1NllaaGZKbVJrWkhtOFhpMmg4UGh3NHFMaTVlMjhuS254K1A1RnNBK3F2cWVaVmsvYjZaTlBRQ282bTBpOGo4QXY2eXRyWjBXQ0FUcWtuWHE4WGhtb0dIYVJiRmxXZTVHZFV2UXNEanYwNVpsWGRiTTlVZW82aW1xV3VGd09ONHNLaXI2UHJLcjFkY1pHUmtaSG8rbnlPdjFIaG9YMzR1cUdxeXFxcnBpNWNxVndWYmVPeEVSRWRFZWdVa3hJaUlpNnBaNjllbzFWa1RTSXFlcjJwQVFnMm1hcHdMWVAzTHE4bmc4dDBmclZIVzVaVm12QVlodEp4WFpRZW9GQVB1bnA2YzdBSnpuZHJ0ekRNUDRvRkhYQXlKL0h1THhlRmJHVjZocXRvaEFSTTcxZUR5VDR1dHMyNTdzOC9sV3FPcXZSZVJpRVVFd0dId25VbGNnSWhtUnBrVng5L0I3QU9lTENMS3lzdkx5OC9OUDhmdjk2MXY3TXlBaUlpTHE2cGdVSXlJaW9qMmV4K041VTFXUGExUWMveDQwMGpUTjZtVFhpc2c2cjljN1BLN0lBZUNPdVBySkFDYkgxYjhGNERYRVRVMVUxVTIyYlovcWNEZytCWEN5YVpxRjRYQzQxakNNK0g3alB6TU53UEJHWmRIRHJNaC9NYlp0cDBjT28zR1VsWmFXcm9sY055R3UzWUxvY1RBWWZEZ2pJK013QUtjQk9OemhjRHdJNElKazhSQVJFUkh0aVpnVUl5SWlvdTRnVTBSNjdxRGVLU0pKMzR0VU5lRTYwelQvS0NLNWticm5BR3lNVkYwWkdSRzJEUUN5czdOZDBXdEVwTGE0dUhpUngrTTVMUndPbC9uOS90VzV1YmxwTHBmcmtFYWY5V3NBUDFQVjFZWmhYTnVvN2tFQU9RQStGSkduNHV0Q29kQ3Fnb0tDUEJFWkdHbTd5ZTEyWHh5cFBqc3VqdUZ4NVZEVmY0dklFYXFhSlNKZXQ5dDlzV0VZdFY2djkyODcrRmtSRVJFUjdSR1lGQ01pSXFMdVpvYXFobHRxSkNJWEFlZ2ZYMmFhNWlRUnVUVnkrcWFJTEFVZ29WQm9ydFBwdkRGU1ByVHhxRE5WdmQ4MHpidFZGUTZIQXg2UDUwMnYxL3RMQU1zai9WNG1JaWRIbXE4VWtXZ1NyTEdWQUhMQzRmQXZmRDdmTGZFVkJRVUYvZUppSHlzaVk1UGMwNS9qUnB6Rmx3UEFkTU13Z0lZa0g1TmlSRVJFdE1kalVveUlpSWk2bFUyYk50MWNYbDVlMjFJNzB6UlBGSkZZVWl3bkp5Y2R3QndBVGxYZEpDTFBBSGdIZ05QcGRONEdBS3FxYUJqSmxaQ1Fpa3lIaks1ZkJsWE5iRlEvQ3NCSnJiMkh1RFhDWWd6RENLdnF0a2JGcnVpNmFhb2FCQkJxUmZkSnA1RVNFUkVSN1dtWUZDTWlJcUxkSWpjM3Q1ZlQ2UndvSXRVQUVBcUZhcFl1WGJvWmNRdlM3dzU5Ky9hOXl1UHh0Q1k1bERCS2JPWEtsVUdQeHpNWHdDOUU1QW9SV2FLcXZ3THdBSUQ5SXMwK01neGpqcXB1VXRYalJlUm4wZXRWOVdrUktRVUFFVmtKQVBuNStUMURvWkNJeUhUYnRsK010clZ0Tyt4ME9tc0FJQndPSHlzaU40dElkcVNmVDIzYi9tTmhZZUVBMjdhUHN5enJWUUN3TEdzaGdGN3hNWnVtK1I2QUtaRit4dm45Zm04YmZsUkVSRVJFZXpRbXhZaUlpR2kzTUF5am44UGhlQzE2bnBhV1ZtZWFaZzBha21JMXFyb2FRQjBBaU1ocVZkMFNPZDRNNEJ2YnRnY0JxQzh1THY3WFRzYnhRSHV2cmF1cnU4M3BkQzRRa2F0VjlUSGJ0cThTa1ZmajF2KzZwNmlvYURtQTVhWnBYZ0FBcW1xTGlDRWkvYnhlNytQeC9UbWR6clZPcDdPUHFzWXZwQS9ETUlxTGlvcmNwbW0rYlJqR3orSXV1Y095ck52ZGJ2ZXB0bTIvSXlMN3VOMXV3K2Z6L2IxeHJBVUZCWG1JTEx5dnF1c2NEc2RlcG1sT2F0d3VTa1JzcjlmN2NYdC9Oa1JFUkVSZERaTmlSRVJFdEZ1NFhLNWFBQ0lpQlEyekRCTjJWRVRqdGE0YW56c2NEZ0NBeCtNQmdKQ3FGdGZXMXY1czJiSmwzN2NsamlSVERKdVRLU0pHZkVGcGFlbWFVYU5HL2N2bGN2MUdSUFoyT0J5ejQ2cG5XNWIxS1FDWXBubXVpSXlKM01lZkFkeWpxbWVhcHZtRVpWbWZ4Y1h5bFloa1JZNGRJcElUcVFwRy9zeVAvTGtCd0FCVnZkNDB6ZEVpY25xa1BCeHAweVFwWmhqR0hSTDVJWXJJdmdEKzA4TDloc0YzUXlJaUl1cEcrT0pEUkVSRXU0VmhHTnRVMVF1Z29IRmRORWtXTDdMWWZPdzR6dGUyYmM4TWhVTFBMMXUyYkYxYjQ5aThlZk9BVnE0cFZnb2dyM0Y1YVducG1zTEN3bkdxK2ptQXd5UHhyNjZwcWJrU0FEd2VUNzZxUGhGdDd2VjY3ek5OODB3UmNhdnFTNlpwanJNczZ6c0FzQ3pyTUFBb0xDd2NIdG5KTWtkVmd5SnlOUUFqc3BzbFZIVVdnSU5FNUJRQXAwZktGdG0yZlZseGNiSFZPRWEzMjMyY2lFeU5MMHVXREl3ay9hTHJtOWt0L1V5SWlJaUk5aVJNaWhFUkVkRnVVVlJVVkZOUVVPQTFET044eEMwNjN3WWhWZjFIT0J5KzIrVnlsZmw4dnZyMnhMSFhYbnVkdTlkZWU3VjRyYXIyU1ZidThYZ09zVzM3VVJHSkpzVFdBemg1K2ZMbEd3c0tDbzVSMVRkRXBKK3EydUZ3K0dJMFRBKzlBY0IvUkdRd2dIa2VqK2RuWHE5M1pVRkJ3Y0VPaCtOcTI3Wi9MU0xwa2NUVk1sVzkyK1B4N0kyZjFqWDdkdnYyN1hmMDZOSGpUUkg1djBqWlVNTXdUdk40UExWZXIzZFpOTDZjbkp3c3d6RCttaVQwUDFxVzlXamN1WGc4bmxjQm5CMjVqNGRhK3BrUUVSRVI3VW1NbHBzUUVSRVJkUWhWMVc4QVZEYXVFSkdFL3lLTm84ZTJxbGJidG4yTllSaS85UHY5cFVWRlJlMUtpRVhNQlBCeVMvOUZGN2FQNS9GNGJsRFZVaEdaRklseHBXRVlSMW1XRlRCTjh5YkRNT2FKeUY2UmUvcWQzKy8vSHdCWWx2V1Jxa1lUVlNOVmRiN2I3VDdKNFhDVUFiaENSTklCbEFFNERNQ0NTT0lyUC9JWnhhcjZVbGxaV1pWaEdKTlY5ZkhJT21WN1I2Wm1CandlVDJ6ZHNkNjllODhFTUR4eSt0L0lXbTBBOElCcG1rZEZqZzNUTkIvQlR3bXhKWVpoM0xvVFAxTWlJaUtpTG9janhZaUlpR2gzY0JZVUZFd1FrV3NCREdpdVVmdzB5c2oweVVvQUg0WkNvVHRLU2txVzc0WTRkNmkrdnY0ZkxwZnJkZ0E5VlBWbHd6QitXMVJVdENWUy9ZR0kzQWJBcGFyWFdaYjFSUHkxaG1GY3Jhb0hBamhKVmYvZzgvbmVOMDB6SUNJRFZmVU5WZjJiaVBRUWtmL1l0bDFtR0lhbzZpYmJ0cjgyRENQSE5FM1l0ZzBBc3dBc1ZkVmZBQmdINEV2THN0NEJBTk0wYjQxT20xVFY2bkE0ZklIVDZkeExWYitJSk40K01FM3oxeUp5UG9DVElxRjlHdzZIejdJc2EyY1NqVVJFUkVSZERwTmlSRVJFdEV2bDVlWHRsWmFXZHB1SW5LbXErNnVxYlJnR1ZEVitORmlDU0VKc3BhcGVVMTFkL2ZuS2xTdTNkbFE4b1ZDb2w5L3ZEN2JVempSTm40Z2tyQ2xXVWxLeUtwcFVzbTM3R2N1eXRnQkFUazVPdW9oa1JxWkJyZzBHZ3d0TjAvdy8yN1kzUmRiOGNxcnF5YXBhQWVCQ244LzNDZ0NFdytGZnF1cHFsOHQxbDRoOEV2MGN3ekJpUDRmb0JnT04yYlp0MnJhOVJVUmNrWGl2RTVFNzRwcGM0dmY3VndOWTdYYTd6eGFSTjlDd2VjQXJjVzIrRnBGai9YNy90eTMvNUlpSWlJajJMRXlLRVJFUjBTNWptdVpnRWZrYmdQRm8yTjNRTHlJTEFGd1diZE5va1gwVmthQ3F2bUpaMXE5M1VWalpicmU3eGFRWUFGZXlRdHUyU3d6RE9NbmhjSnhzbXVhdHF2cTFZUmpQQWNnTWg4UDVKU1VsSmFacGxvbkl3WVpoZkFGZ3ZHbWFGd0o0VGtRUURvYy9qdmJsOS91OUJRVUZBMjNiWGlFaW56WVhpSWdNVmRXMUFPcml5Zzd4Ky8ydkF3aEZ6cStJdStSQnk3SmVBNEFoUTRaa2lFZ2ZWZjJoOFpSUVZmV0Z3K0g5QUt4Qnc5cG5SRVJFUk4wRzF4UWpJaUtpWGVrVUFJVUFOdGkyL1ZRNEhENnBycTd1c2ZnR2NXdUoxUU5ZRUE2SHp3OEdnNWZ2cW9DY1R1ZHl3ekJXdC9TZmlCeWM3SHJETU80UkVWSFZPc013WmdGWW9Lb1pBT0J5dWFZQmdLcStIcm0zSTAzVEhHc1l4a3VSOWRSZ0dNYmRBQndBNFBGNFRuWTRITitJeUFSVlBWVkVMZ2F3UWtTQ2xtVWR2WG56NWhORlpEV0FnUURldHl6cmFNTXdqZ01RQVBCM2o4Y1RQMFh6WDVIUGZzWHI5ZDdzZHJ1UE5rM3owWDc5K3EwVmtWbkoxa2dUa2FrT2grTi9Iby9uTzQvSDg1cHBtdGNWRkJRYzB6RS9hU0lpSXFMT2pVa3hJaUlpMm1XQ3dlQUxxdnBiMjdiUHJLNnV2dDd2OTFjc1hicTBURlcvaVo4MnFhcnJiTnUrQWNCWnhjWEYvd3dFQW5YTjk1bzZicmY3T0JINU9RQ0l5RitMaW9xKzlmbDg1UUFXUnByOG9yQ3cwT1Z3T0o1UlZUdFM5cnVpb3FKNkVia3ZjdDFCSG8vblhBQUM0QllBRGhFWjR2UDVLbFUxTjVJWU85NDB6Y25sNWVXMXFqb28wdVpQSG84bko5SlhiMm40QVY1cW11WnZJNS96R1lDLzE5ZlgzMlNhNWxyRE1ENFJrZDlHRi83WGhpRjVyd1BJUmNOSXZSL2libTAvQUdlTHlFTU9oMlBxTHZyeEVSRVJFWFVxbkQ1SlJFUkVIVWtRTncwdkVBaFVBM2krVVp1d3F2NUxSQzRWa1JDQXIrdnI2ODhxTFMzMTc2WVlwd0ZvY1ZGNVZiMnY4ZWdxd3pDT2pDUzdLdXZxNnU2TXE1b05ZSlNxTGdtRlF0bCt2MysxeCtONUJVQWFnTGNCb0xhMjlvWDA5UFEvQStnRFlJaHBtcjhFY0RnQTJMWjlHd0JZbHZXT3grTXBBVEJhUk80RzhBR0E2MVhWS3lJWnFubzlnTXREb2RCbFRxZnpVQUFqUmVSaHQ5djk0ZnIxNjkrdXFLaVlBMEE5SHMvN0FDNkt4TFlGd04vRDRmQ2pmcisvTEZLMkxDY241OFZldlhxZGF4akdORlVkSHhuOXRxbXVybzY3VUJJUkVWRzN3S1FZRVJFUmRSUkhRVUhCVkJINXl1ZnorWGJVVUZWZlU5V2pWZlhWRFJzMjNGOVJVVkd6dTRMY3RHblRxK1hsNWJVdHRUTk44eVlBQ1VreHI5ZDdlMzUrL2h0T3AzUG8wcVZMTjBYTGc4SGdVNEZBNEhFQWRsemJYOFpmR3dnRTZ2THo4MDhFc05ydjkyOGJOV3JVb0xTMHRDZFZkWVRQNTNzdjBreHQyNzVMUkk0UGg4TVBBb0JsV2NXbWFkNXUyL1p5bjgvM0JnRDQvZjV0bzBlUFBzdnBkTDRoSWxmN2ZMNFY4WjhWQ29WdWREcWRybkE0L1BiR2pSdmZTZmJ6WGJseVpSREFpd0JlTkUzekFGV2RKQ0tiNHUrTGlJaUlhRS9XZExzbklxSk9MTEpvZDdtcUhtMVpWck9MVWhQUjdsZFFVSEM4dytGNFZsVTNoY1BoNi8xKy84Zk50UjB5WkVoRzM3NTlSL3A4dnFWb3hhaXRuVlZZV09qYXVIR2pBd0Jha3hEYnpSSkcxKzNHYTRtSWlQWW9IbzlIQWN6d2VyM1hwam9XNmhvNFVveUlpSWgyMnFoUm93WkZGcEEvRUVCUVZYL2NVZnRJWW1xSG84azZVbEZSVVQxMlEvS3RuWFltcWNXRUdCRVJFVkU3Y2FGOUlpSWkyaW5EaGczcjQzSzU3aGFSTVpGazJOVWxKU1VscVk2TGlJaUlpR2hIT0ZLTWlJaUlka3BXVnRZZkFaeXJxdFdxZXEzUDUvc2cxVEVSRVJFUkViV0VJOFdJaUlpbzNUd2V6NG1SWFNRTlZYMmtycTd1OVZUSFJFUkVSRVRVR2t5S0VSRVJVYnZrNStmdm82cVhBOGdDVU94d09KNEpCQUoxcVk2TGlJaUlpS2cxT0gyU2lJaUkyc1V3akZORTVEZ0FobTNiZC9wOHZtOVRIUk1SRVJFUlVXdHhwQmdSRVJHMTJiQmh3L3FJeUYwQU1sVjFwcy9uZXl2Vk1SRVJFUkVSdFFXVFlrUkVSTlJtZmZyMHVVNjE4MVdQQUFBZ0FFbEVRVlJFK3F1cUx4Z00zcEhxZUlpSWlJaUkyb3JUSjRtSWlLak5WUFZ2SXZLZGlQd1lDQVRXcGpvZUlpSWlJcUsyWWxLTWlJaUkyc3puODYwQXNDTFZjUkFSRVJFUnRSZW5UeElSRVJFUkVSRVJVYmZEcEJnUkVSRzFtdHZ0N3B2cUdJaUlpSWlJT2dLVFlrUkVSTlFxa1IwbjE3amQ3aG1GaFlXdVZNZERSRVJFUkxRem1CUWpJaUtpVnNuS3l2cWppUFFTa2FNQk1DbEdSRVJFUkYwYWsySkVSRVRVb29LQ2dvRWljaUdBTUlDM2k0cUthbE1kRXhFUkVSSFJ6bUJTaklpSWlGb2tJcE1COUZQVjd3SE1BMkNuT0NRaUlpSWlvcDNDcEJnUkVSSHRVRTVPVHBhSW5Dd2lhUUQ4UC83NDQ2SlV4MFJFUkVSRXRMT1lGQ01pSXFJZDZ0V3Ixd2dBQlFBUURvZi9XVkZSVVpQaWtJaUlpSWlJZGhxVFlrUkVSTlFTdDRnTUFZQlFLRFE3MWNFUUVSRVJFWFVFSnNXSWlJaG9oMFRrWkFCUTFabUJRS0E2MWZFUUVSRVJFWFVFSnNXSWlJaW9XUWNmZlBBQUVUa0dhRWlLcFRvZUlpSWlJcUtPd3FRWUVSRVJOYXRIang0bkErZ053R3ZidGkvVjhSQVJFUkVSZFJSbnFnTWdJaUtpemt0RWhxdHFBTUFuTHBlckx0WHhFQkVSRVJGMUZDYkZpSWlJcUZuQllQQitoOE14eCtGd1ZCVVZGZFduT2g0aUlpSWlvbzdDcEJnUkVSRTFLN0t3ZmttcTR5QWlJaUlpNm1oY1U0eUlpSWlJaUlpSWlMb2RqaFFqSWlJaUlpSWlvaTVsMUtoUncxMHUxMzlFWkdpanFtczhIczgxMFpOd09IeGRjWEh4OU4wY0huVVJUSW9SRVJGUkUyNjMreUFBandQNE1SUUszVk5hV3JvczFURVJFUkVSUlpXV2xwYWJwdWxYMWFFQUlDSUo5YW9LQUpzY0RzZThGSVJIWFFTblR4SVJFVkV5QTBYa1VNTXd6Z2ZnU25Vd1JFUkVSSTJFYmR0K3BZVTJ2dTNidDYvZExkRlFsOFNrR0JFUkVTV1RJeUo3cWVxRzZ1cnFyMUlkREJFUkVWRmoyN1p0KzBSRWFvSFl5RERFSGRzaVVySjgrZkxOS1FxUHVnQW14WWlJaUNpWlBBQlExUy9MeTh0clV4ME1FUkVSVVdNclY2NzhVVlhmYmFaNnUyM2Jpd0RZdXpNbTZscVlGQ01pSXFJbVJDUXZjc2gxT0lpSWlLZ3plN3FaOGkyaFVJanZNYlJEVElvUkVSRlJNb2NDUURnY2ZqdlZnUkFSRVJFMXA3Nit2Z1RBaXVoNTNEVEt6MHBMUzllbEpDanFNcGdVSXlJaW9nUzV1YmtIaWtnL0FEVWxKU1dyVXgwUEVSRVJVWE1xS3l1M0F2ZzRTVlZ6SThpSVlwZ1VJeUlpb2dRdWx5c2ZBRlQxS3dEYVFuTWlJaUtpbEttb3FLaFIxWVVpVWhzZEphYXFxeXpMK20rS1E2TXVnRWt4SWlJaVNtQVl4bUVBSUNJVnFZNkZpSWlJcUNVaXNoakErcmp6V1FEQ3FZdUl1Z29teFlpSWlLaXhJd0hBdHUxQXFnTWhJaUlpYWtsVlZkWFhxaHI5TW05Yk9CeitkMG9Eb2k2RFNURWlJaUpxN09ESW54dFNHZ1VSRVJGUks2eGN1VElJNENNUmdZaXN0bTE3YmFwam9xNkJTVEVpSWlKcTdGNVZ2ZGt3REc1alRrUkVSRjFDYlczdFRGV3RVOVZGdGJXMTYxdStnZ2h3cGpvQUlpSWk2bHdzeS9wcjVGQlNHZ2dSRVZFbmM4RHdVWVBTWE03aHFZNkRtcXBSSU0zVzR2cVFWb2FjdmNZT0dlbE9kVWpVU0RBWVhQMzk2bVhmcERxT2VFeUtFUkVSVVhPNDh5UVJFVkhFd0p6OGJKZFRYb0xveUZUSFFzbHRxOWMwVzJVSVJNOUxkU3pVVkhwRzJyZERocmpQTGkvM2xhYzZsaWdteFlpSWlJaUlpSWhhNEFLeUlSZ3BrUDB5TXpQaGREcFNIUkpSbHhBT2hWRlRXd3RiTlFNWkdBS0FTVEVpSWlJaUlpS2lycVpIWmlhdXV2eFN1UE5IcFRvVW9pNGhzS3dNai8zMUdWUnUzWnJxVUpwZ1VveUlpSWhpM0c3MzNZWmgvRWxWNTlmVTFKeXhmUG55amFtT2lZaUlxRE54T0IwNFpNUkJPT0t3UTFNZENsR1g0WEs1VWgxQ1V0eDlrb2lJaUdKRVpML0luOEd0VzdmV3BEb2VJaUlpSXFKZGhVa3hJaUlpaWhHUi9wSERtdSsrKzI1N1NvTWhJaUlpSXRxRm1CUWpJaUtpS0ZGVlNYVVFSRVJFUkVTN0E5Y1VJeUpxUDBkQlFjRlV3ekN1Qi9DQVpWbHZKR3RrbW1hdWlOeWpxaU5FSktTcW45VFYxZDJ4ZE9uU1RZM2I1dVhsN1pXV2xuYTdpQndIb0E3QUtnQi85SHE5eTFvVGtHbWFpMFJrekE2YTFBZUR3ZjJTZlhaaFlhRXJGQXFkWmhqR3FRQUV3SkpnTVBqM1FDRHdRMnMrbTdvK3Q5dmRCMEF2QUZEVjcxTWNEclZSWVdGaEQ5dTJieFdSODFSMUh3QXJSZVFwcjlmN0JBRHQ2RDV5Y25MU2UvZnVmYTJJbkt1cWRRQ0NJdEpEVmY5V1ZWWDF4TXFWSzRNZGZwTkUxR3B1dDN1SWlOd0w0QVFBNlFDS2JOdStwN2k0K04rdDdjTTB6YU5FNURZQVI2aHFqWWpNczIzN1R6NmZiMFdTdG9jQ3VFbEUzS3E2V2tUMlZkVVZBTzYwTEt1NG8rNkxpS2dqTVNsR1JOUkd1Ym01dmRMUzBuNHRJdGVJeUJBQVVFMysrNlpwbW9lS3lNY0FWbHFXTldyMDZORkRYQzdYVitucDZjZm01ZVVkRlorY2lpVEVQZ09RSXlKRGk0cUtmalJOYzVtSWZHbWE1djlabHJWa1IzRmxaMmRuaW9oN1IyMVVkVjZ5aEpqYjdmNjVxajVxR01ZMlZiM0M1L1BOYjhXUGd2WXdkWFYxR1JrWkdla0FvS3BOL245Q25WZDJkbmFtYmR2em8wbHhFUUdBUEFDUG1hYVphMW5XRlIzWlJ5UWhOazlFamxUVldaWmwvUW9BVE5OOFhVUWV5c3JLT2hYQXNRQkNIWDJ2Uk5TeS9QejhFWVpoZkFHZ2YxenhSTU13Sm5nOG5uTzlYdS9zbHZvb0tDZzRDOENyaU13dUVwRk1BR2NhaG5HODIrMGVFNThZYzd2ZHA0ckk2Mmo0TysreExHdVoyKzEyaTBpUmlQemM3WGFmNHZQNTN1L1FtNlNkTm0vZVBBU0RRUngrK09IbzM3OS9rL29OR3piZ3NjY2VBd0FNSHo0Y0YxeHdRWnY2WDd0MkxXcHJhekY4K1BDRThpKy8vQkxWMWRVQWdKeWNIQXdaTXFURnZxcXJxN0ZpeFFxWXB0bW1HRHJDWTQ4OWhnMGJOZ0FBTHJua0VtUm5aN2ZwK3JmZWVndGJ0bXpCL3Z2dmovSGp4eU16TTdOSm0rKy8veDZMRnk4R0FBd2NPQkNGaFlVN0h6aTFDcE5pUkVSdEVQa1c5QndSR1FHZ3BYL0JSVVJlQU5CYlZUOEVZSmVVbEt6eWVEd3JBWXhLUzB1N0I4RGwwY1pwYVdsM2kwaWVxaTRzS2lxS2p0S1pCK0EzQUY0RWtBL0FidTdEOXQ1Nzd6RUFXdHJXNWZVazkzU2ZpTndFNEhQRE1FNHNLaXJpT2xKRVhjeUFBUVArRkhsK3pCT1JmUUdNaXRhSnlPVWVqK2Nwcjlmcjc2ZytldmZ1ZlpXSUhCbXBleFdSVVdTcStyaUlUQVV3d2VQeG5PTDFldi9aOFhkTFJDMXhPQnpQQTZoWDFmOEF5QldSZ1VERGk0bXFQcEtibS90bUlCQ29hKzc2a1NOSDluYzRITThDK0FyQWR3QU9CWkFWcWU1akdNYjlBRTRIR3BMa2htRThpNGJmTFpkRVI3ZjdmRDZmYVpxZkF6aktNSXkvQUdCU3JKTjU0WVVYc0d4WncyU0V0OTkrR3dNSERreW9yNjZ1eHJ2dnZnc0FHRE5tVEp1VFlzOCsreXplZWVjZERCMDZGT2VmZno1T08rMDBBTUJERHoyRVZhdFdBUUN1dXVvcS9PcFh2OXBoUC9YMTliaisrdXZoOVhweHlTV1g0T0tMTDRaaEdMSFArT2FiYjlvVVYwRkJBYzQ4ODh4V3QvL2trMDlpbjNIR0dXZTBPU2syYytaTVZGUlVRRVR3NmFlZkptMnpkT2xTM0hISEhRQ0E0NDgvdnRta1dDZ1V3czAzMzl6c1o1MXd3Z200OTk1NzJ4VGY3YmZmam9rVEo3YnBtajBKazJKRVJHMFFHYTIxQkFBOEhzOEdKSDREbThEdGRrOUM1SmZLK0ZFM3Fsb1JTYXBOeTgzTnZTRVFDRlNQR0RHaU40QnBBQ0FpOFNOMEtpSmxlUVVGQlpOYW1QSXdEc0JjVlowUkRvZVhoVUtoeWtBZ1lBT0FhWnJQaWNoNWRYVjFjK012TUUzenBraENyQ29VQ3AzaDkvdVpFQ1BxWW5KemM5TU13eGhYVjFjM3JMUzBkQjBBZUR5ZWF3Qk1qN1pSMVNNQk5Kc1VhMGNmWTZQbHRtM0hoZ0FZaGxFUjErMEJPM2RuUk5RZUJRVUZoNkZoNnZNeFhxKzNQamMzTnkwakkrTmxBR2NCZ0lqc201R1JNUnhBczBzejlPalJZeHFBRzd4ZTd6TUFVRmhZdUwrcWZneGdKQkI3SGtUYkhnUmdRT1IwTUFBSGdIRGtzNkxQQkQ0UE9wbk5temZIRW1JREJneG9raERiV1ZWVlZmajN2eHRlVzFldlh0M3NySXJXK005Ly9vTWxTeG9tVER6OTlOUHcrLzI0OTk1N2taV1ZoWVVMRjZLNHVPMnpjOXVTRk5zWlc3WnNRVVZGdzErRDRjT0hvMmZQbmp2Vlh6Z2N4c2NmZjl4cy9lR0hINDR0VzdhMHFjKzZ1bWJ6NDkwQ2sySkVSTzJrcXRWeE8vVTFZUmpHY1hISHRYRlY5UUFnSW1scGFXbEhBWGd2TXpOemdvaEVwNjAxYVFzQURvZmpPQUE3U29wOTUvVjZwNkxSYUxMYzNOdzBBS2MwbmpvNWV2VG8wU0p5VitUMEtiL2Z2MzRIZlJOUko3VjkrM1lEd0htQlFHQmR0TXpyOWM3d2VEeVhBUmdCQUNLeXJybnIyOWxIN0hsaEdNWjFJMGFNZUxtc3JLekt0dTE5RGNPQXFxcUlmTlloTjloQmhneHg5MFZhZUw5VXgwR2RWMmk3dmI2aW91a1NBMTJOWVJnVndXRHcwa0FnVUE4QWdVQ2dMamMzOStxTWpJeXpvbTJDd2VBT253bWhVT2dOdjkrL09ucGVWRlQwdldtYWQwUkdoaVk4RDJ6Yi9qSHUwdjNkYnZkdmZEN2Zrd0NncXZ1S0NGU1Z5ekowTWdzWExvd2RlendlYk4vZTlIdlJtcHFhMkxGdDIwbmJHSWFCakl5TUp1Vno1ODVGTU5pd3RHUldWaGFtVEpuU3FyaENvUkJXcjE2Tmd3NDZLRlkyWmNvVU9Cd08zSDMzM2RpK2ZUc1dMbHlJZSs2NUIvZmZmejh5TWpLU2Z2Nk9wS1dsdGFsOVN6WnYzb3dISG5nQTExMTNIUVlNR0pCUVYxcGFHanNlTldwVTQwdDNxVEZqeG1ERWlCRW9LU21KSlE0blRKaUF3WU1IbzZ5c0xEWmRzN3RqVW95SWFOYzVJbnFncXZIcjZzU1NWb1poakFId25vakUyb3BJS080NDFsWlZkN1NBUGl6TGVpbFplVVpHeHZFQStxbHF3dFJKcDlONUt5TC9EcWhxbm1tYXEwUmtrS3ArcGFxMyszeStKbE10aWFqektTOHZyd1hRWkVNTVZWMGpJaU5VTlFqZzg0N3NRMFJlVXRYTHBHSGhzZUU5ZS9iODk2aFJvMDRWa1dOVTFSYVIzN2MwWFhOM0dqSWtkejlOMS84bll1endPVXJkbTZ1WG96VDc0SUpyS3I0cVhwdnFXSGFHWlZuZk5TNExCQUxyVE5Pc0U1RTBBTjVrNjR2R2kwK0lSVVdlQjlIajJKZDBwYVdsNjB6VC9GQkVUZ1FBd3pBZU1VMHp1SDM3OWprQURsWFZwUUIrdDNOM1JSMHRmclRSZ1FjZWlBa1RKdXl3ZlZGUlVkSTJ3NFlOdyt1dko3NHkxdGJXNHFXWGZub3RQZnZzczF1VnVGSlYzSFhYWGZqd3d3OXh6VFhYNE54eno0M1ZuWERDQ1RqNDRJTnh6VFhYd09WeXhhWVFQdm5ra3kzMjI1RysrdW9yakI0OU9uWmVWVldGSzYrOEVtVmxaU2d1THNaamp6MkdZY09HeGVxLy9QTEwyUEhDaFF0eDRZVVhKdlNYbloyTmUrNjVwOVdmbjU2ZWpuLzk2MThBZ0VzdnZSVGZmUE1ORE1QQUJ4OThBQUFvTHkrUHRUM21tR053OXRsbjQ3bm5ub3NseFU0KytXUk1talFKczJmUFpsSXNna2t4SXFKZEpQcnRhT1E0M0V5YmZZQ0dxUXh4WlVuYkF0aW5uWEdjSlNMMThWTW5Dd3NMKzlpMmZVcWtYbFYxam9oc1Z0VW5SQ1JYUk9hNDNlN3pmVDdmSyszNXpNNHNlM2hlanRQaDJyMWYxWFVSd2ZwdzM3UTA3VzhZZ3JDTllVTU9kcCthNnBnNm96cXhsMzFYNWk5TGRSd3RFWkdoa1Q5bmViM2VIMXRxMzVZK3ZGN3ZseDZQNTdlcStsZ2tNWFpFV2xxYUR3M3JHdjdjNi9XKzJ3RzMwSEdjemlFaU1rR2t4YlVncVJ0VGFGK25JUWNCNk5KSnNXVHk4L01IUmhKaVVOVUgyOU9IWVJoREk5Y0h3K0h3RS9GMTRYRDRRcWZUK1JHQTBRQ2NJdkpjang0OXJoT1IwcTFidDA3aWJyU2RTMjF0Yld5a21JaGczTGh4ZU82NTV6cXMvemZlZUFPYk5qWGtYWHYyN0luenpqdXZWZGM5L1BERHNUWE1Ibnp3UWF4YXRRcC8rdE9mQURTTUlCczZkQ2htelpxRlVDaUV2bjM3ZGtpczA2Wk5RMGxKU2JQMWpSTkhzMmZQeHRTcFV3RTBKTVN1dXVvcWxKVTF2Qkw4OE1NUG1EbHpKdTYrKys1WSt5KysrQ0oydkc3ZE9xeGJsemhJTTlub3U2Z2xTNWJnb0lNT1FwOCtmUkxLbzZQUkhBNUhrN0kxYTliRXlqWnUzSWp5OG5KVVZsYkd5bjc4OFVlVWw1ZGo0OGFOelg1dWQ4T2tHQkhScnRNdjdqaTJrSUtJeEMrcTBMZHgyL2g2MjdZMXVwQ29pTFQ1WC8rY25KeDBFZmw1NDZtVHRtMlBpYjRjQTlqbTgvbG1BWUJwbWozUXNOTVVST1FCQUs5aEI0djdkelZEaHJpSGlFdmZWR2hPcW1QcGpFSXEyRkliaG9nRWJWdFBneUducFRxbXppZ044bjMyTVBjSkZhdCsybm10czhuUHp4OEZZRGlBTmZYMTlUZnRpajY4WHU4VHBtbHVVdFZuUlNRRHdINEFvS3BQZVR5ZUtaMXBwRmhVUmtZR0xqei9YT1NPUERqVm9WQW5zdUxyVlpqMXQxZXh0Ym9xMWFIc01rNm5NL29seDd1V1piM2FuajVVOWRUSWwzMS9hanlTek8vM3I4L0p5UmtmMlpYMllBQlpJcElMQUwxNzkzNEFIQ25XcVh6MjJXZW9yVzFZcmVQQUF3L0V3SUVETVg3OCtJUTIvLzN2ZjVOZWU5QkJCMkhmZldQZjVXTC8vZmRQcU4rOGVYTkNndTM0NDQ5SFZsWVdka1JWTVgzNmRMenl5ay9meGZicTFRdW5udHJ3ZjlzZmZ2Z0IwNlpOd3pubm5JUHp6ejhmRG9jREd6ZHUzS2xFM3Q1Nzc0MXAwNlloSEE3RHRsdi9xdnYxMTE5ajhlTEZHRDU4T0s2NDRncXNXUEhUcThDa1NaTncrKzIzeDg3WHJGa1RXNkRmTUl5RWFadlJuMy8wQy9SNE5UVTF1UC8rK3pGbnpoeU1HemNPano3NmFOSjJMWG4rK2VmeC9QUFBKNVE5K0dDN2N1SjdOQ2JGaUloMkVSR3BUVmF1cW82NGY5aTJSc3Bxay8xakp5S091Tk90YlkyaFY2OWVrOUd3VzFUanFaQ0Q0NDVqQzBhRVFxRi91Vnl1NkdjZmtKK2ZuK3YzKzB1eHAzRGErNm5JQUlkaFpPeXo5ejdvMGFQcGx0aEV6YW1wcWNYNkg5Y2pGTGI3T2RNd0VFQ25UWW81SEk1ckFXd1BoVUtubHBTVWJONFZmYmpkN2pQUnNCRC81ZUZ3ZUozRDRYZ2REYjhJRDFUVjkvTHk4Z3BhbXFLMXU3bGNUaHh4V0NHT21uQmt5NDJwMi9oeTBSSzg5dm8vZ1QwMEtWWllXT2hTMWFzQWxJbklMOXJUeCtqUm80ZEZ2bVI3emJLc2g1TFU5M002bmMrS1NDL2J0Z2VMeVBNaWNqb0FpTWh2UFI3UEdxL1grOEJPM2dwMWtMZmZmanQyN0hBNE1HREFBRHp5eUNPeHNzV0xGemViRkJzOGVERHV2Ly8rWnZ0KzlORkhVVlgxMDkrbGxxWk5oc05oM0hiYmJYanZ2ZmRpWlQxNzlzVGpqeitPdkx5ODJHNkw2OWF0d3lPUFBJS1BQdm9JZDl4eEIwUUVjK2JNYWZGZW16TnMyREJNbXpZTnZYdjNiaklTSzdwUWZmU0w2Y2FlZSs0NXJGKy9IdDkrKzIyczdKUlRUc0V0dDl5U01IcnJuWGZlaVIxZmNza2x1UFRTU3dFMEpQbE9PdWtrQUVDUEhqMmE5RjlmWHgrYjNycGd3UUk4Kyt5enNXdXA0ekVwUmtTMGk2anE5eUl5S0hJYW4vR0tUM1N0aTJzYnZTN1dOajRwcHFvN1hCUTNHUkU1RzBCOTQxMG40OWNxaXhzeGhwS1NrczJtYVc0U2tiMEF3T2wwdG12S1ptZVhtWkdKeXk3NUZRNDEzYWtPaGJvUWYrbFMvTC9wajJKelpkdDJkZHJkVE5PY0NPQVh0bTJmNXZmN3ZidWlEOU0wcHdLWUxTTDIrdlhyMzZpb3FLZ3hUWE9xaUh3SXdDRWkyZW5wNmI4R3dGK0NpVkxNdHUyYkFQUlMxZkUrbjY4OUR6QnhPcDFQQS9pc3FxcnFvaVQxRHBmTDlSRUFqNnJlNS9QNUtnR2NIVmxuN1A4QVFGVnZ6czNOZlNRUUNIVHZiZTQ2Z1I5KytBSC8rOS8vZHRobTl1elpBQnBHaFVWSFFnMFpNZ1RsNWVYNDVKTlBzRzdkdW9UUllsR0xGaTFLU0xpMXhxeFpzeEttRVBibzBRTlBQUEZFYk4ydVlEQ0k3T3hzK1AwTmc0K1hMbDJLODg0N0QzLzR3eC9hOURuTmVmenh4eFBPNHhOV2VYbDVTYStKN29RWjladmYvS1pKMGlvY0RpY2t4VWFPSEJrNy92SEhuMVkwT09DQXBodXpabVZsNGZiYmI4ZFZWMTBGQUhqbW1XZFFXRmlJd3NKQ0FNRGF0V3RoMnpicTYyUDdjU1ZNbTR5NjlOSkxNV1hLRk15Wk15YzJDdThQZi9nRHhvMGJoL2ZmZngvUFBQTk0wdnZyYnBnVUl5TGFSVVJrQ1lERElzZnh6OXZZMTA2cXVpaHl1Q1R1T21kY3ZSRk5sb2xJdEcyclpHZG5ad0w0V2VPcGs1Rit2NDFMd3ZVdUxDeDBGUlVWUmY5bDNRSmdyMGpkSHJuZ2dPRXdNSGhRTm5JUEdaSHFVS2dMMlZwVkJhZWpjNzg2RlJZV0RyQnRlNVp0Mjc4c0xpNStQMXJ1ZHJ1SDJMYjlvOS92MzlZUmZZakl6UUJFVlgrb3FLaW9BUURMc2o0eVRmUHZJbklCQUtpcVp4ZmNJaEcxUVVGQndYZ0F2eEdSNHl6TEtvOHJ6eXN1TGw3YW1qNU0wN3dSUUkvYTJ0b1Q0dGNHaS9iaDhYZ21BL0FBZ0txdWlsU0hST1F5QU12UmtDanY1M1E2aHdMbzlPc3hkZ2FoVUFqejUzZjhocDFISEhFRVhuNzU1UjFPRjF5eFlrWHNzeWRNbUJCTGl1Mjk5OTdvMDZjUGlvdUw4ZFJUVCtHMjIyNUx1SzZ5c2hKLy92T2YyeHhUZkVLc2YvLytlUGpoaHhOMmFlelpzeWZ1dXVzdVRKbzBDWGZlZVNjcUt5c3hmUGh3VEpreUJaTW1UUUlBZlBqaGgvakxYLzRDb0dFSzR5MjMzTkxpNXpZM0N1ekREeitNSFk4ZE8zYUhmYVNscGVIMjIyL0hDU2VjMEtSdTNyeDVXTC8rcDQzZGx5MWJob2tUSndKQXdwVEwrR1JadkxGangrS01NODdBRzIrOEFWWEZMYmZjZ3Rtelp5TXJLd3ZublhjZXFxdXJZMjF0MjQ1Tk5YMzY2YWRqNVgzNzlzV2dRWU1TUnNMMTc5OGZnd1lONnJBMTJmWUVuZnZOam9pb2Evc0F3QlVBb0tvOTQ4b2RrYkk2aDhQeFh3Q29yNitmbDU2ZVhvK0dSYXBqYlJ0Tm41d1hQWEM3M1JjWmhuRUJnQSs5WHUvL1MvYmhlKys5OTBraTByUHhycE1Bc0huejVpLzIybXV2S2dDOVJjU29yNjhmaHA5ZVZLTzdYMjdkdkhrelgxNkp1ZzZIYmRzdkEvaDljWEh4UHlKbGh0dnRQbEJFWHZUNy9aTUFZTlNvVWZ1NlhLN3BBSHFxNnU5OXZvUzEwVnJWQnhCYnNMN3hDc0h2QUxnQWFINEtPUkh0SHFacEhpQWlNMFJrVWxGUjBYSWdOcFd5RU1CMUFNNENnUHo4L01PZFR1ZWRBTXByYTJ1dkR3UUMxWEY5VEJLUjQydHJhMCtJbG1kbloyZnVzODgrNTZqcVFBQkxnWVFOTEdMUEJLL1h1OUkwemVVaWtnY0FEb2VEejRSV3FxbXB3WTAzM3RqaC9jNmVQVHRoMThsa1pzeVlBVlZGWm1ZbWpqNzZhTXljT1ROVzk3T2YvUXpGeGNWNCsrMjNNWFhxMUlUazFjeVpNN0ZodzRaV3hSRU9OOTFUYXNTSUVaZytmWHJTRVdnQWNOUlJSK0cxMTE3RHJiZmVpcHR2dmhucDZlbElUMDhIa0poa0tpd3NSTy9ldlZzVlJ6THZ2eC83TGlocFVpdzZZZzRBTHJyb29xUUpzWEE0aktlZWVpcWhiUEhpeGYrZnZUc1BiNkphL3dEK1BaTjBnN1lVYUJIWkxGQUVDclNaS2JpQXFJQ2lJSzc0d3dzWFJYQkJGTUVMS0s2SUNBSUtDaWhYN3hWWkZFWGNnUXNxTG5pUksyN05wQlFRWkRGSVFaQkNnZTV0TXVmM1I1TXhhWk11VUdocHY1L242V1BtekptWk04V2t5WnR6M2hlalI0OEdBTC9FL3I2VkxFdDc4TUVIOGMwMzN5QXpNeE4vL3ZrblhuNzVaYlB3UUdXOCtPS0xXTEJnQVZ3dXM3QTlubnJxS1R6OTlOTitiZlVkZzJKRVJLZk9mQTAxREtQTTEwMTJ1LzB6VlZWM0NTRTZDQ0dhZTl1RkVMR2VoMitscHFhZUFJQnQyN1lkMHpSdE9ZQ1I4Q1NyQmdBcFphd1FBbExLWDNWZFh3OEFTVWxKYllVUWI2Qmt4bGtmVlZXLzEzVjlZNER4QlZ3NkNRQk9wN01nSmlibVZVVlJIZ0VBUlZGNnd4TVVFMEkwOWx4N3FkUHA1QnRZb25PRXBtbHpBRndMNEZwTjg1K2tKYVg4R1o2QWQyaG82Q3dBUXdGQUNCRUZvRzlWendFZ0RVQmZJVVRyeE1URVVKOGxVYjZGUkQ2cW5qc2pvcXJ5Rk5yNUVFQ0tsUElYNy9OWlN2TXBhbWJidGxnczc4SVQyQW9MQ3pzQVlCcGc1aEY3RjBEVDhQRHc3QUN2Q1lNOEQ5TzhiVUlJdjBJMlBzV0RkRjNYOTFYUDNkSHBhTm15cGQ4TUpsOWZmUEVGdnYvK2V3REFOZGRjZzRZTkcvcnRIekJnQU9iTm00ZWNuQnc4L2ZUVFdMNThPU0lpU3ZLenRtN2QydXdYR3hzYk1FRG1kRG94YTlZc00vbThWNzkrL1RCdDJyUUs4NC9GeGNYaDFWZGZMZFB1WFZvSkFIYTdIUWNPbEY5QTlxcXJyZ29Zak5xd1lRUDI3TmtEb0dSR1ZhRGxrM2ZkZFJlbVRwMEt0OXVONWN1WDQ3cnJya09yVnEzOCtodzVjc1F2M3hnQXBLV2xJU3NyQzlIUjBkaTRzZVJ0ZTJSa1pMbEJzY2pJU0V5Y09CR1BQZllZK3ZmdmJ5Nm52UC8rKzFGWVdJamx5NWZqNk5HakVFSmczTGlTV2hhK09jMWNMbGVaNEZkUkVWY3dsOGFnR0JIUnFiRjY4MjRCZ01WaUNaUjd5eVdsL0xzUTRoc2hSSC9QdDdNWEFPZ2twZnpGNVhJOTdOdTV1TGg0b3RWcTdTV0VTT3JhdFd2cnNMQ3dRNFpoWENPbHpKRlNEb2VuQ3FURllva1dRdmd1d1d5TVVwS1NraG9LSWE0THRIVFNaOHpQR0laeG1SQ2lweEJpTklBbHFxcXFBR0lCcEdkbloxZDlEandSMVFpYnpYWVBnSWVDN1JkQzZENmI1cG9KMzllUEtwN2pFU25sZjRVUURjUER3eDhBOEpMbk5lNGV6LzdYN1hiN21nQ25JYUt6SURvNitnMEFsd1RiYnhoR3dOY0U3eGRqS1NrcGpRekQrQStBcHNITzRYMU5zTnZ0MzZxcStxNFE0bThBUm5icjF1MWxUNDdTSzZTVVhRQWNjN2xjSTA3emx1b1ZJVVNaNU8vVndXcTFJaUVoQWZ2MzcwZEVSSVJmSHFyRGh3OWp4b3daNXZWdnYvMzJNc2VIaDRkanlKQWhXTHg0TVp4T0o2WlBuMjRlWTdPVjVHa2RQSGd3WEM0WFZxMWFaUjVYV0ZpSXhZc1hZK25TcFdXQ05BTUhEc1MwYWRNcVZWMXgzYnAxK1Bubm56RjQ4R0F6WUpXYm00dmR1M2ViZmI3NDRvc0t6OU94WThjeXdTZ3BwZC9zcnR0dXU4MHZ3T1RWdW5WckRCbzBDS3RXclVKZVhoNG1UNTZNUllzV21jRkJBR2pldkRtdXZQSktiTml3QVpkZWVpazJiOTRNd3pDd2J0MDZ0RzdkR3NlUEh3ZFFNdnZOYWkwL0pOTy9mMzgwYnR3WVBYcjA4QnNiVUpMSTN4c1V1K09PT3dDVTVFUXJuZC9NYnJlYmVkQ3V1dW9xdEd2WHptOS82ZTM2aGtFeElxSXFTRXBLYW11eFdHNFJRbHdOd1B6cko2V2NvbWxhckpUeWMxM1hOM3ZiSFE3SFQ2cXE5aFJDekpaUzdwRlN1b1FRaTR1S2loN2J0bTJiWHpXMzlQVDByRTZkT3ZXTWlJaVlIUklTc2xsS1dRaGdwMkVZTi92bS9kQjFQVTNUdElWU3loRUExanNjanJVb3hXS3gzT0FaWDVtbGsxNnBxYWw1OGZIeC9abzBhVEpSQ0RGY1ZkWFVrbHVScy9QeThtYnMzcjI3YnBiaElxcGprcE9UTDFNVTVaL2w5WkZTbXNueTNXNzNOSXZGMGcxQUF5bmxJNmR5RHJ2ZG5xcHBXZzhwNVpOQ2lJYzFUUnNpcFd3Z3BjeVNVdjdkNFhDOGM1cTNSVVNueUpNRDdPL2w5YkZZTEw0Rk5NWkxLZWNCMktjb3lrc0FZQmpHdTBLSXpzR09sMUllMW5YOW9IZGIxL1hocXFwK0o0UVlFUklTNGxCVmRhOFE0bndwNVd0dXQvdTU5UFQwak5POHJYb2xNakt5d21XT3B5b2hJUUU5ZXZUQWtpVkx6TGFDZ2dKTW5qelpyQm81WU1BQXYyV0N2b1lQSDQ2VksxY2lOemNYbjMzMkdjNDc3enlNR3pjT2JkdTJSWThlUGZEd3d3OWo1c3laWnYrTWpBejgzLy85WDlEWlcrM2F0Zk1MaUdWblo4UHBkS0pMbHk1bDhuNXQyclFKbjMvK09WYXRXb1VISG5nQW8wYU5RbnA2dXU4TXlFb0p0THp5M1hmZk5ZTnI0ZUhodVBYV1c0TWVmOTk5OStHcnI3NUNUazRPZHV6WWdjbVRKK1BGRjEvMEMzRGRjY2NkMkx0M0wrYk1tWU5CZ3dZaEt5c0w3N3p6RHBvMi9Tdk8zTDkvLzBxTjF6Y2dWcEhtelp1Ynl6UzlGaTFhWkFiRnJyNzZhak1YRzVWZ1VJeUlxQXEyYk5ueUc0QzVucDlLMFhVOURTWExrU3EwWTZIQ0M0b0FBQ0FBU1VSQlZNZU9vd0R1cnFpZjNXNGZDMkJzT2RkY0FXQkZSZWR4T3AwRlRxZHpCb0FabFJrZm5ibzllL2FZMCtVdnVlUVNkTzVjOXJOR1hsNWV3TkxjcCtPUlJ4N0I0Y01saFV2dnUrKytDcFBHMWdacjFxengrMGF6ZCsvZU5UeWkyaTB0TFcwVFN2SVJWcmEvRGlDaFZGdVZ6Z0VBZHJ2OUYxVHd3WnRPejVneFk4d2sxS05HamNJVlYxeFJMZWZOeWNuQkN5K1VGQWExV3ExVlNvNmRtWm1KbUppWUNtYzNiTml3d1V4MmZkVlZWK0daWjU0NTlRRlRsZWk2UGh2QTdDcjBmeFBBbTZYYUJsVHhzbTVkMTE4RzhISVZqNk96ckgvLy9vaU9qamFEWW9aaDRJa25uakR6WERWbzBNQmNpaGRJbzBhTk1HYk1HTXlaVTdJQ2Q5bXlaWWlOamNXd1ljTXdiOTQ4aElUNC95bHAwYUlGc3JPei9ZSmlpcUlFVGZiLzIyKy9ZZVRJa1lpSmlVSFBuajB4YWRJa2M5YmNUei85WlBielZtTHMzcjA3dnYzMjJ3cnYrLzc3N3pmdnNmUXN2RjI3ZG1IKy9Qbm05bzAzM2xqdVRMMW16WnBod29RSm1EWnRHZ0RnZi8vN0h5WlBub3laTTJjaU5MU2txSHRTVWhMbXpwMkw4UEJ3M0h6enpWaThlREVPSFRxRVE0Y09BU2lwN05tclY2OEt4MTFWTzNic3dILys4eCsvdHExYnQ1cVAxNnhaQTRmRDRiZS9UNTgrNXUrelBtSlFqSWlJNkN6WXVYT25XZmE3UVlNR2ZrR3gzTnhjTEZ1MkRDdFdyTUNpUllzUUZ4Zm5WMmE3dExpNHVLQlZrd0pkTnlPajVBdjZyS3lzQ25yN3UrKysrNExtSGFtS05tM2FZTjY4ZVpYdXYyWExGdk1OWFh4OFBJTmlWRzl0Mzc3ZHJEQjI3RmpBbGZDbnBLQ2d3SHlPaFlTRVZEb29kdWpRSWR4MTExMklpNHZEYzg4OWh4WXRXZ1R0NjNhN1VWQlFrcGFTT1d5SWFvL282R2kvN1QvKytNTnZSbGhNVEl3WnhNN1B6emZiZi8zMVZ6T25sZHZ0aHNWaU1SUG1lNWN5QnNvSnBpZ0twazJiaGlGRGhpQW1KZ2FQUHZvb0ZpeFlnTDE3OTVicEMvejFYdVg0OGVOWXQyNmRXWEJnMTY1ZDV1dGdURXlNdWZ6UmFyVldHS1FIU3Q1citkNmoxOUdqUi9ISUk0K1k3N3ZpNHVJd1pzeVlDczkzNDQwMzRzc3Z2OFIzMzMwSEFQam1tMjh3ZHV4WXpKNDlHNDBibDJRbWFOdTJMWUNTV1dQdnYvKytPUk1QQUVhUEhsMnBKYU5WWVJnR2R1M2FoUlVyZ244dnZtblRwakp0TFZxMFlGQ01pSWlJenI0VEowNWcrZkxsZm0rVVpzNmNpWUtDQXI5S1NxVjk5ZFZYUVV0cGYvdnR0N0JZTE9qWnMyZlE0L2Z1M1l0OSsvYWhUNTgrNVk1di8vNzk1amVhcHlOUVRnNGlPcmRJS1RGeDRrUnpwc093WWNNd1k4WU05T3JWQzd0Mzc4WWJiN3dCQUxqd3dnc3hjdVRJR2g0dEVWVld5NVl0MGJadFczejExVmU0L3ZycmtaV1ZGVEJ3Y3VMRUNXemViR1lJd1oxMzNvbjMzMzhmVjE1NUpaS1RreXU4eHZ6NTg5R2xTeGRFUkVSZ3dZSUZRZnQ2WjdjREpjR3J5TWhJQU1DUFAvNW90dmZxMWF2U1h3NTZlZk40ZWM4TGxBVGdSbzhlN1pjVS82bW5ucXAwOWNvWk0yWmc1TWlSWmxBeE5UVVZRNGNPeFd1dnZZYjQrTCtLc2tvcDBiaHhZNytnV0hWODZlamxuZTIzZWZObTlPL2Z2MHh3MGpmaGZtaG9hSm5mWFdXQ2luVlovYjU3SWlLaUd2VFRUei81bFRvSFNtYUQrSDZiV1JYTGxpM0R5eSsvREt2VmloZGVlQ0hnREtzLy8vd1REejc0SUE0ZE9vUXJyN3dTano3NktPTGk0azdwZWpYRk1Bek1talVMZ3dZTlFsSlNVazBQaDZoT1NrOVB4NW8xYS9ESUk0L0FhclZDQ0lHbm5ub0s0OGVQUjJabUpyS3pzekYrL0hnc1diSUVlWGw1V0w5K1BZQ1NmRUNWQ1lwNVA2QUdDL0FUMGRremZ2eDQ1T2JtNG9rbm5zQ2tTWk1xZFV5clZxMHdkZXBVZE8zYXRWTDl1M2Z2Ymo3Mm5TRjE4dVJKdjM0N2QrNDBIMTl3d1FYbTR3MGJOcGlQTDd2c3NrcGQweXNuSjhlY1pSWVNFbUxPbHROMUhiLzk5cHZaNzVaYmJnbTRwTEgwR0wyaW82T3hZTUVDakJneHdwemhackZZY041NTUvbGRlK3pZc1dXcVVUNy8vUFA0N3J2dk1HclVLQ1FuSnlNc0xBeE5tcFRVOFBJR0FnTnhPcDM0OU5OUC9WWUNBTUJubjMwR29HUjU3S09QUHVwM3pLSkZpOHlxbmM4Kyt5eHppcFhDb0JnUkVkRVo5UDc3NytPcnI3N0MwYU5IemJhVksxZGl3NFlOR0REZ3I1UXRyVnExd2dNUFBJQytmZnRpK1BEaDVnZkdmdjM2SVRRMEZKczNiL2I3bHROWFFVRUJwaytmams4Ly9SUUFVRnhjakNsVHB1Q1RUejRwMDNmQmdnWG03Szl2dnZrR1AvLzhNOGFQSDQ5YmJybWwzUHRZdEdnUk9uYnNhRzRmT0hBQWYvdmIzd0NVdk1Fc25SQlkxL1Z5YzVKVTFxKy8vdXEzTGFYRXM4OCtpOVdyVjJQTm1qV1lQbjA2K3ZYcmQ5clhJVHJiMXE5ZlgyR2VMZS95UXdDWVBYdTJtY01ua0I0OWVsUnBtYkpYY1hFeG5FNm4zNnlHblR0M1l1ellzY2pKeWNIKy9mdnh3Z3N2SURJeUVwMDZkY0t5WmNzd2Z2eDQ3TjY5RzBPSERrVzNidDN3d3c4L1ZIaU5yVnUzWXV2V3JVaFBUOGZXclZ1UmtaR0I1NTU3RHRkY2MwMlZ4MHhFMWF0bHk1WjQrZVdYb1NnS25uLytlWE5aNUw1OSt6QjgrSEFBSlRtOGZGOWpRa05EVDNtR2tYZDVJUUI4OHNrbmFOR2lCUm8zYmd5bjArbVhENnQ5Ky9ZQVNtWjBwYVdsQVNoWmpubkpKWUVMcTI3YnRnMEhEaHhBNDhhTkVSMGRqWVlOR3lJL1B4L3Z2ZmVlMmFkVnExYm00ejU5K3FCVHAwN1lzV01ITHIvOGNreWVQQm0vLy80N2RGMUhWRlFVR2pSb2dOVFVWTC8wRTZWblliVnMyUkt2di80NkhuendRZnp4eHgrWU1HR0NXWW55MEtGRG1EeDVNclp0TSt0bElUbzYyZ3l5YmRxMENaczJiVUtIRGgzUW8wY1BUSm8wQ1czYXRFRlVWQlJPbkRnQmk4V0M0dUppRkJZVzR1VEpreWdxS2tKMmRqWVdMVnBVNXQ3RHdzSVFFUkdCOWV2WCsrVVFBK0NYUTJ6anhvMDRlUEJnNmNOeHlTV1g0TUlMTHd6NGU2M3JHQlFqSXFKelVyZHUzYnFscDZmdkFCQTgrVll0c0cvZlByL0VzTjYyZmZ2MitYMVRaN1BaQWxZaGV2enh4eEVURTRNUkkwWUVESXJ0M0xrVGp6Lyt1Rjgra0ZhdFdtSHUzTGtCazhRKy9mVFRpSXVMdzF0dnZRVXBKWEp5Y2pCanhneXNYNzhlVHovOU5NNC8vL3lBOXhFV0Z1WlhCS0QwbThMU0JRTEN3c0lDbm1maHdvVll1blJwd0gwQS9NcWhBOERYWDMrTnpNeE14TWJHUWtxSm1UTm5ZdlhxMVFCSzhoUzkvUExMNk5XclY4QThKclZSWW1KaVpGaFlXTFJ2MVRhcW4xd3VsMS9RcXlMRnhjWGw1aHIwemQ5Vlh2TG1sSlFVVEo4KzNhOXQ1Y3FWZm5sNzdyLy9mak9YMlk4Ly9vZ3Z2dmdDTjk5OE00Q1N5bVp2dlBFR1B2cm9JOXgrKyswQnI1R2RuWTA5ZS9hWTJ4czJiUENiNWVGVmw1WldKeVFraElXSGg3ZmF1blhybm9wN0U5VSszaVYxdm4rL3ZjRWQ3LzdxS2diVW9VTUhzNkRPeVpNbk1XdldySUQ5dkRQQ05tellZQ2JtNzlLbFM1bThhRjYvL2ZZYm5uNzY2WEt2ZmZubGw1dVBoUkFZTVdJRVZxMWFoZG16WjhOcXRhS3dzTkJNb0YrYXhXSUorRDZwYmR1MldMWnNHVjUvL1hYemk3b3Z2L3dTMDZkUDkxc3lPV3pZTUl3Wk13YXpaczNDMnJWL0ZZL2Z0V3RYdVdrenZBWVBIbXptZFFOS1hvK3Z1T0lLOU9yVkM5MjdkOGVjT1hQdy92dEJDODhEZ045MWZUVm8wS0RlQnNXcXRoQ1hpSWlvbHJCYXJXczBUVnVUbkp4OGUySmlZdkI1NWpWTVVSUW9pdUszVkVBSVVhYXRxcVNVV0w1OE9lNjQ0dzYvZ05pbGwxNkt0OTU2Q3drSkNRR1BDd2tKd2ZqeDQvSDY2Ni83dmJINzZhZWZNR1RJa0tBVm5Bb0xDNUdYbDJmK2xQNHc3N3N2THk4UGhZV0ZBYy9qZHJ0aEdFYlFuOUpsMVYwdUZ6NzQ0QU80WEM1TW1USUZIMzc0b2JtdmJkdTJlUDMxMTgrRmdKakZaclBaVkZXZEZoWVc5ajBxVVdHVzZGUkpLY3Q5am5sbmdQaGFzMllOY25KeWtKNmVqbnZ1dWNjdkFEOXg0a1F6SUFZQTY5YXRnOFZpd1IxMzNHRytocDA0Y2NMYy8vUFBQNk5Qbno3NDk3Ly9YZUZZNjBKUUxEazUrY0xrNU9SL1JFVkZiUXdORFdVbFo2Skt1UFBPTzRNR3Ryd3V2L3h5TXcyRU41azlBRng4OGNWQmorblVxVk81NTJ6WnNpWHV2UE5PdjdaKy9mcGg3dHk1WnRYSWhJU0VvTXNYYjdqaGhxRDdtalp0YWk1YkxDNHV4dEtsUzhzRXhDWk9uSWdHRFJwZzJyUnBXTHAwYVpWem8xMXp6VFdJam83R3hJa1RzWHo1Y3F4ZHV4YVBQUElJZXZYcUZmVExTS29ZWjRvUkVkRTVTUWh4Z1pUeUFrVlJyZ2tQRDNmYmJMYi9HSWJ4Um5GeDhjL1oyZG5ITXpJeUNnRElDazkwaGsyWU1BRVRKa3pBdW5YcnpBcHZEei84TUc2NzdUWjgrZVdYcDN6ZS9QeDhmUFRSUjJiaVZBQzQ2NjY3Y045OTkxWHFEWmFxcWxpeFlnV21UcDJLYjc3NUJrREpVb2dPSFRvRTdILzMzY0hqT01YRnhaV3VFQmtSRVZGbUJsdHVicTU1SDRFK0pILzAwVWY0OWRkZjhkLy8vdGRzNjlTcEV4WXVYRmhiOHhGWjJyVnJGOW13WWNQekxSYkxJQ0hFdlFBNkFHWWVsY2JsSGszMVRteHNMRmF1WEZtbS9ZWWJiakJ6REU2Y09CRURCdzcwMjc5NDhXSzgvZmJiZm0xQ2lETFBNYmZiYmM3OEN2UWN5OC9QeDZ4WnM3Qmh3d1l6NEMyRXdCTlBQT0VYRUh2OTlkZk5CTkt6WnMxQ1hGd2NoZ3daNHJjOFBOQnN0c2pJU1BUbzBRTmR1M2FGdytFd2crL25ZSEpucFdQSGpnMURRMFBqRkVXNVVsR1VCd0hZdkR1bGxIazFPRGFpS2drUER6ZC96cmJZMkZpOC8vNzdlT3V0dDdCcjF5NWtaV1ZCU29tR0RSdWlXYk5tNk5PbkQvcjI3V3UrbjVreFl3Yis5Ny8vNGZQUFB3KzZkQklvK2JKcytQRGhLQ2dvUUZGUkVWd3VGeXdXQzZLaW90QzVjMmYwNmRQSGIvWWJVUEthNlB1NktJUkFjbkl5dnZ2dU8xaXRWbk5NZmZ2MnJYUVJrWkNRRUx6MDBrc1lObXdZOHZQejhkaGpqK0c2NjY3ejY5T3RXemNzV0xBQXg0OGZ4OGFORzdGdDJ6YnMzYnNYeDQ0ZFEwNU9EZ29MQzFGWVdJamk0bUpJS1JFWkdXa1dOQmcyYkZqQTZ6Nzg4TVA0eHovK1Vha3hsdVlOQ3RaSDU5eGZJaUlpb3RLa2xCWWh4STBXaStWR2k4VnlJRHc4L0wvTm1qWDcyVENNVFptWm1Wc3pNakx5S3o3THVhVkJnd2FZTTJjTy92NzN2Nk5CZ3dhWVBuMDZMcjMwMGlxZEl5b3FDblBuenNYeTVjdXhjT0ZDekp3NUU4MmJOejlESXk1eHp6MzM0SjU3N3ZGcnUvSEdHNUdSa1FHcjFZcU9IVHRpM2JwMWZ2dVBIajNxRnhEcjNiczNubnZ1dVdwYnhsRmRMcnp3d3RpSWlJaExGRVc1REVBUElVUjNLV1g1WDRVVG9lUkRXS0FBcis5czBvaUlpREo5QXMwTUNBME5MWlBqYiszYXRaZ3laUW9BQkUySzdjMUo2TDNXekprei9ZTGRUcWZUekdQamREcHg1NTEzWXNxVUtRRm52TWJIeDZOSmt5YXcyKzBBZ0o0OWUyTG16SmtBU25LamVZV0VoQVFjUzIzVHJsMjdSbEZSVVJkYkxKYWVBTHBMS1M4RjBLU214MFYwT2dMbHBTb3RQajRlcWFtcFZUNzNsQ2xUek5lY1lHSmpZeXNkd0FrTEMwUGZ2bjNSdDIvZmN2dFpMSlpURGdyNUtxODZabVhGeGNWaDd0eTVpSW1KUVpzMmJZTDJpNG1Kd1EwMzNJQWJicmdoYUIvdlROK0t2a2dJRFEydDE4R3RVOFdnR0JFUm5iTzhIOFpLTGJsckNXQ1lsSEt3RU9KSVhGemMzcmk0dUc5Y0x0ZXk3Rm9TR3R1eFl3Zm16Smx6MnJrYjJyVnJoeGt6WnFCTGx5NStsWTU4elpzM0QwVkZSUUFRTkYvWThPSERNV0RBQURSdDJqVG90ZHEzYisvMzdXcFJVWkZmRXZ6U0g3Unpjbkw4bG5VR2s1NmVibFpQU2twS3FqRFFOV3pZTVB6akgvK29jaW4yTThpcWFkcFZobUdNVkJRbENVQ3NsTElKQUtYMFV0RFRXUzVMZERwOEExN2x6YklBU25MVXpKczNyOHlzMGZqNGVQenJYLy9DcEVtVGtKV1ZoWUtDQXJ6Ly92dlFOQTNidDI4M244ZVhYbm9wWG5ubEZYejU1WmRtVU15WDcvTE4ydjdoVFZYVkt3RGNMb1M0V0VyWkRFQVRLV1daejA5Qi9oWVJVVDFYWFJXeXZhazQ2TXhnVUl5SXppbUtva2dwWmJFUTRodE4wMnA2T0ZSTEJBbzJTQ25EQUxRQzBFb0ljWGxJU01qampTeUdubHNreitxbnNPTGlZbXpidGcyYk4yODIyN3lKNHA5ODhzblRQbjlGMzVwNmx5VUFKVXNsZ3VYd0tDOGdCZ0JUcDA1RlltS2l1YjEvLzM3Y2ROTk5BRXBtZXl4YnRzeXYvODgvLzR6Um8wZFhPSDdmV1dHQlpyckZ4OGVid1RWTjB6Qng0c1FLejNsV1NIY2pWVldma2xMZUM2Q1ZvaWgrSDRnckNJQTlwR25hUTJkNmlGU1dxK0l1ZFU1bVppWisvUEZIQUNVendKS1RrLzF5Z0ZtdFZqUnYzdHdNYWozenpETkJsMUhiYkRhOCtlYWJ1UC8rK3hFVkZZWDU4K2VqWWNPRytPR0hIM0QvL2ZkWGFqeSsrUVpyWXc0YzZYWTExRFR0SDFMS2NVS0llT0N2WUplVXN0em50aERpU2szVEdCbXJCK3JqYXdsUlhjV2dHQkdkVTRxTGk0OWFMSmFKUWdndVc2Q3BnUm9EZkZPZks2WGNCZUJibDF0bXVRMDU1b3lQek1la1NaT3dhZE9tZ1B2T3hxeUN4WXNYbXhXTm5uMzJXVnh3d1FWbi9KcVZsWm1aaVZXclZwbmJWMXh4UlprK0F3Y094T3JWcTVHUmtRRzczWTR2dnZnQ1YxOTk5ZGtjWmtCdXQxRUFZQ09BZkNubEpRQjZBRERYUjNqL2JZTjhnUDRld0dkbmZwVGs1VEprSzVjYnQxcXRxSlZKNktTVUFhdkwrcjVHNU9mbmwra1RyS0NGcjZWTGw1cXpzM3IyN0ZsbXlhSVFBbmZmZlRlbVRpMTVTWjA3ZHk3ZWZQUE5vRXNiVzdSb2dTVkxsa0JSRkRSczJMREM2NWVXbVpscFBqNlY0ODgwQ1JSSktiK1hKYi84aTFEeTNHNEhUNEd5OHA3YlVrcW5FQ0o0ZVYwNjU3a00yYXJZTGY4V1lrV3RMZkJEUkZYRG9CZ1JuVk8yYk5tU0MrRGxtaDRIMVR4TjA4eWdXSkRnMG40QXk2V1UveWtxS3Nvb0tpbzY3RUlERlNIaTNyTTJTSlRrekNpdFM1Y3V1UEhHRzZ2bEErRzMzMzZMTjk5OE0raisvZnYzbTQvZmVPTU5mUHp4eHdIN05XalFBUFBuei9kcjgwM2lQMlBHREwrbGpiNGZ4b3VMaTh2a0NmT3R1QlRNb2tXTHpQTmNkTkZGYU4rK2ZaaytpcUpnOU9qUlpwR0M2ZE9uSXlFaEFXM2J0cTN3L0dlU3hScFNxT3Y2ZndGc3RObHNqUlJGaVhXNzNkMFVSZm03RU9JNktXVTRnR0N6eDc2MzIrM1BuUDFSMTEveENVbVh3S3BjRlIxUk80TmltWm1aNk5ldlg3bDk1czZkaTdsejUxYnB2SWNQSDhZSEgzeGdiZ2RMemp4dzRFQXNXYklFKy9idHc2Ky8vb3JubjM4ZVR6enhSTkR6cmw2OUdtM2F0RUh2M3Iwcm5TeC93b1FKMkxObmp6a2pUVkdVZ0srUE5VMnhXSXQxWGQ4TVlITkNRa0owUkVSRXJLSW9IWVFRdzRVUTF3Tm9CQVI5Ymp2NTNLN2I0aE9TTGtHSUdCUUNCc1dJNmdvR3hZaUk2SnpsODZGRUFzZ1ZRcHlVVXY0RTRPWHM3T3hOdTNmdjlwdEdFWjlRUGJrZHF1Szg4ODVEZ3dZTjBLcFZLek1IMTNYWFhZZkJnd2NIckQ3cG0yK25Nakl6TXdQbTdRbkU2WFFHemZNVnFNUzRieFc1SFR0MmxIdnV5bzdCYS92MjdYNEJ1anZ1dUNObzMydXZ2UmJ2dnZzdXRtM2JocHljSEl3ZE94YkxsaTJyTFIrb3BjUGhPQTdnT0lEZEFENU9Ta3BxWnJWYWgwZ3BieGRDdFBNazJ3K3RhT2tWVVhWNzRZVVh6T2R4MTY1ZFliUFpBdmJ6SnFkKzZLR1NWYjBmZmZRUnpqLy9mSXdhTmFwTVg3ZmJqU1ZMbGlBN094c3hNVEY0NFlVWEtqV1c1czJiK3hYTXVQamlpd08rN3RRbXUzZnZQZ25nSklDOUFEN3YxcTFiWTZ2Vk9nakEzUUE2QW9nQkVNWmNZa1JFNXk1bWF5TWlvbk9XRU9LRUVHSzlFR0ltZ0R1bGxEMTBYYjlKMS9XdlNnZkVhb28zK0hYNzdiZVgyZWY3UWFxNHVCZ3JWcXpBdUhIakFwNm5xc0d5NnVCTjBGL2Q4dkx5OFBqamo1c3owVHAwNkZCdTVVeEZVVEIxNmxSek9kZWhRNGR3enozMzROQ2hRMmRrZktkcnk1WXRmOXJ0OWxleXM3TXZOd3pqYWlubEJDbmx2d0drMWZUWXFQWUtEdzh2OCtNckpDU2t6UDd5Wm1sOStPR0gyTEJoZzdrOVlzU0ljcS9mdTNkdkRCdzQwTnhldUhBaGxpeFpVcWJmdG0zYnpKbWd4NDhmUjRzV0xTcDFmOTZsbXkxYnRzVEFnUVB4OU5OUFYrcTQyaVE5UFQxTDEvVzNkRjN2WnhqRzVWTEtCd0VzQUxCWkNGRmMwZkZFVk5icTFhdjlYcXVxVTE1ZUhqWnMySUQzM25zdjRQN1BQLzhjOCtmUHg0b1ZLN0I3OSs0ek1nYXEvVGhUaklpSXprbUdZVHh1R01ibkZvdGx2NjdyUndFWU5UMm1RTXBMWU85TmdBK1V2REg3L1BQUDBiWnRXNzhQdWp0MzdvUmhHRUhmckYxLy9mVzQ1cHByZ2w1ajVNaVI1ckZQUGZVVSt2ZnZIN0JmNlJsTWVYbDV5TS8vcTF6bnFsV3IvR1oxSERod3dKemRGUklTZ3M4KzgwK1I1WEE0QWliRmQ3bGNtREpsaXJtc1UxR1VjcGRwZWJWcjF3NWp4b3d4eTZULy92dnZHRFZxRk9iT25Zdk9uVHRYZUh4TjhBUm1IUUFjclZxMWlvaU9qbzRMQ3d1NzBEQU1maWxKZnVMaTRzbzhoNENTUEhzNU9Ua0FnTW1USitQbW0yLzIyNzl3NFVJc1hyeTR6SEVPaHdNdnZ2aWl1ZDJyVjY4S2kzSUF3TU1QUDR3ZmYvelJ6UHYxeWl1djRPalJvM2pvb1lmTTF5WGZvaUh0MjdkSDgrYk5zVy9mdmdyUGZkbGxsK0g3Nzc4SEFMenp6anY0OE1NUGNmUE5Od2V0bkZ2THVkTFMwbjRGOEd0aVltSm9XRmhZckpUeUFnQ0JLeFFRVVJrblRwekFsQ2xUc0duVEprUkVSR0Rac21WK2FSU2VlKzQ1c3pCUmVUNysrT09BMWJXM2JObUNlKzY1Qnk2WEMxYXJGWDM2OUVGY1hKeTVQemMzRjdObnp6WUxqN3p6emp2VmNGZDBMbUpRaklpSXpra09oMk5tVFkvaGRFZ3A4Y1VYWDVScHo4M05SYU5HamN6dGFkT20rYzJJQ2cwTjlhc2dhYlZheTUwdDRodnNDZzBOOWNzTFZwNERCdzZZajhQQ3d0Q3FWU3UvL2FWemhzWEUrS2RxQ3JRc3l1MTI0Nm1ubnZMN1JuajQ4T0hvMXExYnBjWjB4eDEzWU1lT0hWaS9majJBa254SkkwZU94TFBQUGxzcmt1K1hKeU1qSXgvQTc1NGZJclJ2Mzk2Y3ZYV3F5d2g3OXV4cFBxZTlNN2JTMDlQeDRJTVBvcUNnd0R5M055ZGZSYUtqb3pGdjNqemNmZmZkNXZFclZxekF0bTNiOE5wcnJ5RXNMTXd2S0hiNTVaZWYwcmkzYk5tQ0w3NzRBbSs4OFFabXo1NWRxWUJkYmJWOSsvWWlBQWM5UDVzcjZFNUVIZzBiTmpUZlMrVG41MlBDaEFsNCsrMjN6ZGZEd3NKQ3Z6UU93UVJidnR5bFN4YzBidHdZUjQ0Y2djdmx3bnZ2dlljSEhuakEzTDlpeFFveklOYWhRd2RrWjJmajU1OS9Ebml1Mk5oWXhNZkhWK24rNk56Qm9CZ1JFVkVOeU1qSVFGcWEvMnE2N3QyN1krVElrWmczYjU3WjFybHpaNytnMkdXWFhRWkZPZk1UamZiczJXTStQcFdaSElIZXlCNDdkZ3pmZlBPTnVaMlFrSUF4WThvV0F3MldwRjhJZ1dlZWVRWi8vdmtuSEE0SEFNQXdETFJwMHlaZ2Y2TGFyR1BIanVqWXNlTnBuVU5WVmFpcTZ0ZjI2YWVmSWk4dno5eCs5TkZIL1daSEFPVVh3dWpjdVRObXpweUppUk1ud2pCS0p1REd4c1lpTEN3TW1abVoyTHAxcTltM2QrL2VBUHlENzk0UHFOMjZkY056enowSEFHVm1jWGp6S3hxR1VlNXNXaUtxdTZ4V0s1NS8vbmtNSFRvVXg0NGRRMFpHQnFaT25ZbzVjK1lBS1BuaXk2dDkrL1pvMXF5WnVhM3J1aG00TDYyb3FNZ3M0ak5nd0FDem11N2h3NGVSblowTnE5V0tuSndjdnlKRnUzYnR3dWpSbzRPTzljWWJiOFNVS1ZOTzYzNnA5bUpRaklpSTZDendmWE1IQUsxYnQ4YXdZY1B3MWx0dm9VdVhMaGcvZmp4U1VsTEtIT2VkL1JFZEhZM3UzYnRqOHVUSkFFcG1YVlZtbG9admxjaHAwNlpoeG93WjVmWWZNbVFJeG84ZmJ5NXpBb0FMTDd5d3d1dms1ZVhoanovK01DdHFybHExeXR6bkRlTEZ4Y1hoMWx0dnhUdnZ2SU5XclZyaGxWZGVnV0VZK09pamp4QVpHWW1vcUNnY09YSUUzMzc3clhsczZieEtvYUdobUQ5L1BoNTU1Qkg4OE1NUEdEeDQ4R2tIRm9qcWtsR2pSdUdUVHo1QllXRWh4bzBiaHdFREJpQTFOUlYvL1BFSG9xS2lFQm9hNnBkZnAvUnpEQ2laQVRaNzltdzgrZVNUa0ZKaTBxUkpBSUN2di83YURIbzFidHpZbk9YcE8xTjA1ODZkY0RxZGFOYXNtUmswQTBwZUk0cUtpdkRmLy83WFhHNFpFUkdCeE1URTZ2OGxFTkU1SVRZMkZrODg4UVFtVHB3SWk4V0NObTNhd09WeUlUYzNGN3F1bS8zR2poM3I5NTdubGx0dU1WOUhmTi9uQU1DYmI3NkpWMTk5MWErdHVMZ1lhOWV1eGRxMWE5R2pSdzgwYk5nUXVibTVaL0RPNkZ6Q29CZ1JFZEVadEhEaFFyejExbHQrTTZjaUlpSUFBS05IajBhTEZpMXc2NjIzQnAzOU5YTGtTRHowMEVObDlrc3BnMzVMR2t4eGNYR0ZTeEdLaTR1Um01dnJWeVd1UzVjdUZaNjdxS2dJdDkxMlc4QmxETDR6UVlZUEg0Nk5HemZpWC8vNmx6bDdaZUhDaFRoKy9IakE4N1p1M2JwTVcyUmtKQllzV0lDWFhub0pkOTExVjRWakk2cFBZbU5qTVdqUUlEUnQydFJjbnJscjE2NmdWU0lEUGNjQW9HL2Z2dmpYdi80RlhkZk4yYUpmZmZXVnViOTM3OTdtNjFMcjFxMFJIaDZPZ29JQ1pHVmxZZkRnd1pVYTYxVlhYV1VXMENDaSt1bktLNi9FbURGamNObGxsNkZUcDA0QWdMbHo1NXJGZUlRUVpiNzg4cDJkT25ueVpMUnYzeDVTeWtybEtOMitmYnNaRUFzUEQ4ZDk5OTBIaThXQ0V5ZE93REFNUkVSRWxQbXl3RGZYR2RVOURJb1JFUkdkUVJkZWVHR1pRSlQzVFY5RVJBU0dEQmxTN3ZGQ2lJQUJNeUVFbWpScFVuMEQ5V2pZc0NFMmJOaUFreWRQbW0xWFhubGxoY2ZGeE1TZ2E5ZXVTRTlQTDdQUE4xL1FlZWVkaHhVclZ2amxOa3RLU3NMR2pSdkxIQmNmSHgrMEtxWFZhc1hERHo5YzRiaUk2cU9ISG5ySTd6bG1zOW1DOWgwNmRHalFmZDI2ZFRObmd4MC9maHgydTkzYzUvdTZFQkVSZ1RGanh1Q2xsMTZxOUJoYnRXcUYrKysvdjlMOWlhanV1dnZ1dTgzSGMrZk94ZHExYTgzdG5qMTdsa25qMEt4Wk16aWRUZ0FsNlI3MjdObURtSmdZUkVWRm9VdVhMaGc4ZURBKy9QQkRBQ1ZCZSs5N2lYMzc5dUdISDM0d3p6TjY5R2l6T25qZnZuMXg0c1FKM0h2dnZSZzFhdFNadVZHcWxSZ1VJeUlpT29QYXRtMExJUVJDUTBQUnRHbFQzSHJyclpWYWpsZ1JpOFVTTUZGL2RXblVxQkhtekptRGxpMWJWanBuVisvZXZiRno1MDRvaW9MdzhIQzBhTkVDQXdjT0xETnJwSFN5ZjV2TmhvMGJOOEpxdFNJaUlnS05HemRHOSs3ZE1YcjBhRmdzbG1xN0o2TDZvdlJ6ckVPSERtalFvQUVLQ2dvUUdocUt5TWhJdEduVEJvTUhEOGExMTE1YnFYUEd4TVJnNmRLbCtQTExMN0ZwMHlaY2ZQSEZmdnVIRHgrTzVPUmtwS2FtNHZqeDQwR1RYMXV0Vmx4d3dRVzQrdXFyelZtelJGUy9PQndPdjhBWFVQSTZOV1RJRUZ4eXlTVll1WElsM0c0M3dzUERBMzRCOXNBREQrRGd3WVBJeU1ndzI3eVZxQys5OUZLb3Ftb0d4YnAyN1dxbW52anp6ejh4Zi81OGZQYlpaMmpZc0NFYU4yNk0xTlRVZ09rcnZISnpjODNVRUZRM01TaEdSRVIwQmlVa0pBU3RaaFRNMHFWTHpRVFhsYTBXV2QxNjkrNk5peSsrMkt6TVZGcnIxcTJSbXBycTEzYlhYWGVkMG5MR0VTTkdtTXU4aU9ndnZzdVlUNGZGWXZITDFYZXF1blRwWXVaQURNUjNaaGtSVVRDLy9mWWJQdnJvSTcrMnl5NjdERU9HREVHdlhyMHdlZkprUFAvODg1ZzVjMmJBSmQ1ZHUzYkZxbFdyVUZCUUFKZkxCVVZSRUJvYWF1NzN2b2NDU3RKTmVJdVBSRVpHWXNxVUtSZzRjQ0RHalJ1SHFWT240b29ycnZBTGl1M2V2UnVMRmkzQ2poMDc4T3V2dnlJM045ZHY2VGpWUFF5S0VSRVIxVEtCRWwvWGhORFEwREpWNjRpSWlJak9GS2ZUaWUrLy94NXRFUXdmNGdBQUlBQkpSRUZVMnJUQm1qVnJzR2JObWdxUDZkV3JGMjY2NlNaejI1dVBEQUErKyt3emZQYlpaK2IycFpkZWlsZGVlUVdLb3NBd0RPemF0UXZqeG8wenEvSisvZlhYK1BycnI4MytzYkd4MVhGYlZJc3hLRVpFUkVSRVJFUkVaOFVGRjF5QVFZTUc0ZWpSbzlpOGViUGZ2cXlzTERNb3RYZnYza3FkcjNUZ3lqY29WbHBSVVJHdXV1b3FjemJad1lNSGNmRGdRYjgraXFMQWFyV2lxS2dJWVdGaGxSb0RuYnNZRkNNaW9uckhNQXdjL09Ndzl1ejlyYWFIUXVlUUF3Zi9nTnZ0cnVsaEVCRVJuZE0wVFlPbWFmajU1NS9MQk1XcWcyOTE3cVNrSkhUdjNoMHJWNjVFYm00dW1qWnRpdDkvLzkydmYrdldyZkhISDMvQTVYSmg4T0RCbURCaEFoNTc3REZzM0xpeDFzemVwek9IUVRFaUlxcDM4dk1MOE5xaXhWaStnb2xUcWZKeTgvSncwck84Z29pSWlLcGZjbkl5dnZ6eVM3ejY2cXRZczJZTi92blBmNkpqeDQ1K2ZYNzU1UmVNSGozYUxPaFJ1bUNJYno3VXl5Ky9IQ05IanNUcTFhdVJtNXVMa0pBUURCMDZGQXNXTEFBQVhISEZGWGp4eFJmTjZwTk5telpGZUhpNFdUbWNCVUhxUGdiRmlJaW8zaWkyaW1NaFVoUVlob0g5R1FkcWVqaDBqaElTeFM1aFpOYjBPS2pxWEM0WFV2VTBGQllXMWZSUXFCYlp1V3MzaW9yNC93UlJiWERreUJHODg4NDdadlhJSjU5OEVtKy8vVFppWW1JQUFJV0ZoWmc1YzZZWkVMdnh4aHVSbkp6c2R3N2Y1WkNOR3pjR0FEUElGUllXaGhFalJ1Q1ZWMTd4UzhqdmxaV1ZoVjkvL1JXLy9WYXltb0NWSitzK0JzV0lpS2plT0xBamJjOEZuYnIrSFc2bFRVMlBwVFlUd21qb2RxTklVWlRpbWg1TGJlUUdEdXovZGNzdk5UME9xcnFTV2FKTG9DaEtUUStGYWhGcEdDZ3VKd2NSRVowZDMzNzdMVmF1WElsWnMyYmhtMisrUVVaR0JnNGRPb1RSbzBmajVaZGZScU5HalRCcDBpUXpZQlVURTROeDQ4YVZPYy9PblR2Tnh5MWF0QUFBTS9BZEVoSlM3aGcyYnR5STk5OS8zOXoyQnRXbzdtSlFqSWlJNmhQM3ZoMWJ2d1B3WFUwUHBEWlRWWFVDZ00yNnJsZC9vZytpR2xCa3VBNkdJV1NybEFMRnhReCtVR0JDWUkvYjdmNjk0cDVFVk4zMjd0Mkx5Wk1uSXlvcUNwR1JrWmcxYXhidXZmZGU1T1hsWWZmdTNianp6anZSb2tVTDZMb09vQ1M0TldmT0hITUdtYSswdERUemNYeDhQSUMvZ21JVkpjN3YzTGt6RGg4K2JHNjNhTkVDYnJjYkZvdmx0TytSYWljR3hZaUlpS2kwQjZXVWJnQU1pbEdkY0hEdjl2MHQybmU5UDFTeE5xM3BzVkF0NWlySyt2MjNYeGdVSTZvQjNpV1BoWVdGK1BQUFA5RzVjMmNzV0xBQVk4ZU9SVUZCQVE0ZlB1d1hySm82ZFNwVVZTMXpudXpzYkRnY0RnQkFreVpOMEt4Wk14UVdGcHFGY2lxYUtkYXVYVHVvcW9xbVRadmk4ODgveCtMRmk3RjY5V3E4OXRwcmFOdTJiWFhkTHRVaURJb1JFUkdSU1ZYVks0UVE4UUF1VGtoSWlONjllL2ZKbWg0VFVUV1FCL2RzM1E5Z2YwMFBoSWlJU3VUbjU1ZHBHenAwS09MaTR1QjJ1M0hzMkRFMGE5YXNUTFhJME5CUXBLZW5vMjNidG1XUzhLOWJ0dzR1ejNMb0hqMTZBQUFPSFRwazdpOWRUZExiOTZhYmJrSitmajZTazVOeDJXV1hRVXFKUllzV0FRQXlNek9aVzZ3T1kxQ01pSWlJZkEwRkFDSEV4ZUhoNFhFQUdCUWpJaUtpYXBlYW11cTNmY2NkZDZCbno1NVlzR0FCMXE5Zjd4Zk04bFZVVklSMzMzMFg3Nzc3THVMajQ2R3FLcEtTa3RDdlh6OTgvLzMzWnI4REJ3NWcwcVJKMkx0M3I5bDIzbm5uQVNnSnJCVVVGQ0ExTlJVTEZpeEFWRlFVb3FLaXNHdlhMdXpZc1FPNnJzUHBkQUlBV3Jac2lXYk5tbFgzN1ZNdHdhQVlFUkVSQVFCc05sc01nTjZlelhZaElTRVhBdGhUZzBNaUlpS2lPcXByMTY3bTQzdnZ2UmY3OSsvSGZmZmRGN0R2MVZkZmplVGtaQ3hidGd4SGpod3gyNTFPSjV4T0ozUmR4OENCQTNIUFBmZmcyMisvUlhoNE9IcjM3bzFYWDMzVjdHdXhXSERSUlJjQkFCSVNFckIxNjFZVUZCUmcyYkpsNVk3ejVwdHZQcDNicEZxT1FURWlJaUlDQUVncEx4WkN4SHJMbktOazF0aW5OVGdrSWlJaXFxT3V1dW9xOU8vZkg4MmJOOGZvMGFOeCtQQmhiTml3QVFVRkJXYWZuajE3NHE2NzdvTE5aZ01BREI0OEdCOTg4QUhlZnZ0dHY1bGtFeWRPaE5WcVJXSmlJcTY1NWhwRVIwZjc1UndUUW1EOCtQR0lpNHNEQUV5ZVBCbVBQZllZTWpJeWdvN1BhclZpMEtCQnVQMzIyNnY3MXFrV1lWQ01pSWlJQUVDeFdDeVhBbWppRXhTN29WdTNibzNUMDlPemFuQmNSRVJFVkVkTm1UTEZ6UE4xM25ubjRaWmJia0ZhV2hwNjkrNk5nUU1Ib21YTGxuNzlRME5ETVd6WU1Bd2JOZ3pidG0zRFYxOTloY09IRDZObno1NW1uekZqeGlBOFBCeFJVVkY0N2JYWDBLQkJBN1JzMmRLdlVtVmlZaUpXclZxRnpNeE01T1RrbEJtWDFXcEZiR3hzbVJ4a1ZQY3dLRVpFUkVSSVNFaUlCSEN4bE5JcWhJQW5NTmJJYXJYZURHQnh6WTZPaUlpSTZxS0lpQWkvN1lrVEoxYjYyQzVkdXFCTGx5NWwybHUxYW1VKzlpYmJEeVkyTmhheHNiR1Z2aWJWUFVwTkQ0Q0lpSWhxWG5SMGRETXA1Y1dsMjZXVUl3R1VYNytjaUlpSWlPZ2N4S0FZRVJFUkFVQS9BSTI5RzBJSTczOHYxRFF0b2FZR1JVUkVSRVIwcGpBb1JrUkVSSkJTamdteXE1RmhHTDNPNm1DSWlJaUlpTTRDNWhRaklpS3E1N3AyN2RvYVFIS1EzV0ZDaUc2SmlZbWgyN2R2THpxYjR5SWlJcXFOM0M0M2Z0bTVDMkZoWVRVOUZLSnp3dlpmZHFLNHVMaW1oeEVRZzJKRVJFVDFuTlZxSGVwOTdGMDI2WDBzcFlRUTR1S1FrSkE0QUFkcVlueEVSRVMxU1g1QkFWNWJ0QmloSWFFMVBSU2ljMEp4Y1RGT1ptZlg5REFDWWxDTWlJaW9Ia3RJU0FoVEZPVTJUN1hKWUxvTEllTEJvQmdSRWRWamhwQi9LaEIvR0ZLR256aFpPei9nRTlWcVVoNHVrdktQbWg2R0x3YkZpSWlJNnJHd3NMRFdBSFlCT0FuQU96UHNTaW1sRTREVHA2MDlnUC9WM0VpSmlJaHExdSs3MHAxdEVyb01WNndoeldwNkxFVG5JcmVRbVFkM2JObFYwK01nSWlJaUNrclROS2xwMnRNMVBRNGlJaUlpb2pPSjFTZUppSWlJaUlpSWlLamVZVkNNaUlpSWlJaUlpSWpxSFFiRmlJaUlpSWlJaUlpbzNtRlFqSWlJaUlpSWlJaUk2aDBHeFlpSWlJaUlpSWlJcU41aFVJeUlpSWlJaUlpSWlPb2RCc1dJaUlpSWlJaUlpS2plWVZDTWlJaUlpSWlJaUlqcUhRYkZpSWlJaUlpSWlJaW8zbUZRaklpSWlJaUlpSWlJNmgwR3hZaUlpSWlJaUlpSXFONWhVSXlJaUlpSWlJaUlpT29kQnNXSWlJaUlpSWlJaUtqZVlWQ01pSWlJaUlpSWlJanFIUWJGaUlpSWlJaUlpSWlvM21GUWpJaUlpSWlJaUlpSTZoMEd4WWlJaUlpSWlJaUlxTjVoVUl5SWlJaUlpSWlJaU9vZEJzV0lpSWlJaUlpSWlLamVZVkNNaUlpSWlJaUlpSWpxSFFiRmlJaUlpSWlJaUlpbzNtRlFqSWlJaUlpSWlJaUk2aDBHeFlpSWlJaUlpSWlJcU41aFVJeUlpSWlJaUlpSWlPb2RCc1dJaUlpSWlJaUlpS2plWVZDTWlJaUlpSWlJaUlqcUhRYkZpSWlJaUlpSWlJaW8zbUZRaklpSWlJaUlpSWlJNmgwR3hZaUlpSWlJaUlpSXFONWhVSXlJaUlpSWlJaUlpT29kQnNXSWlJaUlpSWlJaUtqZXNkYjBBSWlJaUlpSWlLam1KU1ltaG9hRWhQU3lXQ3lYMiszMjZRRGNOVDBtK292Tlpvc3hES1BkbGkxYmRBRFNwNzBYZ0JnQS8zTTRITWNyZTc2dVhidWVGeG9hK244QTRISzV2dHV5WllzZEFMcDA2ZElrTEN4c0dBQklLYmZvdXI3eFZNY2NIeDhmM3JoeDQrc0FERllVWlZ4cWFtcm1xWjdyWEdlejJYb0lJYnJwdXI3WTI1YWNuTnhmVVpUSFBadFMxL1dyd09mZFdjV2dHQkVSRVJFUlVSMlZrcElTWWhqR20wS0lkK3gyKzVweStwMHZwZHdKSUFvQU5FMUx0OXZ0SDUyMWdYckV4OGVIeDhURWhBZmFsNW1aV2RpMGFkTkxGRVVaVWNYVDJuVmRYK0RkU0U1T3Z0QnF0WjdXcXFrVEowNGMzTDE3OTBudmRrSkNRbGhrWkdURTZaelRLek16c3pBakl5TS93SzcvczFxdC85WTA3UkNBVit4Mit3d0FVQlRsV1FCOXBKU0d6V2E3M3VGd3JLdk1kVUpEUTlzQ2VCa0FMQmJMWXdEc25zY3R2TzFDaUlVQU5xcXFlanVBdTRLZFN3aXgwMjYzank3ZDNyaHg0ODFDQ0JzQUdJYVJEK0F1VGRQNlNpbW5WR2FNQUNDbGZNSGhjS3hWVmZWWkFIMHFlMXdsYmRCMS9Ta0EwRFR0RXJmYlhTMHhrclMwdE84QUdONXRWVlVIQ3lIZUFoQmhzOW1hT0J5T09RQ2dLRXBISWNRVm5tNG53WURZV2NlZ0dCRVJFUkVSVWQya1NDbVhDeUdHU0NsdlUxVjFocTdyVStBenk4Z3JOVFgxRDFWVjF3b2gvZ1lBVXNyN0FaejFvRmlUSmswZUJmQjBvSDF4Y1hGdkFQaFpDRkdsb0ppVU1nYUFHUlJURk1VdXBXeDRPdU9Nam82K0hjQnk3M1pVVk5URFFvaG5UK2VjWHMyYU5WdVlrWkV4dG5TN29paTNlaDQybDFMbUE0Q3FxbkVBTHZlMHUzSnljalpWNWhxYXB0MEw0QmFmcHRzMFRldnFlZHpJMnlpbHZGcFYxWmtBY24yQ040RkVCbWwvSHNBN25zY2pWVlY5VlVyWnJJSnorWkZTZW4vUG5ZVVF2U3A3WENYUGZjaG44ek9MeGRJb2FPY3FTRXhNak5xK2ZYdU9UOU1OQUNJQVFGR1VGMVJWdGVxNlBnc2xNL3k4WS9tek9xNU5WY09nR0JFUkVSRVJVZDBrcEpSWlFnZ0lJUVNBSnpWTjZ5S0VHT2wydXh1WDZTekVNZ0IvODJ6MjFUVHRFc013ZklNR0tDb3FPcmg5Ky9haXN6QjI4dUVKZm5sblNia0xDd3ZmQVFBaHhKMEFMSjdIbXlJakl4V2J6UllUNURRQWdLS2lvandwWlU4aHhEWGVOczlzTGx2cHZrS0lDNldVMXdONHQ3SmoxVFR0Q1FDOUFVQktPUjlBT29CdVFnamhtU0cyVEVxWlc5NDVoQkRoM3Z1cUMzUmR2MHRWMVRnaHhBQUFFRUxjblpLUzhxcGhHTDcvVmtkcWFIajFHb05pUkVSRVJFUkVkWk5iMS9YN2JEYmJQa1ZSbnZPMFhlTjJ1L3NyaXZKZWVRZDZnbWliRmNWL2xXRm9hS2dLd0hGbWhnc0FLSkpTNWdvaFFnR0VBSUNVc2doQXNSQ2k0Tml4WTB1Yk5tMzZnYmV6eStYcWE3RllWbnI2U1NsbE80dkY0anREQjdtNXVZWEJMaWFsL0JsQXVRRWFMeUdFQ2lDNjZyZDArb1FRSS9IWDcrUHo3ZHUzSHdJZ0FQZ3VXZXlyS0VwV1JlY0tDd3NiQTZBQVFENDhzNWU4djJQUHRSUnZ1NmN0cjlRcCtoMDdkdXc3QUdqU3BNa2grTXdzODV4TDlRYmNwSlFmQ0NHbVNpbnZCUEJtZG5iMm10MjdkeGNDK0xDOE1hcXErb0VRWXJCdlcxWlcxdkFHRFJyY1djRzlQU09FbU9DNTlvdUZoWVVCWngxNjVlWGx1WHcyTjBrcGc4MTRpeEJDWEZTcWI5Q2xqaWRQbml5OXo1V2RuZjIzcUtpb3pVS0lmSmZMTlhETGxpMG5ORTN6RFU0ektGWURHQlFqSWlJaUlpS3F3eHdPeDB5YnpYWkVVWlNYQVF3R3NLT214eFNNM1c1L0RzQnpxcXJPRWtKTTlqUS9xK3Y2ZE05anhlbDBtc25rVlZXOTBPZnczUTZISTZQVUtTWEt5ZFBrZHJ0SGJ0bXlaV3RseHFhcTZxWmd5L2V5czdOZmlJeU1mQ1hZc1VLSUg0VVFIVHliM3h1R01TQlkzOHpNek5KQlBDR2x2THNrVGdsSUtkLzJqT2NXQU8wck0vYlNkRjIvVDlPMHBRQTJlNXFlOWl6blExSlNVbGVyMVpydWFmKzNydXRqVlZWOTBudXMyKzB1Y2pxZEJRRFFwRW1UQ3E5bHQ5cy9Ta2xKMlc0WVJxdW9xS2plcXFvRzdhc295aytwcWFrbkF1MXpPcDBGS1NrcERmTHo4MDhySDV4WFJFU0VzWDM3OWdLZmNRNEsxdGRtczltRUVMcFAzejRBWE1INmV5VW5KL2V4V0N5dit6UTFrbElXV2EzVzd6Uk5nNVR5UE8rL0swcG1aKzR1NzN4U1NyZXU2eDBydWk1VkhvTmlSRVJFUkVSRWRaU3FxZ09rbENjY0RzZWlsSlNVdGFtcHFYOTRrdXFubHU0cnBXd3FoSWozUE00VlFwUUpua2twUzg4YUFnQjA3Tmd4eXUxMkM5L2s4MmVDcXFxTGcrVVVFMEowMERTdDJMZE5TcmxOMS9XdWdmb0RnS0lvRVltSmljRm1CNVhwSG15SFovWlQwQmxwbXFhWlNkZWxsTzZxVkltMDJXdzMrZ1RVQU9BZ0FFVUlNZFhubkx1RkVCZmdyOWxrRGdTWkFTZWwvQ05BODZXYXBubnptSjFmMmJGVmxtRVlEd2toeWlUaUw4M2xjdlVHRURRdm1wUnlTM2g0ZUtVQ2dVS0lDZUhoNFJQS09kY2VBQW1WUEpkdm5yVmNWQ0lnQmdBV2k2VWhTZ1V1ZllKZ3BSOUhJbmh1TnE5Sy8zOURsY09nR0JFUkVSRVJVUjNVclZ1M2JnRGVVeFFsWEZYVnAxSlRVMmNESlVuMUFYUXYzZDltczkwcGhGZ0NBRUtJclhhNy9aTEtYTWRtczQxWEZHVU9BS0dxNm1SZDErZFc0MjJjVVlxaS9CZ2VIckRZWmEwaGhIaWlkSnZOWmhzRndCdnN5d2R3aFpUU0xvUTREd0NrbENNZERrZWxsN2tLSVc1QVNUTDRDaW1LOHFhcXFubWU2MFQ1Qm5icU1OOUFZVTBHcGhnVXEyWU1paEVSRVJFUkVkVkJWcXQxaW1mMkNZUVFNelZOdTFJSU1UdzFOVFd6T3EraktNbzAvUFhaY2lxQXN4VVUrMTVLdWJOMG8yZFd6MDFuYVF4bmxNMW11MGtJVVRxQUdTZUVtTzNka0ZJdTBIWDlZSG5MRWl0U1RrNnhNb1FRYlUvNVFpWCs1cG1sNVRXMnFoVkZBVUJLdVFhQVg5RUhJVVJYQU43bGhUdWxsS1dYeG9ZS0lhNzNiVWhJU0FpTGlvcnFWdDYxaEJDK0FlSWlWVlhMQkpWTHk4cksybXEzMno5TlRFeU1DclRmN1hhTEJnMGEvQ0dFOEZaQ0hWVlFVUEIrNlg3aDRlRzlBSHptMlF5NHRKUk9IWU5pUkVSRVJFUkVkVkJXVnRidGpSczN6dlVKT0Z3anBmdytQajYrcXpjblZIWHd6RkM2MHJOWlpsbm1tU0tsWEticittc29TVGp2clZUb1RrbEo2U2lsckd4UVRBKzJKTFEwSVVRM25NVkUrd2tKQ1dHZUdYaWx4MkVJSVF3QWtGTCs2WEs1WnBmdW95aktJbFZWYzBxM0c0Yng5N1MwdEFNQkxoY3NwMWdaVXNyZjhGZnkvYzZlSUZxbHVWeXViYjU1M0ZSVlBWUmUvMkFVUlJrbHBieEZTdm14cnV0SFBPY3ljOUZKS1QrUlVuNm1LRXBidTkyK0RJQ1JrcElTSzZYMFMyZ2ZIUjNkR3NCUGxiMnVKeWhZWWYvbzZPaHVBTFp1Mzc2OXpMOERBQ1FsSmJYMUNZakJNSXlBZlcwMm05V240QVdEWXRXTVFURWlJaUlpSXFJNnlPbDBGamlkemp0dE5wdnVYZDRJNEdHbjAxbWdxdW9ZQUpOOSszdG5sUUVsRlFSVlZYV1dPdVV5WGRmTFZQTlRGT1VtS2VWSXd6QmtUazdPa2pOeEwrVlJWWFdhRU9KSkFKQlMzb0VxQkRoY0x0Y2QxWkZvLzB5SWpJd2NnQUNKOUtXVVI2V1VEeXVLc2tRSWNYZDZlbnFnaXBNcGdaWTFXaXlXWURQQXJ2RE9OUE11d1F4R1NqbmM0WEI4QndDYXBoMUhxZXFURmJGYXJRL2FiRGJmd0ZUdnFoenZPdzRBTHdraG50YzA3Um03M2I3QWQ3OFFvZ21BNVFCYWFwbzIxdVZ5M1E5Z1Q2QnoxUVJGVWE3dzJTeTJXQ3lIVlZYOVRnanhuTjF1LzQ5M2h4RENkNllaZzJMVmpFRXhJaUlpSWlLaU9zemhjTXhQVGs3ZUlvUm80WEE0UHZZME4vSWtaZzlJQ0JFS29QVCtwb0g2ZXFvRnpxdWUwWjRTYy9hV2xQSm9EWTZqV2trcGQzbithd0E0SklSbzRkM25jRGlXYVpvV2FiZmIxMVRIdFlRUTF3SzR0cnd1UG4zbGFWN3VYcCtaVDZkTVNubVBKL0RYQ01DTG1xYmREdUNBei82ZUFPSThtNXJGWXZuT01JemxwWU9GUlVWRmhTRWhJZHVDWFVjSUVZNnl3Y21DVWt0QXk3QmFyZVhPeGhSQ1hPY3oxZ3dBYXozTFB6KzIyV3gzT2h5T3R6MzlvbjJPWVZDc21qRW9Sa1JFUkVSRVZJZWxwS1IwTWd4REEvQkJUWS9sVEJCQ3RQZDUvR2RWanJWWUxCK3JxaHEwYW1TcDY1eHVMcTBxU1V0TDI2RnBXajZBUlFBU0FiVHcyUzN0ZHZzcndZNTF1OTBYbnpoeFlrdnBkcWZUR2ZCZXBaUTU4RlNyRkVKWVVUWUE2anZEcktlbWFVMDl4MWxQSWRGK3ZpZlFCOC8xUXVHcG1sa1ZpcUpjWlJqR0NDSEVGQUFSVXNwRUlZVHYwdEQvR0lieGxzVmllUVBBeFo1bG5tWHVmK3ZXcmZ2eFY5R0NNbXcyMi8yS29pd3MxV3dWUXZ5ZjNXNy9wYXJqQm9Da3BLUm04QzlzOEo2VThoclA3OUlxaEhqTFpyTTFjamdjLzRUL1REd0d4YXJaNllkbmlZaUlpSWlJcU5ZeURHT2dFR0tPRU1LcHF1cXJBS0FveXR5Q2dvSW8zeDhBOTNtUGtWTCtWSHAvUVVIQmhCcTdpZUFFQUEwQXBKU0ZXVmxabFZvS2FSNHNSSUlRb2t0bGZnQTBPQk0zVUE2M2xQTEx2THk4TXRVbkt5S0VLUElzbi9YN0FSQnNsdGNNWGRlYjY3cmUzT1Z5WFZsNnB4QWl3dWZ4SEFCckFLenh6WWxWV1M2WDZ5SmQxeU85UDFMS0Y2dDZEbzlpWGRkbkNTRTBBS2xTeWllbGxINHp2dExTMHJiWjdmYWVVc3FKVXNydnBKUlRxM0tCbEpTVUVFVlJ6UC92cFpUZW9KcjFOTVlOUlZIR2VZS0JBT0FxTEN5Y3B5aksxVkxLWHdCQWxIaXBXN2R1N1FERStCektvRmcxNDB3eElpSWlJaUtpdXMwM2Q5R2ZBSkNhbWxvTVQ3VkJMNXZOVnVoZDFpYUVNSUlsQ0s4QkxWVlZIU09sTEJPQTBUVHRNZ0RuZXpaL2NEcWRCVTJiQmx6bEdZeTdDbjB0RlhlcFh2bjUrU04zN3R5WlhkWEtrb3FpUk5sc3RwalM3UmFMcFNnMU5UVlAwN1JYQUNUNDdMcE4welR2YkNselpwS1U4bXBWVldmQ1B6QnpXcXhXYTl1VWxCU1h6eldhbk9xNVZGWHRCMkN6RU9KU2g4UGhWbFgxT2QvOU5wdnRUaUZFLytMaTRuOXMzYnIxcFpTVWxLWlNWbjcxcDVUeU9meTFkREpmU2psVUNQRUpVTExrMUdhei9kMjd6TEd5dW5idDJycFVvRzNkOXUzYkQzbnVad0NBelZMS3BrS0l3ZW5wNlh0VlZXM3NNeHZ2ZUZXdVJSVmpVSXlJaUlpSWlLanVzZ2doektDWUVPSy8xWDJCeE1URXlMQ3dzRkVBVUZoWXVQZzBnMm1LcXFyZFVMSmNFQUFnaFBET1lGc053QytwdkpUeWFaK0FRVWVielRZUXdON0tYc3psY3RscWE2SjlBTml4WThlcDVramJHQ2h2bDVSeUpZQy9TU2x2OVUyb0w0U3dBYkNWN2krRXVGQktlYjJVTXRQN2UzYTVYQ2toSVNGNW52UDlDQ0NxOUhFVldGMlZ3RlF3VXNyZVFvajNETU53Q2lGR0FmaTJWSmR1aXFLTUF4QVJFaEl5UUZYVjhRRFdWZmI4TnB2dGZnQ1RmSzQzMStGd3JGSlZkWTBRNG5vQVVCUmxpYVpwUisxMisyZVZQSzBTR2hxNkZKN2xxTExrRnpITHUxUFg5WDFKU1VtREZFVnBydXY2T2dBUVFwaFJYc013R0JTclpneUtFUkVSRVJFUjFWRTJtKzFpL0RYenArRFlzV1BmVmZjMXdzTENQaEZDOUFPQThQRHdtd0QwUGRWenFhcTZXQWd4SXNqdVlzTXducEJTemdFQWk4VnlqL2U2UUVuVlJDSEVXc013RmhjVkZUWGR0bTNiU1FSZkxsaXZDU0Z5cFpTNW5zMFFsSm8xS0lRUThxL0lWUjQ4czZXa2xEbGJ0bXl4ZS90cG1tYWdoa2dwNXdvaHJFS0lCQ25sZnpWTld5Q2w5STBFRnFPazJtUlhJVVFNZ0dXR1lYeGFpUnhvaXMxbW02WW9pcmxzVlVyNXk1RWpSN3l6MEI2VlV2WVhRb1NoNUhmM29hWnB3KzEyKzhjQnorYkRaclBOaE0velF3aXh5RzYzYi9idDQvdjc5Vnk3bVhmTWlxTFVtVUlTdFFXRFlrUkVSSFJLVWxKU09ra3Bud1RRU1VwNW5oRGlOeW5sSEYzWFZ3ZnFiN1BaQmdvaG5oUkNSS0xreTlFM2RGMWZpRW91WGVuWXNXTlV3NFlORHlGQVRoY3A1Zkdzckt6em5VNW5nYzFtRzZnb3l0cnl6aVdsbkt2citxVHkraEFSMVFWQ2lHdThqNldVLy9Qa2xhcnVhL1R3dWNaRnAzbXU3WUhhcFpST0tlVzNhV2xwQjFKU1VncWxsQzhCR083VDVYTlBvRUlJSVVhRmhZVmQ1UWxVbEo0OTVNZHF0YzVYVlRXN2tzUHJIS2hSVmRVV2lxSkVCOXJuWlJoR3FEZXdJWVNJU0VsSjZWUmUvK0xpNHB3dFc3WmtWSEpjWlVncHZ4TkNsTGt2S2FVREFPeDJlM3NBMERSdGtKVHlMU0hFVU85c0o1dk5kaU9BbVlaaFhKMldsblpBMDdRRUFMczhZLy8xVk1ma1pSakdBNHFpL0I1a256Y25XSVhWTGczRHVGWlJsR2VFRUgvekJQRWVCUENEVDVjZEowK2V2QzA2T25vMmdQR2VjNjBITUNEWTJHdzJXd2RGVVJZRHVNemJKcVU4RHVEV2pJeU1mQURRZFgyN3pXYTdUd2l4eE5PbEFZQ1BWRlY5UzBvNXp1RndCSnpOWmJQWkhsTVU1UkdmcHN6Q3dzSkhnNDNGNS83TlFoSlN5c3lLK2xQVk1DaEdSRVJFVlphY25OekhNSXcxQUU0Y09YSWtvVW1USmxFV2kyV3JFR0tWcXFyUDZybyt4YmUvcG1takFid21wVnhndDl2SDIyeTJFWXFpTE5VMDdTSzczWDQ3S3ZGTmZzT0dEVzlGOENUSEszdys2UFdzNkZ4dXQvdjlpdm9RRWRVRlFvaEJQbzgvMXpRdHliUGtMVkJmTTJlV2xQSWlWVlVEQmRCY3VxNUgralpJS1o4UlFqenYyWHo2ZE1icmRyc2RGb3NGVXNwakFOWUxJZFliaHJIQjRYRHMxelN0cDZxcS81UlNqb0RQM3dQUGx5eDNhNXAyTFlDM0FNUUNhQU5nZzZacHo5cnQ5dWtJL2dWTTMxT29ubGphQWlubDRQSTZsTHFHNWsyb0hvelZhbDBMWUZCNWZjb2pwWHhBMTNWSGVYMXNObHU4bFBKTnp5eXEveVFuSncrMFdDd05wWlFmQ2lHRXhXSlpsNUNRMEJ2QUxUNkhtYk9hT25ic0dJVktGaDhRUXZ3SHdDRUFNQXpqQTRmRFlWWUpUVWxKYVpDZm4rL2F2bjE3RVZDU2N3dUFiM0ExWUhKNXE5VjZMRFUxZGFpcXFsOEtJVjRCOEJ5QWhnQXU5ZmJadlh0M0lZQ0hORTNiS0tXOFNFcjVvM2RacVc4RnpKU1VsRmdwNVdRcDVUZ0FvVDZYeVRZTTQvcTB0RFMvWUszRDRWaXFxcW9xaEJqbmM0KzNBN2hPMDdRM0FmemJwektsUlZYVmVVS0lzVDZuS0hDNzNUZHYyN2J0R0ZBU2pBTVFZeGpHU2NNdzhzTEN3bHd1bHl0S1VaUWhBRnA3RDFJVXhiZTZKbFVEQnNXSWlJaW9TaElURTBNVlJWa3VoR2dvcGZ3OEl5TWpQeU1qSTE5VjFYY0JQQ2lFZU1wbXMzM3JjRGkrQUlDa3BLUldVc29GUWdnWWhyRVdBSXFLaWo0UER3OEhnTDlybXJiR2JyZXZyT2k2VXY0L2UvY2RIMGR4OWdIODkreWVwSk9MWEFEVERCaFFiQ3hiMHMwY29ZUmVFZ2dRQ0JBSUJBZ0VlSUdFSGdjd0pRRUhDQ1FCVTk2UWhKSUF3ZkNTQUthWjVpUkFRakh0ZHZkT3NyQkJnTUVHYk53dHkxYTVtK2Y5NC9iT3E5TTEyY2IxK1g0KytyQTdPek03dXo1ajZkSE1NL3hqLzdmZXZaWnFNSFBtdDdXd0xLdFVVT3l6UkNLUjl3ZENJWVRZbFBqLy8xV0JYRkF2V0pZVnNpeXJxbFJiU2pmS1Y2L1h6NUN1NjA2TVJxTi9XYnAwS2JlMnRpNWJrekczdDdlL1ZWTlRzN2ZydXU4ZzhQLzdTQ1J5SllEZjVBbGczZUc2N3M4QndIR2NGOGVPSGFzckt5c2ZBN0FuMG9ueHI5TmFmOHR4bk1NaFN5bXpHaG9haGhIUlZDSWE0aGRONis3dWZqVVVDb1VBZUFBVWdJYWFtcG9ubVhsczVyMGJZMTVRU2ozaTcvaTRCZExMQjRHYzVaZTVITWVaQW1CS3ZtdXBWT3FHY0RoOHFkWWF6R3lJcUVjeU5HTk0wUUNpNjdwL2FXeHNmQzBlajdmbUp0b0hBSzMxNUV3eWY4dXlmaHE0Tk45L0Y4T05NVTFFTkRqNCtXTG16MU9wMU5HNXl4a0Q5NzFVS2JXU2lLN0lsQkhSVUFDWE1QTVpEUTBOOWFGUUtPd0hIdmNPTkUwWlkwNk94K092QjhvT3RDenJua0RBRHJiZGMxOEhadjdVY1p5eTgrV0o4a2hRVEFnaGhCQjlVbGxaZVFRUmJlZWZCcE1wVHdOd0lRQVEwZVVBL2drQW9WRG9wL0IvNjJwWjFpSUFhR2xwbWF1MVRnR3dtZmxpQUVXRFl0Rm9kRWRqekhESGNZWUNTQmFwYWdPbzlaZG1URzF2YjU4M2MrYk1sWDRmT3pGekt6TS9Cdm5CU0FpeEdiQXM2MmcvdUFWbS9pU1JTRFRYMTlmWEUxRjdxYmFGRUZIZS93ZkhZckc4czNuNnlnK3F2WlZidm1USmt0dUdEQmx5RGhHTjhJdG1NL09scnVzK0VhelgzTnc4dTY2dWJ2K3FxcW8vK2NuWE04bmxDeTNCTzhXeXJISUREWGNEYU1nN1lQdEVBQUFnQUVsRVFWUXRKS0tWZ2Z4Y2E4dkt0ZHhmRDdadFgwNUUzL0JQUDJMbTQveVpXbDFqeDQ0OXBxS2k0bDBpMnBxWjl5V2lTZ0JnNW5tZTU3MmtsTm9Ed01rNVhUYXQ3bGlJNkUwQWwvckh1YnNEdkJ5UHg2ZjNidFZUUEI0dnRxd3pHZHhzSW9PWm53U0FSQ0l4UjJ0OW9SKzh5dng5ZVNHVlNwMlJTQ1MreW0wWFlGelhIYSsxYmdad0QvemsrUUJTUkhTUzMrOVJSTlFZYUxPU21jL3lQTytwbkw3K1dlSVJVMFIwSWVUN2w3Vk9nbUpDQ0NHRTZCUExzc1pram9rb0hEaitKRkR0NElhR2h2NkpSS0tkbWIrZCtjMXJLcFVLTHNYcFJucFh0RDFxYTJ0cmlzMHVZT1pUQWV5cXRWN0l6UE1BdkFkZ3N1dTZUeUVRSkd0c2JOekdHSE5XWnBaYVRoL0grV09RcFpOQ2lNMkM1M2wvYm1ob2lObTJmUVNBaFFEUTFOVFVCR0JBOFpZYm5sbXpablVNR1RMa1dxU1haLzRobVV6ZWswZ2s4Z2FpL09ET1dWcnJKZ0MxcnV2K3RWQy94cGlFNTNubDdqN1psbStwcFo4RzRPdld4Y3lkQUVCRWE1emMzblhkOFVxcHJRQWN6TXlIZXA0M1AzT3R1Ymw1dGxMcVdBRDNFTkVwQUxaajVyOFEwUzBBa3N6OHR2OGVrc3k4bkloZUo2TFZYalpyV2RZYnhoajJuNnVMbVpjQitKS1pwd0s0YVkwZUZBQXpPMFIwZ24vY1JVU3pBVXp5UEc5aXBvN2pPSk9VVWpzejgvbk1QTjd6dkFmSzdkOXhuRW1OalkyditQbk56akRHalBjODd5WC8yaFN0OVNITS9EeUFKY3g4bk9kNXZaYTFlcDQzUzJzOUY4QTJnZUtWelB3VkVUWDVPVnZYK3M2eElwQzhUZ2doaEJBQ0FMVFdET0E2eDNFbTVMdXVsUG9sRWYwYVNDZHRkbDEzWHlDYmVEKzd4Q0dWU28wS2hVS2ZNUE5LcEdkd2dZaEd4Mkt4R2Y1OTJ1SG5JakhHSE9SNTNxdEZ4dlErZ0Y1SmlabDVPaEg5eUhHY1JCblA5UjZBclJ6SEdRSDVUYXNRUW15TU1yT0kxdHVPaDVzWXFxdXIyN3FscFdWdW9ldncvNzJNUnFOYkxsMjZ0TTNQMGJWUmlVYWpGVXVYTHExT0pwTmRwVGFhcUt1ckc5RFMwcks4V0oxaUlwSElDTS96WnVVWncyNWRYVjN6bXBxYUZoY2I1N3g1ODBMaGNOaTB0cloyUWI1WFdTZGtwcGdRUWdnaCtzVC9qU3NBZ0loVU5CcnRGNHZGVmlTVFNUc24vMFVGMHNtT3M0V3BWQ3B2b21ObUhsYm9mbzJOalhzZ1QwRE12LzhZWm40MUVvbnM2WG5laDRYNnFLK3Yzd1ZBbEpsdmhYeVRLWVFRR3lzSmhxMWRYQ1FnQmdUK3ZZekZZaHZ0cm9leFdLd2JKWEtlWmF4SlFBeEl6L2dxTUlZWnBkcjJaWnhpN2NsZHJ5dUVFRUlJVVpUbmVTOW10blFIMEkrWmZ6OW16SmlobG1YdEdhd1hDb1htR0dPR0JNc3N5OHArZzgzTTJXUGJ0Z2NYdWg4emZ3SGdFR1BNc2NhWXk1ajVtY3dTRWdBZ29pSCtrbzZDYk52K0lTQkxKNFVRUWdnaHhDb3lVMHdJSVlRUWZaWHE3T3o4YmxWVjFmMUVkRGlBbjFWVlZaMEJZSGFnVG5Nc0ZsdGFYMSsvUlVWRlJkNU9pQ2c3Zzh6UEg1SlhJcEdZQTJCT29PaVd4c2JHN1czYnZoWEFELzIrdmx0YlcxdFZhRmtIRWYwUXN1dWtFRUlJSVlRSWtKbGlRZ2doaE9pemxwYVd1YTdyZmplWlRHNmRUQ2Jyazhua01HYk83ZzVsakhrRUFJaG9Iak9iUUhrd242a2RLSi9YbC92SDQvSFBIY2M1Q2NCZGZsRkZPQnpPTzl1c29hRmhGQkUxeXE2VFFnZ2hoQkFpU0lKaVFnZ2hoRmh0aVVUaXEwUWkwVnhSVVZFTjREQy9lRUVxbGZxemY3MGRRRGFQaG1WWndWbnFtZTlEVXUzdDdiSFZ1WDk3ZS91VkFGWUE2R2h1YnA2ZnI0NHNuUlJDQ0NHRUVQbkk4a2toaEJCQ3JERmp6QytKcUQ4ek14R2RtN083MGdzQTZnQ0FtZnNIeWpNenhkNXJiVzFkQmdCang0N2R1cUtpNGpZQS9abjVGNEhrK2RrZHNJSm16cHpacHBUNkZJQ0x3Z21ZVDRRc25SUkNDTEVXUkNLUkl3RnNCUUMyYmIrVlNhQWVpVVFpQUNKK3RjODl6L3ZuZWhxaTJNaG9yUTltNW0rNnJ2dDd5R1lTNjV3RXhZUVFRZ2l4UnBSU3B4SFJSUUJTUkhTKzR6aVRnOWN0eS9vVE0xOEVvSUtJdGdHQTNYYmJiWXRBbFQ5a0Rpb3JLMjhHY0RJQUVORkFBQWNycFJvQnZFcEU4NHd4di9ROEx6dmpxNzYrZmdpQW9hbFU2dGY1eHRiWTJEakczNkZTZHAwVVFtd1c2dXJxS3NQaDhGWE1mQ1VSVlRMenJhN3IvaUpmWGExMUE0Q2ZNUE9CQUxZbm9zRUFGZ0I0SzVWSy9Ua2VqMC9OMTI3VXFGRUQrL1hyZHlvUmZaK1pHNGxvS0lBVnpEeWRpQjV4SE9kdUFNbWNlNDFPcFZKYjVPdXZyNHd4MDNOKytiTE9XSmIxU3dCN0FnQXpYd2gvTnJSbFdkOEhjSzFmN1NVQWVZTmlXdXZqbVBubmEzTk1STFRFY1p5ai9QN1h5WHZ1eStjc0tCS0pmSk9JemlHaWd3QnN4OHdwLzkvM1p6elA2L1ZldE5hMUFDNUZlamI2OXN5OGdvaW1NL1AvdWE1N0wzSStaMHFwN1l3eHU2eldBK2Nnb2ptRmRwTmNXL3kvZzA4U1VZM1crc2l1cnE1VEFIUlZWbFkrdUpwZHJuUWM1OWkxT01STm5nVEZoQkJDQ0xGYW90SG9JSCtHMkRnQXpjYVk4enpQZXlPM1hpd1crMGhyZlNtQVB6RHprUUNtaE1QaDcvbVgvKzQ0enFSQTlXeGVNR2JPN0Z4WjYvK2dOdGl5ckg4b3BaNW01dHNCZEZ1V05RN0FHWWxFWW1hK01WcVdKVXNuaFJDYmk1RFcrbWhtdmdIQWFDSXEyWUNabnlHaW5YTHFiZ3ZnV051MmoxVksvYS9ydWhjRkwvcS9xSGlKaUxZR2dFRGJRVVQwTFFEZlVrcWRuRXFsRHZPWDBHZnVkWk50MjhlczBSUDZiTnYrSG9BcGE2T3Y5V0E3SXRwbkxmZTVNSE93RHQ1em56OW5HVXFwbXdGY1JrVFpORTUrK3dGRWRCeUFIa0V4cmZWeEFDWUJxQTdVRHdQWWo0ajIwMXFmM2QzZGZXZ3djRWRFSjlxMmZWdlpneXJDLzRWYXlVRGZtakRHakNXaUt2ODk3RmRSVWVFQm1JQlZLU242aEpuYlM5Y1NRUklVRTBJSUlVU2ZSQ0tSaUdWWnB4aGo5Z0R3SVRNZjRicnVpeWd5RTh0eG5MdVVVbk9KNkdxbDFNY0F1Z0ZjNFRqT3JjRjZxVlRxMTdadDF3UG94OHlYQTREcnVrOW9yYzhEY0M2QVhRRWNZbG5XcmdDZVllWUxYTmY5b3RCOWlVaVdUZ29oTm5sYTYyc0JuQWRnbTc0RUtRS1dNZk5DSXRvV1FEaFRTRVFYYXEybk9vNlREWXd3ODg2V1pXMGRPR2ZLdVNrUjdSTUtoWDRMNElMVkdjeUdRR3Y5VndENzU1WXo4L0F5M3ZGK1d1dldQT1gzQTFpNkZvYTNYcXpKNTB3cGRSTVJYWkZUL0NVek00QnRjdXRIbzlFZG1mbGhyUG84SmdGTUE3QWQwdDhMQUlBT2hVTDNBVGkrVDRQWmdIaWU5NGhTNmdNQWt3SHNRRVJEbWZtUTlUMnV6WWtFeFlRUVFnalJKNTduZVFDOHZyWnpYZmNKQUU4VXF4T1B4MTBBdGJubC9sS2N1L3Q2VDhkeGR1dHJHeUdFMkFoZENLRFBTK2FJNkRsanpNT2U1MDBEd0xXMXRWVURCZ3o0dFdWWmwyZnFNUE14eUprdHhNeGRSUFFuWnI3ZmRkM3BvMGFOcXU3ZnYvL1pBQ1lHNnB4UlYxZjM4NWFXbGk3L3ZCbUIyY0I1N0UxRWxmNXhNek12TEZLMzJMVzFKUmg4eVNvekdOUXZYMXNBV3hIUjcxYXVYUGxBc2NhVmxaV0hXcGIxSkFBdzg3dWRuWjBIRjZzZkNvV3l2NVQ2bXQvemFuM09sRko3QXdnR3hGNU9KcE0veTh6eUhqVnExTUQrL2ZzZkdtekR6RDlCSUVCcmpQbSs1M25QQVFncHBTWVRVV2JHK2JIUmFIVGJXQ3oycGQ5dURvRC9GQm5PYUNJYUZxajdVWkc2eGE2dE5hN3J2aGVOUnZkazVpbk12TWlmZ1grMFA4YjNPenM3OXlqV3ZxcXFhZ3NpK2xxWGVXN0tKQ2dtaEJCQ0NDR0VFSnNBZituVWI0a29iNTdGWEk3am5CODhiMjF0N1l4R285Y3c4NlVBS29Ec2NyV2d6NDB4ZS9tL3hBQ1EzdlFFd0czK2NyZDkvWGI5UTZIUXpnQm1Bb0RuZWRjVUc0dldlZ21BU3Y4NUxuVmQ5MS9sUE1QWGFHV0JwV2pWd2VWL0JhU1l1U08za0prN1BjL3JycTJ0dFNvckt5dld6akNCUkNLeEluTzhMdDV6WHo5bkFHN0t6Q1prNW5jNk96dS9td21XQXRuUHo1TTU5OWcxRUlDYzZRZkVBQ0RKekJNelFURWlJbVBNQ0FCZkFvRHJ1bzhEZUx6UVFKUlNUd0U0eHIvSGc2WGUxN29TaThXK2JHaG8yTit5ckFwbUhteFoyWStZYVdscFdWNnNiVFFhRGFjbjNJblZJVUV4SVlRUVFnZ2hoTmlJTWZOelJQUnVWMWZYSTlPblQxK210UzQzV0pGUFAyYTJNd0VKWnY0Z2VOSHp2SGVMakdOMmNDYVZiZHQyb2JvNWlKa0hCdG91NmRPSXZ3YUZrcFZycmQrQ24yaS9pSCs1cm50NG9Zc0RCdzY4aTRqT0ttY2NSUFROY0RqY1ZxeE9RMFBERG9sRVlrNDUzYTNKZTE2ZHoxbDlmZjB1Q0N4RE5jYU1Dd2JFaXZnOGNOOGVueU1pc2dQWHVMT3o4NVB5bmdBQU1DaHd2TjQvWjBCMmFlbnpqdU84QmdERGh3L3ZIRFpzV0dZbTNMSXl1bGdLSUJNa1RKYW9LM0pJVUV3SUlZUVFRZ2doTm1LdTY1NGVPRjN0bi9IcTYrdDNZZVk3QWpPaFZsaVdkVjhmdW9nRWpsTnRiVzNsQkdwUVYxZTNkVTd5OVEwaVdMR3BXZFAzdkRxZnMxQW85SjNBTExHdjR2SDQ2MHFwSHdBNDNsL0crRmtxbGZwYlBCNS9KZGpPc3F3SG1ma3lBRFlSMVdxdFQzVWNaOUx3NGNPckFZd1BWSjNVMHRJeXQ5eG44UFBtWmF6M3oxa2tFam1kaU1ZejgrVktxZDlabHZXcldDeTJjczZjT1ZNQVFDbjFONlZVM2wxZ001aDV1dU00MFhVejRrMlBCTVdFRUVJSUlZUVFZak9sbEhxWWlQWmk1cUgrVHI4QUFHYiszQmh6VWp3ZS83TE1mazRtb3RHQm92KzJ0cll1QXdDdGRRTXpWeFpvQ2dEQmRqREc3S3lVS3BZWEN3QStkVjEzZmpsalcwM1dpQkVqZW8wNXo3NEN2VEN6TldMRWlOeGxwNWcxYTFZbmVtOUs4eFl6Zng0czhIZjIzTmZ2YXhHQVYzTGFnSWkrRGFBbVdMWWh2bWNpMG9IVEQ3WFc5d000STFqSHR1MHp0TllUSE1lNUxsTVdpOFZtUkNLUnN5M0x1aGZwdU1WRFNxa3JrYzdMdGhVQU1QTy9MTXM2TDlPbW9hRmhaOXUyUytVODJ6RXd0aTJWVXJzWHE1eE1KaGMxTlRWOVhPbzVWeE5abG5XUlB4WUx3SGhtUGt4cmZZcmpPTy83NVpVQXFvcDF3c3hGcjR2aUpDZ21oQkJDQ0NHRUVKdXY3UUhza2hQb2lSbGpMb25INDYrWDA0SFdlajhBMlJsbC9vNkMxd1hPbnllaTdjc2RrR1ZaUldmRytDNEU4SWR5Kyt3cnJmV1BBRHkwT20ySjZOdERodzVkbVZzK1pNaVFiN3F1KzE2d2pKbHZCZENWU3FVK1RpUVN6ZjY5RHdmd2d0L1hoMTFkWGVkWFZsYWUxOUhSY1dzbXY1UlNxcG1JeHVUMHRjRzk1NXpkT25jSHNFK0JxdGRxcmYvck9NN0xtUUxQOHg3UVdsY0IrRE1BRUZGZG9MNlRUQ1pQYkdwcXl1WlRDNFZDMXdNNHBkeXhFZEZOQUc0cVZpY1VDajBCNEFmbDl0bEh2R3pac29NR0RoeDRQeEVkNTVjcFp2NHVnUGQ3VldadUphS2wvbkU0OTg5ZnJKNVNDUUtGRUVJSUlZUVFRbXhlb3JadHY2YVVlbXpVcUZFRGkxV01SQ0kvWXVaL0lyM2pJZ0NBaUg3cHV1NS92L1pSYmdLSWFDUVIvVjhvRlBLVVVuK3FyNjhma2x1bm9xTGlmZ0RYaGNQaEQ3WFdwNjZIWWE2SmJBNHZJcXBpNW5kVHFkUllZOHdRQU9jeXN3blUvWG5nMkZaSy9RVitRQ3dQSFFxRld2MmRMVGRhcmEydHkxelhQUjdBNVVodjBQQ0k2N29UODlVbG9rc2R4OW5kY1p6ZExjdjZ1Z0oxbXgyWktTYUVFRUlJSVlRUW15blhkUThFZ0dnMHVxVXhwZzdBeFpsWkswVDBnMzc5K3EwRThPTThUVzJsMUcrSmFGeW13QTl3WE9XNjdtOXo2czVnNW1MNW0wYm43dWpJek84RE1BWHFBOERDSXRmV0dETi9DZURmdWVWRTlFM2tMRnZNWXlFemU3bUZ4cGhlU2RPWitSUWk2dWYzZlY0b0ZEb1d3Tk9CNnpzQTJOay8zUWJwWllTbm8yZkMrSXdOK2owek0xdVdkYkxydWgvNVJmZjRzK0l5bXhyc2w2bXJ0YjRad0puK2FRZUFueEhSWkdQTTlnRCtSRVQ3RTlGUUFDODJORFI4STVGSWZNWE1zd0ZNTDNSL0l0b1JRRzZROXpObUxyaVJBVE4vMXFlSFhFMk80L3hlS2ZYNi9QbnplMzF1eE5kTGdtSkNDQ0dFRUVJSXNabUx4V0lMQVB3WHdIK1ZVazhUMGRIK3BWUHE2K3N2Ym1wcVdweXBHNDFHSzR3eGp4QlJkcllLTXk5aDVsTTl6M3N1dDIvWGRROHRkRitsVkIwUjlRcGtNUE50bnVmZHUwWVB0UVpjMS8wMzhnVEZ5dHg5OHIxaXUwL211QmJwR1VKM0V0RndJdHJheis4R0FDQ2kyWjJkblVkVVZsYmVUa1NuK1dYaGZJR2NEZlE5QjROMFg4UmlzWTl5cnNld0tpaFdNM3o0OE9vaFE0YUVBVndRcURQUmNaejcvZU9sMFdqMGVHUE1MQ0xxRDZER3o4dDFqZXU2VndLNHNzQTRiSzMxYk9RRXhaajVkZGQxeTE1eStYVlJTdTBFQUhQbXpPbXg3SmFaS3pLZkJXTk1iajQ2c1JiSThra2hoQkJDQ0NHRUVGbEU5R3JnMkxJc2EwVHdPalBmSGd5SUFVaWtVaW1kTHlCV2h1eE9nc3pjR2JqdkRiVzF0YVZtWkcwU0hNZDUwcktzc2N6OENJRG5pT2d2d2V2VHAwOWY1THJ1andGOGw1bGJ1cnU3VDBmeDJWMzVySmYzVEVRZkJFNzdGYXlZSHBlWk0yZE9WMFZGeFZnQTJZMEtqREZ2QnV2RllyRUZSRFFqY0E5VmFoeis3THB0L2Z0MEJpNmRyTFhlcTFUN2RlQWtJbnBUYTkya3RjNEVDWkhaVk1BLzdzemZOSzJ1cm02YmFEUmE5QjJMM2lRb0pvUVFRZ2doaEJDYm1XZzBXbEhvR2pQbkpuRFB6dmJ4aytyL0xIRDU3ZmIyOW4wVGljUW5mUjJEMXZvb0FNRWNXV2ZBWDY1SFJNTUdEaHg0YTEvN1hGdnE2dW9HNVB0aTVwSS9Rek96bmE5dG9ZQ0Yxcm9Cd0NEWGRVOVp0bXpaOGJuWEd4c2J4eWlsWGswbWsxKzVyanUycjdzaHJzLzN6TXh2Wkk2SmFFZ2tFb25rVk5rcmNQMURwR2ZONWU2bXVHM09PVEZ6c0t6Z1p4a0F4bzRkdXdPQTN3ZkdkQWN6Lzh1L0p6SHpuK3JxNmdhVWZwcXZEeEVkNWgrT1plYmhtZkxnY3hwamlpNWxyYXlzUE1vWTg3blcrdXF2YVppYkpBbUtDU0dFRUVJSUljUm14aGh6cFZMcUZxMTFiYUE0cExVK2g0ak9DSlRORGdhOG1IbGM0QnFZK2ZJQkF3WlVSYVBSTFhPL1VDUmRUME5EdzU0QUhxRlZXeE8rN3JydW84ejhtMHdkSWpwYktYWDlHajNvYW9oRUlvUEQ0WEJidmk4L3AxaFJSSFJvdnJiR21IekJySzBBVEdIbVpxMzFPYTJ0clQxbUF6SHpBTnUySHllaUEwS2gwRHRhNjkvVzF0Ym1CbzBLV3QvdmVmNzgrYzhCV0pvNXR5d3J1NW1BMXZxSHpIeGtvUG9UQU5EVjFlVUFTQWJhakZOS1pXZE1LYVYrVGtUYlpjNlorWjFDOTFkS2JWVlJVZkdDbjM4TXpMell0dTNmRTlGNGY1ZFVFRkdrcXFycXlUTGZxOTNZMkxnOUFDcFpzMHorVEwxOUEwWFBBRUFrRWhsQlJMWCt1TG1qbzZPMVdEOUVWRTFFZ3dFY3ZMYkd0am1Rb0pnUVFnZ2hoQkJDYkdhWXVkSlBrditoMW5xQlV1cGpwZFJ5QUhjRHNBUDFKdVEwN1pHM2lvait3OHp6ODMwMU5qYm1YWmFtdFQ3V3R1MS9ZMVYrcHhYTWZDNEF0TFcxM2NYTXJZSCtyMUZLL1RvNHBrSXl6NkNVV2g2SlJMNVJ4bXZZRUZ3R1lBZWszOFhkU3FtcEFIWU1YTGVZdWNVL3RnRmNWbE5UOHk0UmxWenkrSFc5NTc3d2MyUUZQME43VlZSVXpGTktmUVhnMFVDdzdzc1ZLMVpNQk5MTFJabjVUNEUydXdINFFHdjlrdFk2UVVTM0JLNHR0VzM3cm56Mzl2T29UU09pN014SFpyNDBGb3N0Y0J3blJrUVBaOHFKNk5DYW1wb254b3daTTdUUXMwUWlrVE8wMWd0dDI1NmpsSnFydGY1ZXVlK2htUDc5K3grT1ZiUGRFcTdyZnVxUDZhVEErTHlaTTJjVzNCQWcwNVgvMzZWRmE0a2VKQ2dtaEJCQ0NDR0VFSnUzTFlob1p5SUt6cFJKSVoyOFBKdmZxcmEydHNaUGJyNWFvdEhvSUszMTNRQW1aL3BoWmpiR25PTzZiZ3NBdExhMmRxWlNxV09aZVhtbUhSSDlVaWsxVFdzOXVsRGZTcW1kL0dmb1QwUnpQYy83Y0hYSDJkWFZsV1RtTi9KOUFTZ1ZtTWhzT3BDdjdkdTVkWW5vU21iK0pZQnUvL3piQUU0TFhGL211dTd4ekh3V2dCVisvKzh3YzYrZExETyt6dmU4T2h6SHVaMloveFlvcWdqbXltTG0rY2FZWTJiTW1KRmRIbWhaMWpobWZqUXd0c0VBdmdPZ1BxZmRFYkZZN011Y1c5cVJTT1JpSW5vUHdLNkI4bnM5ejNzd2M5TFIwZkZUQU0yQjYwZFdWVlUxKzh0TmU5QmE3K1huZWh2RXpGOFIwVEFBZjI5b2FOZzV0MjVmMmJhZDJkUUN4cGhuZ2ZRc01RQlhaTXFaK2UrbCttSG1JZjdoZ2pVZDArWkVkcDhVUWdnaGhCQkNpTTJNTWViUFJHUWhQZlByRzBRMGtKazdBSHhLUks5MmQzZi91YW1wcVNuWVp0Q2dRWlgraXJNK3FhdXJxNnlxcWpyTEdETWhHQXdCMGpOM1BNOTdPRmlXU0NTYXRkYW5NL1BqbVpsRVJQUk5admEwMWs4Q3VNZHhuRmNBWkFkampOblR0ck9Ubko3dDh5QURXbHBhbHFQbmNyYXNjbmFmSktLM0hjY3BhL2RKWms2NXJudERRMFBEUDBPaDBHUE1QSk9aYjdNc3E4ZW1CYTdyL3JXaG9lRWQyN2F2N3VycXVyeXlzaks3aTZOdDJ3WllOKzk1TmJIcnVxY3JwVjRBY0M2QVJxU1Q3czhHOEV4M2QvZnZtcHViNXdVYnhHS3hiZ0FuUnlLUlNaWmxuWTMwTzkrS21Udjg1UDNQV3BiMUIzL1gxQ3l0OWVFQWZndWdJV2NNanptTzg5TmdRVXRMeS9Kb05QcDlZOHc3bWVXVlNPY3ZlMVpyL1JxQWV4WXRXdlQ0ckZtek9wajVHQ0t5bVBsTzEzVXZWa3I5SHhHZEZBcUZ2b1AwN01yVlVsZFhWd2tnRzRSajVtZkdqaDI3ZzJWWkx3SVk3SmN0N3VycTZyRkRhSGQzTjRkQzZYQU9FZTJvbE5vYndINSsvYm1yTzU3TmtRVEZoQkJDQ0NHRUVHTFRrWFFjcDJTK28wUWlNUWZBVmY1WFdmd0FSRjl6S2RsVlZWV3ZFZEVld1VKL0I4QnpQTS83Vzc1R2p1Tk1Wa3FkQ09CQitMc1dFbEVsZ0I4QytLSFcrbnVPNDB6SjFMY3NLOXMvTTAvSjdXOURsMGdrM3Q1dHQ5MVUvLzc5aVpsM3o3MnVsUHFsUDR1c3U3S3lNdTdQbkFJemMxdGIyMEtzby9jY1VOYm5MTWgxM1VjQlBGcXlZb0MvbzJsWnU1b3FwVzRCTUM3UHBic2N4N2tJZVhic2pNVmlIelUyTnU1dldkYXpSQlNjOWJVZmdQMkdEaDNhT0d2V3JNdUlxQU1BaUdpYnVycTZiUUJzQ1FER21JNitQRSt1Y0RoOEdJQkIvdWxjMjdZSDJMYjlOZ0tiQ3pEenBkT25UMThVYk5mVjFiVWdFeFFETUpDSTNnelVud0ZSTmxrK0tZUVFRZ2doaEJEaTY1SktwVkpuTWZQaVRBRXpmd0JnWDlkMTh3WnFNbHpYZlR5VlN1MEw0TE5nT1RQZmtCdW9JYUxNN0sxbGxtWDlkeTJOZloyYU1XUEd3dHlaVHhuTXZCRHBRTTNCUkpUZG5aQ0ludmVUODYrVDk3d2hXN0ZpeFFRQVRxQm9LWURUSE1lNUFIa0NZaG54ZUh6NnlwVXJ2d25nbFp4THJ6aU9jeVVBZEhkM1A4VE03UUJPRElmRFh4TFJvY3c4bjRpZVg4TmhaNWZLTXZNVVpoNEtZRmpnK2kzQkpaOFovbExUMTNQTG1mbnpycTZ1Wjlad1RKc1ZDWW9KSVlRUVFnZ2hoUGphSkJLSlptUE04Y3pjenN3M3o1OC9QK0s2N252bHRJM0g0eTRSalRiR1hJVjBrR09LNjdxL3lxbG1BOUQrOFV2KzBydE5pbVZaMldBUE14c0FYekx6ZzhHZFF0ZkJlOTZnelp3NXM0MklqbUxtT2N3OHVhdXJxOTV4bkVubHRKMHhZOFpDeDNFT0FYQVNNN2N5ODZkRWRDTDhYVENibXBvK0J2QnRBRzh6ODNKbWZzTVljNWpydXZQWFpNekpaUEpXQUhmNWVjcWVjVjMzY1dQTVR6bnRlc2R4TGl2VXRydTcrMmcvSDkzOUFCNWc1cHNBN09Ndi94VkNDQ0dFRUt0RGE4MWE2MnZYOXppRUVFSnNXa2FOR2pXd2RLM0N4b3daTTdTMnRyYmtyb3ViS0lwR280T2kwV2cvbEZqQ3VybS81elY5L21nMFd0SFEwREM4ZE0yMXlrWWd2WlZTcW5FZDMxOElJWVFRUWdBU0ZCTkNDQ0dFRUpzSFdUNHBoQkJDQ0NHRUVFSUlJVFk3RWhRVFFnZ2hoQkJDQ0NHRUVKc2RDWW9KSVlRUVFnZ2hoQkJDaU0yT0JNV0VFRUlJSVlRUVFnZ2h4R1pIZ21KQ0NDR0VFRUlJSVRZMWhCSzdOQW9oUktoMEZTR0VFRUlJSVlRUUd5dWwxSzBBemdVQVpqN1Y4N3luQ3RVZE8zYnNEczNOemJQTDZQTWRBSFVBWUl6UjhYajhnN1UxM3JWQmEzMGtnSDhBK0JEQVRDTDZWU3dXbTdHZWg3WEIwVnBmQXVCdy8vVGZqdVA4dm93MmR4bGpQckJ0KytGWUxMWWc5N3BTNmtJQVl3QWdsVXFOU3lRUzdYMFprMUpxSEJGOUV3Q1dMVnQyZW10cmEyZndlbU5qNDRtMmJSL25uMTdqT0U1clgvclBpRWFqZzR3eGQvaW4zYTdyL3MvcTlDTTJiaElVRTBJSUlZUVFRb2lOaEZMcVBBQ1JRdGVaK1gzUDgrNElsaEZSRllEKy9tbkJud0dWVXI4Q2NKVlM2akxYZGYrM3hGRDZFVkYvQUFpRlFtV3RRRkpLL1kySVJwWlR0eEJtdnNWMTNjZkxxSG9hZ0dvQURjdzhmTkdpUlQvdXkzMjAxbE9ZZWZCcURiSUFJcHJvT003a2hvYUcva1NrMWthZmxtVzF1YTRiWDkzMnpEeVdpQTd6VDNzRnVITDVuNytmV1pZRlpoNGZpVVJHZTU2M0pGaUhpSTRFY0JnQVZGUlVYQU9nSFFCR2pSbzFzTHE2K29lZTUvMFZnQUdBU0NSeWcyVlpBM0p1OHowQXV3QkFUVTNOUXExMWQ4Nlk5d2F3UitaY2F6MDNlTjBZTTlYenZPZExQY3ZLbFN1cncrSHc2WDZmblFES0RvcHByWThGY0ZPNTlZdEpwVklYeGVQeHFabHpwVlNqTVdiZ1d1ajN3K2JtNW5scjJzK21Ub0ppUWdnaGhCQkNDTEh4T0p5SWppbHkvZDhBN2loeVBTK2wxTkZFTk1FL3ZWTXB0WDluWitkUFdscGFsbXV0cndPd20zOXR0V2ZtQUdnQTBMaWFiUUVBUkxSTjVsaHJmUlNBa3dwVVBUclFwbjNvMEtIM0RSMDZ0S3g3T0k1ektvQzlpR2lMTlJsckhvOENnR1ZaMzdBczY3VzExR2NNd081cnFhK2lHaHNieHdDNHhUOU5wbEtwSHhsalNDbDFLek8vN0huZWMvbmFSYVBSZnN4OExqTmZTVVJiS2FVYVhOZTlDQUFzeXpvUFFMSDMvTFBjQXFJZXEySi9tS2ZOY2dBbGcySnJ3aGd6eUxLc1VXdWpMOHV5YW9MblJQUVgyN2FqYTlvdkVmMFBnUHZXdEo5Tm5RVEZoQkJDQ0NHRUVHSVRFbzFHZDJUbW81azVZVmxXbkptejE1aVp0TllITS9QcFJPUTZqbk03QUxpdSs1eFM2ZzlFZEFFQUVORVBxcXFxK2dFNGtwa1BKYUo5L0M1dUIxQXFLR1pISXBGZFBNLzdzRkFGWnU0QzBGM29lbzVxSXVvMUc4MmY1WFJLR2UxM0FGQk92WXhUKzFCM3MxQmZYei9Fc3F6Sm1kbUJ4cGlMNC9INEsxcnIxd0RzQytDVWFEUTZObmM1SlROZkR1QW5BTFlNQkxQT1Ywbzk0N3J1djVqNTF3RDY1ZHp1TkNLcTg5dGZDeURFekJZQUVORnlJdm9PZ0lQOHVuOWs1aDdMZlMzTGVtTnRQYmZXZWk5bVB0MnlySXRpc1ZpNW4xZXhFWkdnbUJCQ0NDR0VFRUpzSkN6THVxaTd1L3VhVUNoMERmeFpNc2FZWTQweHJmNzE1Y2FZQTRqb2Y0a0lxVlRxTnN1eWd1MEhNUFA5Uk5TZm1RK3JxNnY3WTB0TFN4ZUFsT3U2RnlxbFBnSHdld0FMbVBtU2NzYkV6TnRwcmV1TU1Yc1MwWjRBZGllaU9WZzF1NndYSXJvaUU1QXJSU25WREQ5SDFicVNUQ1ozU2lhVFJSUDFWMVZWdlp6SmZXV01PYmFycSt0ZnhlcFhWMWQzQXVrL0kyYitUNUdxMjJhV21UTHpjcVJuZytWRlJETXp4NUZJNUVqTHNoNHVOb1pjekZ3ZE9EM1JuMzJYWll5NUxKVktQVjVSVWZFOGdNeVkvdXg1M2gvOTQ2c0J2RXBFV3h0ai9nemdCem0zdUN4d3IwVUFIa2dtazNjMU5UVjlEQUJ0YlcxM1YxWldWZ1FiVkZWVmZXR01HUWtBcVZUcWYwT2gwSk9XWlIwQUFDdFdyTml5dXJvNnpzeHYrbjMrcmJ1Nys0dGcrNWFXbHBWOWVRZEFlb2x4TkJyZExaaDNMaEtKUkpqNUJTSWFiSXlwcmEydFBiNjF0WFZaYmx0bWZyR3pzL09FWUZrNEhMNFAvdDlQWnI2MnM3TnpZczcxRjVBT0p2YkN6RjhBMkxMQVVDdUlhTHZBK1pkK2dMa1h5N0xhQ3ZRaEFpUW9KdlNIYXg0QUFDQUFTVVJCVklRUVFnZ2hoQkFiaVZnczloa0FLS1YyODJmZWZPbDUzdE1Bc3RQQnROYm5aNDZaK1MwQSt3Zk8yNUJleG5jV0VXMGREb2RQQkRBcGM5MTEzWWxhNjA5U3FkU3NlRHplYTZZWE0xTjlmWDA5RVFXWGZQMGJBSUxCTjJaT3J2SERsckJpeFlxN3FxcXFKZ1hMUXFIUW5RQ096VlJKcFZKN01QUFN2dmFkU0NSVzFOWFY5Uzlkc3p4ZFhWM2RMUzB0M1FEZ0x6ODlzRkJkUC9uOWJmNXAzSFhkZ25WelZBQVkxSmR4NVN4RjdOWGVzcXdxSW5vQXdGNkI0bU9WVWlmNXM4YXlBUzBpT2w1cmZWeXdQYWVuS2Y2WG1lOWR1WExsTTlYVjFSTXFLeXV6TjYycHFYa1FlWlpBWnNabFdkYlZ3ZkorL2ZvdHlCbjMxYlp0OTJnYmlVUU9XcjU4K2JTYW1wcGlDZjcvMDlIUjBXUDJJRE5mQU9BQ0FOQmFOekR6VkNJYTdOL3YwQUVEQnB5SVBNc1JpU2pWMHRLeVBGaW10UTUrL3J0eXJ5dWxVam52UHN0MTNhUHpYZ0FRalVaM1krYjNNK2ZHbUNNOHovTUsxUmVsU1ZCTUNDR0VFRUlJSVRZaTBXaDBXMk5NUFFBdzgvTUlCTVQ4c3QwelAzQ0hRcUczbUhuLzRQVlVLblZ2S0JRNnk2OTdIdnlnV0RRYTNkVVlNOEp4bkNjRDkrb1huRTFFUlArcXFLaklYZTZXejljZUZKczVjMlliZ094c21FZ2tjaUF6ZnovejdNejgxKzd1N2svTDZhdTZ1dHJFWXJFVm1mT0dob2J0UTZGUXlWMDRNeXpMZWpJY0RoZThYbFZWOVJjQVo1ZlpYVFl3UlVSTGlsVmNGNGpvZGZUTTBiWjFrZXAvWU9aUE1uOEd4cGhvUEI1M0FVQXBWVWRFbHhwakx0RmEzK0U0enFYTS9IbHd0cHR2U3dUeWpESHpIQ0xLRitEYWxabm5FVkdQZ0JNenIvQm4rZGw1Mm1UcTlMckd6S2ZYMXRaZVZWTlRVOGZNenhQUmtNRGxTejNQeTV1Zmk1bnR1cnE2M00wQ2dyR1d5dHpyUkZSd2JHTGRrcUNZRUVJSUlZUVFRbXhFbVBuNFFJNnQvMFFpa2V3dWlaN25MU09pVEpMdXViRlk3RE90ZFkvMmlVVGliYVZVQ3hIVkVkRSswV2gwdCs3dTd1WEdtSDhEMkNFU2lkemtlZDYxU3FsZk1mTlY2UGx6WTc2QW1Ndk1id0NZVGtSLzhzdldhZjZsYURTNnBUSG1JUXBNdnlHaUM4TGg4QVhsdERmR3pBT3dUY21LNndBemJ4dDRqTEtEWXA3blBWdFhWMWR5MTBMTHN2cFhWRlQ4Tjg5T29IL3Y2T2pvRWJqemwzenVhSXo1TmhFdEFyQ1FtUmNSVWVhL2k1aDVJWUJ2RWRFdm1Qbm5DR3grWUZsV01GSzRQd0FRRWZsTEtlRzY3amdBNDZMUjZMYk12RGN6L3lpemtRUXp2d2ZndDUyZG5TOVdWbGFHaUtqQ3NxeHFZOHd4QU00am9oQ0FMbVBNYVo3bnZSc2NkMjF0YlJXQWhjRXlacll6TTcrUUoyaExSQU5xYW1yKzZBZFcrL3R0RERPZld5Z2c1cmM3UEJ3T0YxeXFTRVFUd3VId2hFTFh4Zm9sUVRFaGhCQkNDQ0dFMkxpY21Ua2dvcjhGbDJFMU5qYnVDV0FnQUdUeUxoWHdCSUE2QURER25HN2I5blpFdEpQZjU5VktxVDJaK1dVLzhCRFU1Z2ZBOWlDaW9YNzlIem1PTTJPMzNYYmJvbCsvZnBtZ1dONDhSMStIYURSYVlZeDVsSWlHZjAyM1dNYk0vOHhUZmxEbUhRQjRuWm5uQlM4UzBmYm91ZXd3RTd3YlVleG1SSlRObjhiTVZVcXBVcnRMZHJ1dUd3ZlFheGxmUGtxcGUvTUV4QUFnV2FEOVIxcnJpUUJxL2ZGbHhsa0RvSWFJUmpCek56TmY0YnJ1bzVGSVJBWHEvRXRyM2VRSHBMSTdqeEpSajkwaGpUR1BFTkdCd2M4eUVlME80TEhnRER4bXp0NmZtZU5FOUp3eHBrZE9NUUJvYlczdFJFNWVMcVhVYVFEKzVwKytrL2ZsQUtjRStsL096Q2NWMmxWVGJCb2tLQ2FFRUdLek1uelhNYlVodTJMcytoN0hoaTZaNHQxR2pJeDhmMzJQWTBQVVJlYjlMMlltY3BkNkNDSEVPcUcxM2crQUtuVGR0dTFnL3FsOGdSd0FBQkU5RHVDWEFCWUFXTkxaMlhsdE9CeE9JYjFUSUlqb1FHWit5Vis2TmhDcmx2Ujl4M1hkdC96azkwT0RmWVpDb1ZDZy84NCtQdHJxSW4vamdFTnl5cWN3OC9RU2JYY2tvcE5MM1lDWlo2ZFNxZE50Mi82eFpWbjNaWFloMUZxL0JXQlB2OXFOUkxRamdQY2R4M2tOQUpSU1B5Q2l4NEo5cFZLcDcxdVdkVzlaVDRiMExxRG9uYncrMTBJVVRzemVnOWI2VXZnenVaalpBSmlSMmVteEdHWSttNGlPTHpKT01QTy9BZnd0bVV6K29iS3k4bHlrUHpQOUFPeVprejlyaXVNNHVac0hUQVl3a0prL0I3Q0FpSmI1dTR0K0N6MW5KMzVtakhuVUdQTlFLQlFhQXVBZnRtMDNqQmt6NXZUcDA2Y3ZLdkVZUHdvOHo5UVNkVDhqb3UrNXJwc29VUS9NdkNUUEV0QmRzZXJQWkRhQTNNQmRIZnpnZFVZa0V2bVpaVmwzbHJoWGozUExzdDdMblFtYVk3bmpPSU9MVmRqY1NWQk1DQ0hFWm1QRWlNZ0lxdUFuR1Z5N3ZzZXlJVnZaYlpMZEtUNE9GaVFvbGtjbDZNdmh1MFFPbS9PeDF5c0J0UkJDckFQWEJVK1krYWRFdEErQVUvM3o3d1ptdXJ4WXFCUEhjWnFVVXNkMGRuYSs2TzgrQ1FCbmFxMC9ZdVpmTS9NWm51YzlET0FXcGRUci9qMktDb1ZDMmR4anpGeHFCOERqdGRabC9Ydk16TnNXdUdRcnBlNEJjRXFlYTM5M1hYZFNudktzU0NSeVlEbEJNUUN3YmZzT0lqckxHUFB6U0NSeXNlZDVQV1k2TWZPM2lPZ3FBTGJXK3JGeWQrNWNsN1RXNXpMenJZRUExWFVBZG9JL1k3QmN6TndqdjFkbXFXRkdjM1B6N0dnME9wcVp6d0ZRNitla1l5SnFBL0RXc21YTEhzenRjL0hpeGZjT0dUSmtHalB2UVVRSE0vT3hnWnhlTTVuNVNXYWVIRmdtYVNtbGZrOUUyd0E0cXFxcXltdG9hRGdoa1VpOG5XL01kWFYxMnhEUm9mNzRsM2QxZGIySlFGQ1htYnVJYURiU3dTd1lZMDczUEs5a1FNeC8vamNjeCtteGE2ZldlaEw4enlVei85RjEzWnVEMTVWU3J4TFJBY0V5SzcxVFJWOXpqUld0ejh3Uzh5bEJYcEFRUW9qTlI4aHN3MFJiMnBZVkhyYlZNUFRyVjEyNmpSQytsU3M3OE5YOHI1Qk1tU0doU213UFFJSmlRb2gxS2hLSmpBQndjTERNc3F6SG1Ua01QeWdHSUxNc2JxYm5lYk1LZEdVcHBaNGpvaG1wVk9vVkJKWTZPbzV6WXpRYWZTSVdpODNvNi9pSWFOdkFjY0VjUzc1OS9hOXkrczFicnJYK05RSkxTWU9ZK1Q2bDFKOUw5RnR1QUdKTCtEdGFFbEV0RVQybnRYNE1QUlBpSDRWVkFZb1RpT2d3WnY1WGJrZVdaUzBxTm9PTmlMWkE3OXhtQzVsNWJwRTJpMHM5Z0ZMcUlnQjNCQUttLzNSZDkwWS9xTmdubG1XTmlNVmlDL3pUa05hNlIvNDRwZFRlcVZScWF3RHhycTZ1bXdKQlYreTIyMjViK0VzYmcvVnZKcUlyL0dmSnZkMlhBQmI3Ny9lSFNxa0JSRFFBUU80M2NUdll0djFmcmZXRmp1UDBlcVp3T0R3ZXErSWZMN2EwdEhUVjFmV0lCYkl4NW5yTHNoN3d4M0ZiWFYzZG5zR3hpMDJUQk1XRUVFSnNkcXJEMVRqdmYzNkMzVlZrZlE5RmJFUVN6ZFB4dTl2dXhPSWxTOWYzVUlRUW15blA4MllwcGQ0bm90R0Y2aXhldkhqWG9VT0hIZ3FnNEpLcFNDUnlFeEVkRHVEdy92MzdIeDZOUmhzeVN3SWJHeHRITXZOcFNxbDdYTmN0YStmR1ZDcDFtRkxxY1NMYUlWRDhXWm1QdFNheVNlaVorVC8rcktGUkFFQkVWUUNxMXRKOUZsaVdkU0F6L3g3QUdmNzlHb21vSTFEbkttTk1GUkg5a1lpMkExQURvTmR5UHNkeEppTzlWREF2cmZVL0FKd1FMR1BtWlcxdGJkSGNZRktaTEtYVXRVVDBxMEIvSHlJOWk4bXNSbjh3eHN4U3F1QUtYaERSdFVSMEdBQlVWMWR2QldDQjFub3ZaaDVQUkVkcXJjOXhIT2YrUVAxWEFGeVIydzh6TC9lRFpFTUF0Q1A5UHR1WmVZVi92dEkvWG1GWjFtbis4dFhmTkRZMlBoZVB4ei9QOU5QUTBEQ2NtYzhMQkFSdnp6ZHV6L01tYWEydkJEQ0tpQ0xoY1BoL0FaeGI0REVyQXVQY1d5bjFhczdZUndjQ2ZPY29wUTdQZVVlOXZna2xvb2VLemU0RWdGUXF0WXR0Mnk4RmlvNEc4SDZoK3Nsa2NyWCtqRGNuRWhRVFFnaXgyYkZzQ3p2dE1CeDFvMGV0NzZHSWpjaXl0amFFYlBuV1NRaXgzajBGWURzRVppa0Z6Wm8xS3pscjFxd3BSZHBmYUZuVy9rQTZweFFSWFo0SmlBR0FaVmxIQWJnS3dKVktxU2RjMXoyaFVFY1p6Qndqb29rQUxQK2NpYWhYNEtlN3UvdDdsWldWMlVCVk1wa01oMEtoanR4NkdjYVlBUURhTGN2S0psSWlvdm1CKzc3dEJ4NmVXcng0OGNsRGh3NTlQZEQ4Zm1ZdWxFdzkwMzZrWlZtWGxubytBUEJuUnYwa0VvazhUa1QzRU5IcEFIb0VWenpQZXpvYWpiNXFqTG1GaUxvQXZBTGc3SHo5NWRQWTJEZ1Mvb3cwZjN5ZFJGUkZSRHNQSERqd0VnQy9MYmN2SUQwcnExKy9mZzhET0N4UVBOdXlyRU5qc2RqOFF1MUt5VjB1V1F3ei8xQnJmUm9DZWNXWStiNUlKUEtCNTNsdkFNQ3laY3RlcmFtcHVkQVlNNGVJNWpIekF0dTJGeHRqa3JrNXRBb3h4anhPUlBjRE9DTVlFQU9BVUNoMEoxWUZTTi9PM0RlUEZJQmZBSGpXUHo4bkVvbk04anp2cHR5S2xtVmxQOGYrWmdzSDVOWUpYTjhad002bG5pRVdpeTBGVVBRM2I5Rm9OQlI4SjhhWTJaN250WmJxV3hRbTM5a0pJWVFRUWdnaHhFYkNHUE9BYmRzVlNQL3dYcGIyOXZZcnE2cXFiZzZGUWhPSktCamt1dHB4bkdlRGRUTXpmSWlJbUhsWk9mMkhRcUVGelB3dU0zOER3QXhtdnRkMTNiZHk2elUzTjgvT0hFY2lrV05zMjc2Ym1VOTFYYmZYTXNPNnVycHR3dUh3WkdhZTNkM2RmV3BUVTFPdkpZS3BWQ29XQ29YdWNSem5ad0JTUTRmMnlQdi9jams1eFFDVUZSVHo2eC9wZWQ1enRiVzF1N1MydG5ibUpqaFhTdjNaR1BORlcxdmJCYTJ0clYxS3FZS0o2Zk1JK1V2M1FnREF6TzhTMGRNQWJnRFNPNEpxclo5eEhLZmdyS0Njc1g3THNxeEhBV1JuN3pIelY4YVlRK1B4K0JyTjRrdWxVdnN4OHhJQXNHM2JKaUt2U1BVLzVKeFBZZVpmZXA2WGJkUGEydHFwbERySnNxeDlnR3pTZnFSVGJQWEpkeDNIaVFjTHROYm5JaEJvQlBDN1loMDRqak5GS2ZVUUVaMEdBSlpsL1VZcHhiazV3Wmk1cXRDeVhyRnhrYUNZRUVJSUlZUVFRbXdrNHZINEI1RklwTE12QVlOd09GeGpXZFlrQkdhek1QTmZjMy9RSHpGaVJCakEvb0dpSHNua2kzRWNaeThBR0Q1OGVQVldXMjMxdU5aNm9lTTR6eUhQRWoybDFORUEva0ZFbFFCZWpFUWk0enpQdXlOemZjeVlNVU9ycXFwZUI3QXJFZFZYVkZTOHA1UTZ6blhkSGdHUFJDTFJqZ0xMMjlaeVRqRkVJcEVyL1FESlB5M0xPaHM1eTBPRHV6UFcxTlQ4cUxHeDhjZmw5bzMwaGdGL0k2SzlBMlZYRWRHYnpId0Iwam5HQmpMelZLWFV2c1dXdFVZaWtjRkU5QnVrMzB2d1EvS3haVmxIdXE3N1FSL0dsUmNSQldjcGxueUhuSjdhTk1VWWMwTThIbmNBSkVzMCtYdXdEalB2UzBRNytjZlBFdEd5d0xVSUVZM0oxMGtrRXRrSHdNUkEzZWRkMXkyNGREVWptVXhlSEFxRkR2R1h3WUtJYnRKYWIrTTR6aThDNDlvdTBPL2RsbVZkRSt6REdQTW5mK2RRTVBQMXVidEtHbU9lOW5mV0ZPdFpuME92UWdnaGhQajZKSk5KM0hycnJaZzFxMUJ1NUhYbmxWZGV3VDc3N0lOOTl0a0hFeWRPTEZwMzd0eUMrWDk3bURoeFlyYlBwNTU2YW0wTVV3Z2hObXZHbUZuTVhHaFpIU21senJOdHV5VzQweDB6MytxNmJxOWxmVU9IRGowQVFOaXYwN1ZpeFlxcGZSM1BzR0hEUmhEUkVRQ2VVVXJGY3E5SElwRXppT2dKUHlBR3BJTm1QZjdSbXo1OStpSm12cGRYclJQYmhZaW1SU0tSZkx0TTV1VXZPK3hmN0N2enJHWFlNaFAwSUtKdk0zT3oxdnFjbkRwZk1YTW1oOWdvMjdiZkFKQmJwNWRvTkRwSUtmVnN6aTZZRDdpdSs2OVlMTGFDbWJQQkZpSWFEdUNmalkyTmVZTkFTcW1UaVdnR0VmMlVpTEkvNnpQek5HYmVhM1UyVDhqSHNxd3B0bTIvWnR2MmEwVDBhb25xanhGUnhIWGRvK1B4K0R0S3FWYWwxSjFhNjRaQ0RaajVRV1BNZlprdkl2bzRjUG54NERVQWVYZUkxRnJ2WlZuV0N3RDYrWDB1QWZBLzVUeGZVMVBUWWlJNk9tZVh6WXVWVXYveEE4Y0FNQ0p6Z1lnK2pzVmlDNEpmUkJUTS83WWk5enFBSHBzVGxDdVZTdlg0ekJKUmVldExSVUV5VTB3SUlZVFlnTng0NDQxNDVwbG44TVFUVCtEU1N5L0ZDU2VjZ0ljZWVnaHZ2NTEzaC9HU2pqMzJXQnh5eUNGNDk5MTNNWFZxNFo5dGJOdkcrUEhqZTVTbFVpbDBkS1JUdlhSM0YvN2U3YTIzM3NJbGwxeUNJNDg4RXBkZGRobkM0Y0kvWTNSM2QyZjdUQ1pML2FKWUNDRkVLWVh5TzBVaWtTTXR5L28xZ093YVB6L0k5QXZYZGZQK3BvT1p2eDlZRXZhZm1UTm50dm4zNEVBZDhzdCt3Y3lEQWFDOXZmM3p3UFhHUUIvQnZGV1dVdW9HSXJveVVMZUxpRTd5UE8vcDNMRzRydnRicmZYbkFQNktkRkx6YXN1eUppbWxkblpkOTRaQzd5UFE5MStZdWRjU3ppRExza2FodkdXb0M1TEo1S0doVU9oQnBOL25RR2IrTllDMnpMTVMwVFBNZkFPQWh3QWN6TXdkQUY0RDhPMUNuVFkyTm42SG1lL0wyYURBVFNhVEYyUlBYUGN2U3FuOS9CeG1JS0p2V0pZVlUwcGQ2N3J1TFVqbndRSUFBbkE4RVcyZGM1dUhGeTllZlBhc1diTUs1VzRMN3VKWWJvRGxTMmJPemdBa291MExWU1NpbjJWMnFxeXZyeC9pei9pNmtKazFDdXcrU2tUUEYxcWFTRVFQbHJOc2tabC9SRVFEQStmbmU1NzNSYkJPT0J3ZVVxaTk0emd4cmZYSkFKN0VxdGx3WHdiZTQ5aEEzN056MjVlaHNsU0ZhRFJhRWN6M0I0QXN5K29SR1BZM0doQnJRSUppUWdnaHhBWmkrZkxsK1BUVDlJcUl6czVPM0h6enpYam5uWGVRU3FVd2JkcTAxZXB6anozMkFBQjgrT0dIbUR5NThJb0J5N0o2QmNYS01YLytmSXdiTnc3ZDNkMTQ2cW1uME5UVWhGdHZ2UlU3N0xBRHBrNmRpbGRlZVFVQWNQamhoK09BQXdybW9CVkNDTEdhbVBsNkFDdUE5T3dvcmZWSnpId2hFZTJSVS9WTElqckhjWnhDU2ZndEJISXZFZEV6Z1dzTEFzZEhSNlBSbHBVclYyYVQydHUyamJxNnVnSGhjSGdIWnI0b01MWlhnR3grc0FjUVNQak96TXNCSE9zNFRxOThZaG1PNDB5S1JDTHppR2d5RVEzd3gzVzlVbW9uMTNWL2lpTEw4SWpvMVZJNXhaUlNQdzhFdFlvR2hCS0pSSE5kWGQzZTRYQjRJb0R6akRFbjI3WjlFNERhVEIzWGRiOEE4RzJsMUFSbVRsaVc5WTNBZUxKQkpLVlVIUkhkQ09EN3dYc3c4L3VkbloxSHRMUzBCR2Nvb2EydDdkeUJBd2VPenZ5WitqdHIzcXlVT291STdtWG1CMXpYblo5S3BVNFBoVUlqQWRRejh4Sm12c0R6dkllRDkwVjY1dFFLWnU1R2VyYlRkd1AzYnl2MkRnTFAwdUE0emdJZ3UxeXpSNzQzZndPSHpPa2crSitmaW9xSzRKYVZUVVZ1c1Q4enJ3emM3MFlBMy9INy9nR0E0UExSQ3pJQnc2RE96czdmaE1QaHM1RU8rbDNoZWQ0alNxa0RBT3dFWUFrUmRUTHp6d0xqN0JWY2Noem5XYTMxaVFBbUFhQlVLblVKQUNpbGRpS2lrWUdxOGR5MnViVFd0UURRMGRHeHZLcXFhZ3dSWmQ5RjhMTVJaSXo1bzliNkRHWnVJNkxsek53ZlFEWnhIak4zTFYrK2ZGM3M4cnBKazZDWUVFSUlzWUVZTUdBQTdybm5IdHgyMjIxNDlORkhBUUR2dnZzdWR0MTExM1UyaG9jZWVnaTc3TElMUm80YzJldmF4eDkvakdlZmZSWUxGaXpBOWRkZkR3RFlhcXV0Y1BYVlYyUENoQWxJSnBQNDZLT1BjT2FaWitLcHA1N0NoeDkrbUoyZE5uTGt5TEtDWXA5Ly9qbUdEUnVHaW9xS2tuV0ZFRUlBbG1YZEdZdkZGdFRYMSs4U0NvWGVJcUt0OHN5a21kVGQzWDFSdm1UMUdVcXBmWU96akhLQ1luSDRBUndpR3MvTTR3dk5DZzdzTUdpTU1ZK09HREVpWEZWVk5RMkI1V2JNUENlVlNoMlRTQ1NjVXMvbmVkNC9JNUhJWVVUMFBQd2RONG5vN0VnazhvN25lZmVXYWgra3RXNENzSVUvUTQyWU9aaUVmbUdwOWkwdExWMEFMb2hHbzMrSXgrTXpjaFB0angwN2R1dkt5c3FubUxtRGlBNW01cjF5WjgzNStkU2VRbnBtVjlCcksxZXVQSGJHakJtOXh0SGEydHJwdjRPL3d3OE9BZWxaWXdCKzUrY3kyeWVSU0xScnJZOEQ4UHZ1N3U2TGdoc2IrUFZQQUhDZGY5enIrWmo1NDE2RkJXaXRid2ZRajVuckF2MHY4Lzg3SjlEblBVcXBwNGtvek13L0RnUWhDKzBBQ1FBL3g2b1pjR0RtdWtDN2M0TEJPeUlhMjdzNTBOTFNNbGNwOVNBUnpYTWNKNU5jdjRHSTdneTBEVGJKdTRPajR6aVRHeG9hRGdxRlF2c25Fb2s1ZnJ0VEExV1d1YTQ3czhpelpGd0E0T0o4ZjIrTU1ZVnlVUHdYd05sRU5BVEFrTncvTXlKNnJMVzF0VE52UzFFMkNZb0pJWVFRRzVCUUtJVExMcnNNTysyMEV5Wk9uSWpmL2U1M2VPNjU1NURacE9uNjY2L0hnUWNlV0xTUDIyNjdyZGVzc0NPT09BSjc3TEVIcGsyYmh0dHZUKzhnZithWlorS3d3OUsvdENjaXpKMDdOM3R0MUtoUk9QUE1NM3YwOFp2Zi9BYXU2d0lBVGp2dHRHemc3SWdqanNDd1ljTXdidHc0ckZpeEFsZGVlU1g2OXkrOVczdDdlenZlZnZ0dE5EYzNvNm1wQ1UxTlRWaXlaQWxlZXVrbGJMbmxsaVhiQ3lIRTVzcTI3ZnVOTWE4Q0FCRXRCWUNtcHFhUEk1SEkvVVIwZWFDcXc4elh1Szc3UXFrK2llaTR3S2tiaThXeU0xQTZPenZ2ckt5cy9ERVI3VnpPK0ppWmllaVhpVVRpRXdBWU5HalF1Ylp0VHdGUXdjeHZkSFoyL3FDbHBhVzhaSlFBUE05N3M2R2g0ZUJRS0RRVjZhRFdyWDBOaVBuamVvdUl6ZzRFV0lLWFh5eTNuMEs1dVpxYm0rY3BwWFlsb3ExeTdzdkdtS2NCd0hYZFo3VFc5OEhQYitYUHFwcElSRmZObURHallLNEN6L09XQURoQ2EzMHJnSXNEbCtZbWs4a2Z3QThpT1k3VGlwNjdMUWE5REQ4b2xzZEtadjYvUXZmUHhjekRpZWo0NERzMHhyenJIMDdHcXZ4ZEJ4UFJ3VUNQOXoxMzJiSmx3YUJycnUvbkM5cjV2bFBPOGtrQTZPenN2S3lscFdWNVlIeXYyM2IrZlFHWStZNjhGd0FrRW9tM0FXVHlXQkF6bnhFWXc3TUlCUENLZUFFOS85d3lQbHUrZkhtdjNIdittRjRyOUt6TS9PK3VycTZMOGw0VWZTSkJNU0dFRUdJRGRPS0pKK0xBQXcvRXNHSEQ4Tnh6ejJYTEt5c3IwYTlmdjZKdFE2SGUvN3dQSGp3WWd3Y1A3cEhjL3Nnamo4U0lFZGxmM09PMTExN0xIdGZYMS9mcTQ3ampqc3NHeFI1OTlGSDg2bGUveWw3YmZmZmQ4Y0FERDJER2pCazQrT0NEODQ1cjd0eTUrUExMTDdQbmQ5NTVaOTU2K2NZdmhCQmlsVmdzOWhHQWozTExiZHUraHBrUFJYb3AySTJPNDVRZDZESEdYQWZBc3l6ckI4ejhldkRhOU9uVEY5WFYxVFdFdytFVG1Qa2JLSjRQYVFFei85dDEzVXlBQlBGNGZLcFM2blFBZGE3clhvZnlnZ2c5SkJJSnA3R3g4UURMc281eVhiZlF4Z0tsdkFnZ3VNRkFONEM1elB5VVpWbS9LdENtVDRqSWdiOU1sSm5iaWVnRFk4ek44WGo4blV3ZHgzRitxclhlaVptSE1mUDVydXUrV1diM0tjZHhMb2xFSWc5Ymx2VmJBUHNhWTQ3UHpHQXFKWmxNT3JadG0vUXdLUVdneTA4bS96NHpYeHVQeHo4djBVVVdNNzlJUkVjaXZWSENVZ0F2MmJaOWgvOThMMnF0ejJUbWNRQnEvZVdlQU5BR1lGb3ltUnpYMnRxNkxIL1BRRmRYMXpiR21QWkMxNE9xcXFvbUVOSFA4MTBMQnNRQUlCNlBKN1RXYlVndkllMEVzSlNaUHdCd3QrZDU1UVlFZWVYS2xYdFZWMWZmU0VSbkcyUCtWRTZqUllzVy9XZklrQ0ZMaUNnTW9KT1pseERSMndDdUxqVGJ5L084V1pGSTVEdEFlb21sTWNZUVVaZHQyN01keDVGbGsydEplU0ZXSVlRUVloTXdvclpoTDFUUWt6VURCMjV6NXkwMzQ0RDk5bG5mUStybG80OCt3cE5QUG9rTExyZ2dtN0QrZ3c4K3dMeDU4d0FBbzBlUExqbUw2cU9QUHNJWFg2Unp5ZTY4ODg0WVBueDQ5dHJ4eHgrUFdiTm1ZZmp3NFhqNjZaNTVqZSs1NXg3Y2ZmZmRBSUFKRXlZZ0hBN2ppaXV1QUpBTzBsMXl5U1U0N0xERDBOYldobkE0akpkZWVna0RCZ3hBUjBjSFhuNzVaUnh4eEJIWnZsS3BGRzY1NVJiODR4Ly9BQUNFdytGc2d2MVNYbjMxVlF3Y09MQjB4WFhzclhmZXcwWGp4bVArd29WTHdEaDIxZ3l2MUk1YlFnaXh6a1dqMFg2eFdFeVNiK2RISTBhTXFPclhyNTlwYVdsSkloM1FXYXVHRHg5ZTNiOS8vOUNBQVFNNmNwS2s5K0QvT1hXc3lSZ2FHaHAyenN6R0UrdWV2UDlOZy93cVZnZ2hoTmhBZEhSMDRJb3Jyc0FubjN5Q2FkT200WVliYnNEbzBhTXhjdVJJakJ3NUVwOSsraW1PT3Vxb2t2M2NkTk5OT09pZ2czcVZ0N2EyWXRhczlLNzNlK3l4QjlyYVZ1WFRyYTZ1Um5OemMvWjg3Tml4YUczdG1WNmpxcW9LaHg5K09CNTc3REYwZEhUZ3hSZGZ4REhISElQTExyc01iNzc1SnFaT25Zb0pFeVpnK3ZUcHVQenl5N0Z5WlRaSGJ0NkEyRGJiYklQZGQ5OGRZOGFNd1VNUFBaUU41TWxNTVNHRVdIMFNFQ3VLaSt6Q3VGYk1tVE5uWmVsYWErZlBTUUl5NjVlOC8wMkR0YjRISUlRUVFvaTBhZE9tNFpOUDB0OWZ6Wm8xQzJlY2NRYisrdGUvSXBWS3J6SmhablIzZDVmOHl0VFBGWndaTm5ueVpCeDQ0SUhacjNmZmZSZnhlSHJ6cEVHREJtR25uWGJLMjhjaGh4eVNQWjR5WlFwZWVPRUZ2UGxtZXRYSGE2KzlobE5QUFJYdDdlMDlBbUpBT3RCVlgxK1BYWGJaSlZ2Mms1LzhCQk1tVE1DSko1Nkk2dXBWTzhKTGtuMGhoQkJDQ0xFdVNGQk1DQ0dFMkVBY2ROQkJ1UDMyMnpGZ3dBQUFRREtaeEJOUFBJSGx5NWYzcWhzT2h6RjY5T2pzVjZubGhpdFdyTUF6enhUT2FmdkJCeDlrNzdQbm5udm0zWlVLQUxUV0dEeDRNQ29xS3JEOTl0dmppQ09Pd1BqeDQ3T3p1Nzc0NGd0ODhNRUgyR0dISGJEVlZxdnlESjkzM25sNDRJRUhzUHZ1dStmdE54aklrNWxpUWdnaGhCQmlYWkNnbUJCQ0NMRUIyVysvL2ZEd3d3OWo1TWlSQ0lmRG1EaHhJZ1lOR3RTcjNzNDc3NHhKa3labHYvYmVlKytpL1Q3ODhNTTlnbXNublhRU3pqLy8vT3o1RzIrczJobTlXRitXWmVHbW0yN0NpeSsraUJ0dnZCR2hVQWdubkhBQ2JyLzlkb1REWVJ4MzNIRTQvL3p6OGRSVFQrRjczL3RlMmMrZFdWNlpiNnR5SVlRUVFnZ2h2Zzd5cTFnaGhCQmlBek44K0hEY2YvLzltRGx6SmthTkdyVlcrZ3p1T2drQVNpbnNzTU1PdU91dXV3QUFuMzc2YWZiYXQ3NzFyWUw5M0h2dnZVZ2tFaGcvZmp3R0R4NmNMZDk3NzczeHlDT1BZTWNkZCt6ejJGS3BGQll2WGd3QUpYZldGRUlJSVlRUVltMlJvSmdRUWdpeEFYSWNCL1gxOVQzS3Vyc0xibUpWMGo3LzM5NjlSa2RWbm5zQS96OTdMa2xvUUlKUzVZaUNpcUloeEhsM3FCZUlLSW8zV3FwZEttclZnNjIxZFpWYVJkdEtiVzJWMm5yVTRyS0tyVVZSYVcwNWVDbGVqbFZhcXlnZ1ZzM2VrMG1JMkZLbEpWZ3RjakhrTWlFeit6a2ZzbWZjbWN3a0V3cVZsdjl2TGRiYSs3M3YrVExobVhjLzc2UkplUHp4eHd2V3o1MDdGK1hsNVhqdHRkY0tubTY1WXNVS0xGaXdBS3FLR1RObVlQSGl4ZG5jWTZxS0pVdVdZTnEwYWFpcXFpcHFUUzB0TFpneFl3YTJiZHVHenM3dTA4Z1BPT0NBQVQ0WkVSSHQ3WXd4MTRySWVmN3QxWTdqdlBveExDTnMyL2FFajJOdVk4d3RBRVlBZ0dWWlA2aXJxL3ZMcmh5L3BxWm1IOC96N2hlUlpnRHJITWY1R2Y2SlV6T05NY05GNU9uTXZhcE9kMTEzMDY1WUs5RkFNU2hHUkVTMGgwbWxVcmp1dXV1UVRxY3hkZXBVZk90YjMwSjVlVG0yYmR1V2JST05SdnNkcDdtNUdTTkhqZ1RRbmE5czJiSmxlZk9UWll3Yk53N2p4bzNMVzlmWTJJZ25ubmdDcWdvQU9QLzg4M3NrNDErN2RpMldMRm1DSlV1V1lOU29VVmkwYUZHLzZ4c3laQWhFQkpzM2I4NldCUlA1RXhIUjNza1lVNm1xdmI3bzB1bDBTME5Edzl1NTVTSnlDSUJqL2R1aHVmVkJ0bTBmbDA2bmQ4bi9nK3ZyNjE5QmQzRElNc2I4VWxWbjJMWTl4M0djMjQweHh3TzRibWZIVnRWbjR2SDRmY1cwRlpIUGVEMVpRUUFBRloxSlJFRlVBUmpyOTdzWFFGRkJNZHUyZjZPcXcvTFZlWjczcmZyNit0ZjhNYjhySXVmNjE0dGlzZGl2OHZXSngrTWZBdEQrNWsybjB5WGhjUGpZNEgweDZ5WGFIUmdVSXlJaTJzTWtFZ20wdDNlZjFMNXExYXJzSzRXYk5uMzBJMnErUEdPNXZ2U2xMMkhFaUJHNDZhYWJVRk5UZzFtelp1SFdXMjh0ZWgyVEowL0dzbVhMOFBUVFQrT2VlKzdKQnNRbVRweUlLNis4c2tmYjFhdFhaNjlUcVZTL2lmOHpKazZjaUkwYk4rTEFBdzlFYlcwdExyNzQ0cUxYUjBSRS83RithMWxXcjJPUUxjdGFab3hwRnBITCt1ajdyRzNiUFFwVTlWYlhkZWY0dDgrRlFxSCt2MFNMVUZsWk9iaXBxYW5WR1BNWkVibkFMNzdOR0hNRWdEK0l5Rms3TzdhL0sydTNVdFdKSXJKL3ZycFFLRFFNQUdLeDJFUUFzd1BybWlraU0vUDFpY1ZpRmZGNGZGdStPdHUyWjN1ZXR6UWVqNjh2dEI3YnRxZDNkWFd0YjJob2FCalFneEQ5RTVob240aUlhQSt6WXNXSzdQVUpKNXdBeStyK3V2N2pILytZTFEvdTBpcWtzN01UaVVRQ216ZHZSalFhTGFwUGtLcGk0Y0tGbUQ5L2ZqWWdObmJzV054eXl5M1pOV1VFZzJLVEprMHFlbzZycnJvS0sxZXV4SklsUy9EaGh4L2l5U2VmekFZRWlZaUljb25JRmxYZG1QT3ZMZERrZ3p6MUgrN09OYm11KzVTcWZpT3d4cE1CRE8rank3K1VNV2E0TWViWGxaV1ZlWE1VcU9vV0FIOVUxZXl2YitsMGVrdDFkZlZJRVhrRVFHaG41NjZwcVJsazIvWWpBTzZ3TE91bDhlUEhIMXBnamFlbzZtT1JTS1RPR1BPajBhTkg4K1FkK3BmZ1RqRWlJcUk5ek1zdnY1eTlQdkhFRXdGMG44NFlMRGZHOUR0T1IwY0hBS0M4dkx4WDNRMDMzQUFSS2RqM2pUZmV3TTAzMzR3Tkd6Wmt5eVpNbUlCNTgrYjFHcSt0clEySlJDSjdQM255NUg3WGxzL3k1Y3V4ZE9sUzNIbm5uWGowMFVlWlg0eUlpRnhWWFFEZ1NoR3BCQURIY2VaVVZsYk9EVFlxTFMyZEIrRExBT0I1M3VVN2R1eDRQbGpmMU5RVXpCMndVbFY3ZnpGMkt4T1JZM0xhcGdzdHJxV2xKVnZudXU0ODI3WmJWZlVibG1XZDRqak94c3JLeWdlRDdVdEtTcGFLeUZRQWYwc21rK01DOTV1VHllVG9uT0YzRkpxM0gwY0R5T1kxaThWaVEwVmtHUUJUVWxJeTBSZ3p6WFhkcHB3K0x6cU9jNjV0MjZzQkRQZURZeHREb2RBeUVUblFiL04zQU44QkVFeHdlaktBTC9qWDc3VzJ0bllFQnpYR2pGTFZwUUF5ZjdRY0hBNkhGNmJUNlV1QzdWUTFLaUlMQUVRQlFFUytYVkZSY1U1RlJjWGxydXUrREtMZGlFRXhJaUtpUGNpR0RSdXdmbjMzbXdXUlNBVEhIdHVkY21QKy9QbG9hV2tCQUF3ZVBCakhIWGRjbitNa2s4bHNZdjdnS1pFWk8zYmsvMXQ3M2JwMXVQZmVlL0hpaXkvMktKODZkU3B1dnZsbVJDS1JYbjFXclZxRlZDb0ZBQ2dySzhPRUNSTUFvRWZRTGJQVDdMT2YvU3hpc1JnQTlNaGY5c0VISDJSUG9FeW4wd1dUL1JNUjBkNURWZDkyWGZkZTI3YlBCbEFKQU5YVjFaWGhjTGpnNjNXV1pTMHRMZTIxeVNqN2hlUTR6bWNLOVkzRllqRVJjUU50cHdCSUZidGV4M0YrUG1iTW1JZldyVnZYQ2ZRS3hzRzI3YlQvWE5yVTFOU2F1Yy9YTnNNWXMxSkVDbjdwTzQ2VCszLzZyd0g0dWY4OFF5M0xlZzUrVUVwRVJnRzRIa0N2WEFXeFdHd29nRS81N1o0SmhVSlBBUWdtR2gwQjRQek96czdQcjFtelpvc3g1aFFBTS96dityU3FYcEI1YnY5WnovZlhrWDFWVlZXZlM2VlNueGVSVHdUbkZwRWR5V1J5VWtsSnlVSVJtZWFYSGFHcXk0MHg4eTNMbWxOWFY4ZHQ1TFJiTUNoR1JFUzBCM24rK1k5KzNQN1VwejZGUVlNR1lkR2lSVmk4ZUhHMi9NSUxMMFJKU2VHY3RIVjFkVWdta3dBQXk3SlFVVkhScTgyWlo1Nkp3dzQ3TEh2Ly92dnY0NXZmL0NaZWVPR0ZIdTBpa1FpKzhwV3ZZT2JNbWIxZW1jeTM1dU9QUHo0Yk9Bc0c0MTU3N1RXY2ZmYlpHRFZxVkkvWE9OdmIyOUhhMm9yNzd2c29sN0F4QnVFdy8wUWhJcUxlTE12cUJQQldzRXhWOXhlUm9mNTFzNGkwNWUzY0R4RUpCbkRhTUlDQW1ESG1DbFZOQjVQakcyUG1pRWd3UWpmR24yZW9iZHMzWnU0QkRQTHZzNUxKNUwxTlRVM3ZpVWdZQTN0OXNlcm9vNCtlb3FwclJPUjM2TjQ1bHZHb2lId2hYeWNST1NVd3oxTUFuZ2J3T0FCSFZUdEY1SGdBcDBlajBTWmp6RE1BTGhVUlMxVTlWYjBpSG8rL0JBQ1ZsWlhsSlNVbDh3SDB5RHZtZWQ1dDhYajgyd0M4NnVycUhrRXhBR2hxYW5vUHdLZU5NVmNBK0xHSWZFSzZJMjVYZXA1M1prMU56Um03K2xSTklvQkJNU0lpb2oxS01NQjA3TEhINHFhYmJzSlRUejJWTFR2MDBFTXhjMmJ2L0xiQkFOUWpqenlTdlQ3d3dBUHpCcGhPT3Vra1RKMDZGYWxVQ3BkZGRoa2FHeHQ3dFJrM2JoeHV2UEZHSEhwbzN2UWZBTHAzcEsxYXRhckh1QmxISEhGRTl2cjExMS9IcWFlZVduQ2NvRFBPT0tPb2RrUkV0UGV4TE9zZ0FOOElsb25JRlFBKzdkL2VCOEFKMXNkaXNaUGk4Zmp5SW9ZZkViak9tekErSDl1MlB3Tmd2b2lFakRFbmJOMjY5Y3ZyMTY5UGlzZ2NCSFpLQmV3RDRQdUIrN0tjZTBTajBTY0F2T2V2WTNPd1RsV0grUUdqdks5MmhrS2hHMVQxUUJFNUlsRDhvT000bHhmcUl5S24rWmZKVkNyMXUwUWkwUmFMeFdZbGs4a2xyYTJ0N2NPSEQzOWVSREtKK2I4WTZIcGpQQjYvUDNOVFdscDZLSUFaZ2ZvV1ZmMWlQQjUvUE4rOHVWelh2ZGNZODdLcVBwcDVaUmJBK3dEK1ZreC9vb0ZpVUl5SWlHZ1A4YzQ3NzJEdDJyWForOXJhMmg0N3QvYmJiei9jY2NjZHlQTmFDS1pNbWRJakdKWngzbm5uWmErUFBQSkkvUFNuUHdVQUhINzQ0UUNBY0RpTXl5Ky9IRmRkZFZXUGVTNjk5RkxNbURFRG9WRGZQMDZ2WHIwNnV5c3RGQXFodHJZMld6ZGh3Z1NjZU9LSmVPbWxsL29jSTJqU3BFbVlObTFhMGUySmlHanZvcW9QK0s4QjVpVWlOK1dXV1piMTFwZ3hZNDRlUEhqdytMN0d6bmxOY1ljeFprSi82OW02ZFd1anFwNHFJaUYvakVzcUtpckdEaGt5WkhwL2ZZdmhPRTZQWDRwcWFtb09WdFgxQUtDcXJ4WG9OaVVuYitpTmp1UDArbHlDL0dlQXFyNWdXVmJFRC9TVkRCbzA2UGF5c3JLVEMzM21JakxYR0RNTFFFSkUxbmQxZFYwWGlVUm1BWGdBZ0NzaTV6bU9NNkFkWHE3ck5sVlhWeDhUQ29WK0ppSlRMY3M2cjY2dXJxdi9ua1FEeDZBWUVSSFJIbUw0OE9HNC92cnI4ZXl6enlLWlRHTDA2Tkc0NjY2N01IUG1US1JTS2R4MTExMDQ2S0NEOHZZOTVwaGpjUGZkZDJQRmloVm9iMjlITkJxRk1hWkhnR21mZmZiSjVpZ0xxcTJ0eGZubm40K1ZLMWRpNXN5Wm1ENTlPcUxSYUZGcnJxMnR4VTkrOGhNOC8venphRzF0eFQ3NzlQeEJmTjY4ZVZpK2ZEbisvT2MvbzYydDhOc3NaV1ZsT09xb296QjU4dVErRHdBZ0lxSzloNGljYll4cEJSRDhOV2d1Z0NFREdVZFZ0d3daTXVRZ0FLOFBZTzVEaW1rL1pNaVE4YTdyWG0zYnRnTEkvTUwwQ1FEWkx6MVZmYk96cy9PWTB0TFNad0hVcXVycm5aMmRKK2NtMmc4ZUdGQ0k1M2tYK3J2RTRMOGUyWmVrcW43QmRkMy83YWZkd2Y3ekFrQjlNcGtNbFpXVkxSYVJjbitlVEx1MHF2NU9STmFvNnVkRjVMLzgrdjBCbktxcWJ6UTBOR3dGOEtCdDI1R1dscFpGd1R4akdaRkk1UDEwT20yQzk3bHRFb2xFRzREL3JxcXEycit4c2JGWFBkR3V3cUFZRVJIUkhxSzh2QnpubkhNT3pqbm5uR3dpL1BMeWNzeWZQeC9sNWVVWVBIaHduLzBuVHB5SWlSTW43dFRjczJmUHhyWFhYdHZ2enJCY2tVZ0V0YlcxUFhhSUJZa0lwa3laZ2lsVHB1elV1b2lJYUs4V3lrM0s3cnJ1QTdadFB3RC9wTUlpckhaZDl4ZTJiWS9wditsT1U4ZHhyamJHdEl2SVYxWDFjNGxFb3MyMjdVeTk1eWZXeitRNjJKd3YwYjV0Mi8zdWhoS1JiSko4VlYzV2F5R3FiNHJJVWY3dHJVVUV4QURnYjZxNlNVU21pY2dzeTdMdUF2QVFnSytwNmpzQVZnRDRRMGRIeHpObFpXVzNBVGdLd0dMUDg1WUNPTk95ckJNQjJBRHV5Z3pvT002Q1FwTjFkSFJJYVdscDlnK0hycTZ1UDZQbnFaWlpESWpSN3NhZ0dCRVIwUjRvdUZOcnhJZ1JmYlRjTmZLZEtrbEVSUFF4K3h1NkF6SW5JNUR2eTkrbFZQakVtWjdDQU83WnNXTkhaeVFTV1ZPb2taOFEvN0NjNHFTcTl2bnFYemdjVG1hdVhkZTl2cnE2K3I1RUl2Rk9nWFZrQW5QL0tHN3BQY1Zpc2JNQlZQbTM3N211Mit2MVNWWDlvWWc4NU05M1RVMU56UytMU1ZEdmVkN3NVQ2gwT29BaHBhV2xWM2lldDFCRU5xanFGcjlKdExTMDlITWljaGFBZlFHTUJiQVd3SHJQODlaYmx2VndaMmZuMG1LZUl4cU5EZ0p3ZDZEb0NRUjIxaEg5S3pFb1JrUkVleDNQOC9EdTM5L0hYOTdPOXpjclVYNGIzLzA3MHVtOCtZbUppR2czVU5YWFhkZTkyTGJ0NTlBekNYNm0vZzBBOC9LVVc1WmwvU3BZMXRqWXVBRWZCWlI2aWNWaVg3VXM2NTZjNHJDZkUrdk5ZdFpiVlZWMWtJanN5RmRuMi9ZRStLK0JxdXJhWUoycWxxTC9FeWJGc3F5NWdmdjV5Sk0wMzdLc3Y2anFJaEc1RE1CZ1ZYMmt1cnA2c3Y4NllrSDE5ZlYvTXNhc0VwSEpBS2FMU0NPQVd3dWRQQzBpWTBUa3ZwemlKd0cwQW9CdDI5OVIxVUluN1BTSVE0VEQ0VWVOTWIxZXN3UUFWVjBaajhlLzI5ZmFpZjRaRElvUkVkRmVwNk1qaVh2dmZ3QVBMKzUxSWpoUlFXM3Q3V2padnYzalhnWVJFWDNrQUJINVRKN3lBU1duckttcGlhanFOWmw3VmUzMGQ2S0ZWZlVPQUdjV00wNDBHcjBFd0Z4anpMSjBPbjFEVHZVWEF0ZjEvanhiUkFRaThnbGp6QXBWM2E5UVhrMWp6SlVBTWdjRnRIZDJkdjZzMERvOHovdCtLQlE2RjkyblhOcWhVT2dSQUdjQlNQWHpDRzhBbUF5Z1dsV2wwRnFLZEpTSW5GaGsyK1A2bUt2b1UwQ0pkZ2FEWWtSRXROZm9Dc3VXaUVyUzh6eHNhTjc0Y1MrSC9rMkpvaXNsM2djZjl6cUlpUFoySWpJU3dFVjV5Z2MwanFyK0NCKzlPdG1ocWhlS3lCUCtXR2ZFWXJHTDR2SDRyd3FQa0IzbldCRUppY2cweTdKdUQ2eG5NSUJML0RhZG9WQm91Vi8rZXdBWCt0ZkhGeHJYdHUxcVZiMHRNTS9DTld2V2JDblV2cjYrZnFNeDVob1JXZWlQUGMyMjdVZGJXbG91eUpmNFBqQnV5di9zd2wxZFhYK0lSQ0tYWnRhVlNxVnVDNFZDV3l6TFNnQTRDTUNybnVmMUNCWTJOVFY5V1BqVElkb3pNU2hHUkVSN2pZMXI2Lzh5NnNpcWk1QzJEdjY0MTBML3Z0TEF4ZzEvU2hUMUtnMFJFZTArcXJwY1ZXZm5sbHVXRlVMM3JxZCt4V0t4cndMNFJtRE1lZkY0L0VsanpOTWlNdDBmNzBIYnRqYzdqdk5jUDhNZDc0L1J1VzNidGxlSERSdVdHWE83cW41YlJCNEc4RnhkWFYwN0FEaU84NUJ0Mi91cDZya0FQaWtpK3dMb2NhcE9WVlhWL3FyNmFDYUhtcXB1Vk5YdjlmZGNydXMrWUl3NVYwUXlnYXV6Qnc4ZS9Kd3hab2JydXB1Q2JVWGtjTnUyZjY2cTUvbEZ5ZExTVXN2enZEdEZaS2lxcm01b2FIZ2JBSXd4bm9oQVZkUHhlTHpnTHE2V2xwYkxvdEhvRmZucUlwSElQcUZRcURsem4wNm54M1oxZGIyYnIyMTdlM3ZlM1czang0K3Y2T2pvU0s5YnQ2Nmw4S2RBMUQ4R3hZaUlhRytTL3V2YXhsY0F2UEp4TDRTSWlJajZOZDRZODJOVkhWdGc5MWVsWlZuL2s2ZThtSzFpVml3V20ydFoxbmN5QmFyNjVxWk5tMzdrMzg1UjFkUDhZRlFFd09PMmJWL3NPRTdlWlBJMU5UVkhxdXB3QUJDUjE5ZXZYNS9NQk1VQUlCNlAvOXEyN1UrbTArbjZRRGQxSE9kMkFMY0RnRzNiOHdITXlsUWFZNFlEZUVGRWpnajB1Ynl2WUZSUUtwVzZLQktKdkFMZ1NIOWRKNm1xVzFOVE03V3VyaTZZMSt4REFGL09mTWFxdWxKVnJ4U1J6R21aVzIzYnZ0Ry9IdXFQZFhDZ0xOT3YwWFhkeHdEQTM1R1dkMWRhTEJZTDUvUnJiMnBxYWkzbW1hcXFxdmFQUnFPL0FIQmFPQnhXMjdZZmEydHJ1K3l0dDk1aWZnUGFLUXlLRVJFUkVSRVIwUjdIRHdaZDIwZjlKd0djUHRCeFk3SFk0WlpsUFFDZ05sT21xdHNBbk52YzNOd0JBSzdyTnNWaXNTdEU1RUcveVNBQXZ6SEcvRkpWdjU0Ym1GTFZ5WUhibDNPbXRDb3JLOHVUeWVUOUFGQlpXVmxlWUdrOWpvSVdrUk1BVkFhS0ZyaXUrMnh1SjFXdHlCYzBiR2hvMkZwZFhUMHRGQXE5Nm45V0VKRjBWMWZYaHB6Ky93Q3dTVVNHQTNoYlJMNnVxbGNGMWpFTndMU2M0UThDOFAyYzlTNEI4RmlCWjlzbElwSElnd0JPQTdCZFJDSUF6aHMwYU5BV0FIbDNwUkgxaDBFeElpSWlJaUlpK25lMExKVktmU20zTUJLSmxLdnFtd0NncXBvcHI2bXAyVTlWcjFQVnJ3T0lCcnBzOXp4dmVuMTlmVk53bkhnOC9wQXh4b2pJMXpObEluSUpnRS9idHYwTEFBc0NKMU5PRFhUdEVSUVRrYU5LUzBzSHZKUEpjWnlsdG0wN0FHeFZmY3AxM1ZteFdPeHdFVGxCUkxaNW5yZmRzcXlUQUh3eTBLMDlPRVlpa1hqSHR1MlRWUFczSWpKYVZhOHBjQkxsV2FyYTdycHVBd0RQdHUya3F1WnJOMGhFUkZVOUFCMDVkY2xZTEhhU2lQemZRSjR6SEE2L1pZelJ2dHFJeUFVaThvTG5lYWNENkVxbFVtTWlrY2d3VlgxVFJNNENnMkswa3hnVUl5SWlJaUlpb2ozUkU4bGs4cEtTa3BLbElqSTF0MUpWazRsRW9oa0FiTnVlcGFvbHFwcjBQTytZek00cEVka01BTlhWMVNNOXoyc1FrYUhCWFZXcXVqR2RUbjgya1VnNCtSYmd1dTVzWTB5SGlGeVhLUk9SWVFDdVZ0VkxxNnVyeHljU2lYY0JuT3hYcDl2YTJuWlZtZ1lGY0J1QUwyN2Z2bjBHZ0ZRNm5TNk5SQ0lMQWNDeXJOejJxWmFXbHZXNWhZN2p2RmxWVlhWY05CcjludXU2aitlYnlIWGQxVGw5cmdad2RXNDdZOHg2QUtNQXJIWmR0elpQL1ZRUkdlangzb1A2T3h6Qjg3eHdLQlRxUXZjSm1pRUFoM2llTjh6UGI1WWM0SHhFV1F5S0VSRVJFUkVSMFI1SFZkTk5UVTJ0dG0wL282cC9GWkhHUHRyVytydUplcFI3bnZkN0FFZ2tFczIyYlYrcHFyOFF2NUdxUHB0T3B5OU5KQkwvNkdNWm51dTZjMnpiYmdTd0FFQ1pYNTRXa1FzU2lVUnpMQmFiQ0dCZmYwdzNONytWcW01UzFRWDlQYStJbkM0aUU0SmxqdU04Tm5Ma3lLZWFtNXM3QWFDaG9hSFJHTE10a084cjZNRkNpZWNiR3h2ZlJ5QmYyZTRpSXAycSt2NnVIdGV5ckdSZFhWMlhNZVlCQUZlRXcrRlhBM00rdEt2bm83MEhnMkpFUkVSRVJFUzB4OWkrZmZ2WVZDb2wrKzY3YnhvQUhNZTVzNGh1djFmVk0wUWs1ZThjZWcvQUwrUHgrSk9aQm83alBHeU1PVVJWWjZucW5IZzhYblF3eFhHY2g0OCsrdWdYTGN1NlNVUXU5VHh2VGp3ZVh3WUFvVkRvSGMvemZpQWlGNkYzUGpFQStFYzhIdjl1ZjNQWXRqMFV3SVNjNG5RbXo1bFBBYnlpcW1jQTZBTFFBbUFqZ044VU9IUmdseEtSRklBMHVuZHM5ZUk0emdvQUIreXUrYmR1M1RxN29xS2l6Zitzb2FyM3U2Nzd3OTAxSHhFUkVSRVJFUkhSZjR3K0V0MFhKUmFMamQ1ZFl4T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RVJFUkVSSHRYZjRmSUxYcXpqOUdTTGdBQUFBQVNVVk9SSzVDWUlJPSIsCgkiVGhlbWUiIDogIiIsCgkiVHlwZSIgOiAiZmxvdyIsCgkiVXNlcklkIiA6ICIxNjgwNTQ3MjgyIiwKCSJWZXJzaW9uIiA6ICIxNDMiCn0K"/>
    </extobj>
    <extobj name="E657119C-6982-421D-8BA7-E74DEB70A7D9-3">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Zd01DVXlReVV5TW5Ob2IzZEhjbWxrSlRJeUpUTkJkSEoxWlNVeVF5VXlNbkpwWTJoVVpYaDBKVEl5SlROQmRISjFaU1V5UXlVeU1taGxhV2RvZENVeU1pVXpRVEl3TUNVM1JDVXlReVV5TW1Wc1pXMWxiblJ6SlRJeUpUTkJKVGRDSlRJeVIwTnBRVTFMWkVSVVFqQXpPVGd5TVNVeU1pVXpRU1UzUWlVeU1tbGtKVEl5SlROQkpUSXlSME5wUVUxTFpFUlVRakF6T1RneU1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mVrdGtRazkwWW5aRE56RTRPVGM1SlRJeUpUZEVKVEpESlRkQ0pUSXlibUZ0WlNVeU1pVXpRU1V5TWlWRk5TVTVNQ1U0UkNWRk55VkJOeVZDTUNVeU1pVXlReVV5TW5SNWNHVWxNaklsTTBFbE1qSnpkSEpwYm1jbE1qSWxNa01sTWpKMllXeDFaU1V5TWlVelFTVXlNaVV5TWlVeVF5VXlNbU5oZEdWbmIzSjVKVEl5SlROQkpUSXlaR1ZtWVhWc2RDVXlNaVV5UXlVeU1tbGtKVEl5SlROQkpUSXljMUZWVVc1bllVRnpkakEyTURnd0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01bWFWSkplR2w2VGs0d05UY3lOREFsTWpJbE4wUWxNa01sTjBJbE1qSnVZVzFsSlRJeUpUTkJKVEl5SlVVNEpVSkdKVGxGSlVVMkpUaEZKVUUxSlRJeUpUSkRKVEl5ZEhsd1pTVXlNaVV6UVNVeU1teHBibXNsTWpJbE1rTWxNakoyWVd4MVpTVXlNaVV6UVNVeU1pVXlNaVV5UXlVeU1tTmhkR1ZuYjNKNUpUSXlKVE5CSlRJeVpHVm1ZWFZzZENVeU1pVXlReVV5TW1sa0pUSXlKVE5CSlRJeWEyWllWSFp1WTNGdVp6TTBNVGN3T0NVeU1pVTNSQ1V5UXlVM1FpVXlNbTVoYldVbE1qSWxNMEVsTWpJbFJUUWxRa1VsUWtZbFJUY2xRVU1sUWtFbE1qSWxNa01sTWpKMGVYQmxKVEl5SlROQkpUSXljM1J5YVc1bkpUSXlKVEpESlRJeWRtRnNkV1VsTWpJbE0wRWxNaklsTWpJbE1rTWxNakpqWVhSbFoyOXllU1V5TWlVelFTVXlNbVJsWm1GMWJIUWxNaklsTWtNbE1qSnBaQ1V5TWlVelFTVXlNbXhFZGtGbWRrUkJlbVF4TkRnME1qZ2xNaklsTjBRbE5VUWxNa01sTWpKd2NtOXdjeVV5TWlVelFTVTNRaVV5TW5nbE1qSWxNMEV5TnlVeVF5VXlNbmtsTWpJbE0wRTVOU1V5UXlVeU1uY2xNaklsTTBFeE9ETWxNa01sTWpKb0pUSXlKVE5CTXpjbE1rTWxNako2YVc1a1pYZ2xNaklsTTBFeEpUSkRKVEl5WVc1bmJHVWxNaklsTTBFd0pUZEVKVEpESlRJeWMyaGhjR1ZUZEhsc1pTVXlNaVV6UVNVM1FpVXlNbUZzY0doaEpUSXlKVE5CTVNVM1JDVXlReVV5TW14cGJtVlRkSGxzWlNVeU1pVXpRU1UzUWlVeU1teHBibVZYYVdSMGFDVXlNaVV6UVRFdU5TVTNSQ1V5UXlVeU1tWnBiR3hUZEhsc1pTVXlNaVV6UVNVM1FpVXlNblI1Y0dVbE1qSWxNMEVsTWpKdWIyNWxKVEl5SlRKREpUSXlZMjlzYjNJbE1qSWxNMEVsTWpJeU5UVWxNa015TlRVbE1rTXlOVFVsTWpJbE1rTWxNakprY21GM1ZIbHdaU1V5TWlVelFTVXlNbTV2Ym1VbE1q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eU1tSnZiR1FsTWpJbE0wRjBjblZsSlRKREpUSXljMmw2WlNVeU1pVXpRVEUySlRkRUpUSkRKVEl5ZEdWNGRFSnNiMk5ySlRJeUpUTkJKVFZDSlRkQ0pUSXljRzl6YVhScGIyNGxNaklsTTBFbE4wSWxNako0SlRJeUpUTkJNVEFsTWtNbE1qSjVKVEl5SlROQk1DVXlReVV5TW5jbE1qSWxNMEVsTWpKM0xUSXdKVEl5SlRKREpUSXlhQ1V5TWlVelFTVXlNbWdsTWpJbE4wUWxNa01sTWpKMFpYaDBKVEl5SlROQkpUSXlKVVUySlVJM0pUaENKVVUySlVKQ0pVRTBKVVUySlVJd0pVSTBKVVV6SlRnd0pUZ3hKVVUxSlRnNEpUbEVKVVUySlRsREpUbEdKVVU1SlRsQ0pVRTRKVVUySlVJd0pVSTBKVVUySlRrMEpVSTJKVVU1SlRsQ0pUZz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ltUk5jbU5qYWs1TFJUWXpNekl6TXlVeU1pVXpRU1UzUWlVeU1tbGtKVEl5SlROQkpUSXlZbVJOY21OamFrNUxSVFl6TXpJek15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d1NrRm1TSFo1Ums1Sk5UVTFNelU0SlRJeUpUZEVKVEpESlRkQ0pUSXlibUZ0WlNVeU1pVXpRU1V5TWlWRk5TVTVNQ1U0UkNWRk55VkJOeVZDTUNVeU1pVXlReVV5TW5SNWNHVWxNaklsTTBFbE1qSnpkSEpwYm1jbE1qSWxNa01sTWpKMllXeDFaU1V5TWlVelFTVXlNaVV5TWlVeVF5VXlNbU5oZEdWbmIzSjVKVEl5SlROQkpUSXlaR1ZtWVhWc2RDVXlNaVV5UXlVeU1tbGtKVEl5SlROQkpUSXlaRTVGVWxKTFFrdGllVFkzTkRNNU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WUFRVOVBXR05CVTNNeU5ERTVOekVsTWpJbE4wUWxNa01sTjBJbE1qSnVZVzFsSlRJeUpUTkJKVEl5SlVVNEpVSkdKVGxGSlVVMkpUaEZKVUUxSlRJeUpUSkRKVEl5ZEhsd1pTVXlNaVV6UVNVeU1teHBibXNsTWpJbE1rTWxNakoyWVd4MVpTVXlNaVV6UVNVeU1pVXlNaVV5UXlVeU1tTmhkR1ZuYjNKNUpUSXlKVE5CSlRJeVpHVm1ZWFZzZENVeU1pVXlReVV5TW1sa0pUSXlKVE5CSlRJeWFHVnBRVk4wVW5WVlJqVXdNRGc0TXlVeU1pVTNSQ1V5UXlVM1FpVXlNbTVoYldVbE1qSWxNMEVsTWpJbFJUUWxRa1VsUWtZbFJUY2xRVU1sUWtFbE1qSWxNa01sTWpKMGVYQmxKVEl5SlROQkpUSXljM1J5YVc1bkpUSXlKVEpESlRJeWRtRnNkV1VsTWpJbE0wRWxNaklsTWpJbE1rTWxNakpqWVhSbFoyOXllU1V5TWlVelFTVXlNbVJsWm1GMWJIUWxNaklsTWtNbE1qSnBaQ1V5TWlVelFTVXlNbTFVVTFkaFlYQldSbkF6T0RNd01EZ2xNaklsTjBRbE5VUWxNa01sTWpKd2NtOXdjeVV5TWlVelFTVTNRaVV5TW5nbE1qSWxNMEV6TmpnbE1rTWxNako1SlRJeUpUTkJPVFVsTWtNbE1qSjNKVEl5SlROQk9UVWxNa01sTWpKb0pUSXlKVE5CTXpjbE1rTWxNako2YVc1a1pYZ2xNaklsTTBFekpUSkRKVEl5WVc1bmJHVWxNaklsTTBFd0pUZEVKVEpESlRJeWMyaGhjR1ZUZEhsc1pTVXlNaVV6UVNVM1FpVXlNbUZzY0doaEpUSXlKVE5CTVNVM1JDVXlReVV5TW14cGJtVlRkSGxzWlNVeU1pVXpRU1UzUWlVeU1teHBibVZYYVdSMGFDVXlNaVV6UVRFdU5TVXlReVV5TW14cGJtVkRiMnh2Y2lVeU1pVXpRU1V5TWpJek1TVXlRemM1SlRKRE56WWxNaklsTjBRbE1rTWxNakptYVd4c1UzUjViR1VsTWpJbE0wRWxOMElsTWpKMGVYQmxKVEl5SlROQkpUSXlibTl1WlNVeU1pVXlReVV5TW1OdmJHOXlKVEl5SlROQkpUSXlNalUxSlRKRE1qVTFKVEpETWpVMUpUSXlKVEpESlRJeVpISmhkMVI1Y0dVbE1qSWxNMEVsTWpKdWIyNWxKVEl5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6YVhwbEpUSXlKVE5CTVRZbE1rTWxNakppYjJ4a0pUSXlKVE5CZEhKMVpTVTNSQ1V5UXlVeU1uUmxlSFJDYkc5amF5VXlNaVV6UVNVMVFpVTNRaVV5TW5CdmMybDBhVzl1SlRJeUpUTkJKVGRDSlRJeWVDVXlNaVV6UVRFd0pUSkRKVEl5ZVNVeU1pVXpRVEFsTWtNbE1qSjNKVEl5SlROQkpUSXlkeTB5TUNVeU1pVXlReVV5TW1nbE1qSWxNMEVsTWpKb0pUSXlKVGRFSlRKREpUSXlkR1Y0ZENVeU1pVXpRU1V5TWlWRk5pVkNNaVU0T1NWRk55VkJNQ1U0TWlWRk5pVkNNU1ZCTU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3BUVUZCeVptWnZRMFkwT0RnMU9EY2xNaklsTTBFbE4wSWxNakpwWkNVeU1pVXpRU1V5TWtwVFVGQnlabVp2UTBZME9EZzFPRGN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kcWNHUk9kMjFFVjFjM016TTJPVE1sTWpJbE4wUWxNa01sTjBJbE1qSnVZVzFsSlRJeUpUTkJKVEl5SlVVMUpUa3dKVGhFSlVVM0pVRTNKVUl3SlRJeUpUSkRKVEl5ZEhsd1pTVXlNaVV6UVNVeU1uTjBjbWx1WnlVeU1pVXlReVV5TW5aaGJIVmxKVEl5SlROQkpUSXlKVEl5SlRKREpUSXlZMkYwWldkdmNua2xNaklsTTBFbE1qSmtaV1poZFd4MEpUSXlKVEpESlRJeWFXUWxNaklsTTBFbE1qSjZhMGxXUWtsallXeFZNRGN3TURrd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ZVcxV2FXOWthRzE2VkRZME5UY3pNQ1V5TWlVM1JDVXlReVUzUWlVeU1tNWhiV1VsTWpJbE0wRWxNaklsUlRnbFFrWWxPVVVsUlRZbE9FVWxRVFVsTWpJbE1rTWxNakowZVhCbEpUSXlKVE5CSlRJeWJHbHVheVV5TWlVeVF5VXlNblpoYkhWbEpUSXlKVE5CSlRJeUpUSXlKVEpESlRJeVkyRjBaV2R2Y25rbE1qSWxNMEVsTWpKa1pXWmhkV3gwSlRJeUpUSkRKVEl5YVdRbE1qSWxNMEVsTWpKWGFtdFJaRTlpVlZsek56Z3pNakk0SlRJeUpUZEVKVEpESlRkQ0pUSXlibUZ0WlNVeU1pVXpRU1V5TWlWRk5DVkNSU1ZDUmlWRk55VkJReVZDUVNVeU1pVXlReVV5TW5SNWNHVWxNaklsTTBFbE1qSnpkSEpwYm1jbE1qSWxNa01sTWpKMllXeDFaU1V5TWlVelFTVXlNaVV5TWlVeVF5VXlNbU5oZEdWbmIzSjVKVEl5SlROQkpUSXlaR1ZtWVhWc2RDVXlNaVV5UXlVeU1tbGtKVEl5SlROQkpUSXllWGg2VVVKaVRYVnFXVEV5TVRNME5DVXlNaVUzUkNVMVJDVXlReVV5TW5CeWIzQnpKVEl5SlROQkpUZENKVEl5ZUNVeU1pVXpRVEl6TVNVeVF5VXlNbmtsTWpJbE0wRTNPUzQxSlRKREpUSXlkeVV5TWlVelFURXdNQ1V5UXlVeU1tZ2xNaklsTTBFME1DVXlReVV5TW5wcGJtUmxlQ1V5TWlVelFUU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aWIyeGtKVEl5SlROQmRISjFaU1UzUkNVeVF5VXlNblJsZUhSQ2JHOWpheVV5TWlVelFTVTFRaVUzUWlVeU1uQnZjMmwwYVc5dUpUSXlKVE5CSlRkQ0pUSXllQ1V5TWlVelFUQWxNa01sTWpKNUpUSXlKVE5CTUNVeVF5VXlNbmNsTWpJbE0wRWxNakozSlRJeUpUSkRKVEl5YUNVeU1pVXpRU1V5TW1nbE1qSWxOMFFsTWtNbE1qSjBaWGgwSlRJeUpUTkJKVEl5TkRFMU5qRXVOemcx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jMDVTVjJSVlVIUmFkVFV5TVRFMU5pVXlNaVV6UVNVM1FpVXlNbWxrSlRJeUpUTkJKVEl5YzA1U1YyUlZVSFJhZFRVeU1URTFOa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210SFUzQmtVR1JCU0RBME9EWXhNaVV5TWlVM1JDVXlReVUzUWlVeU1tNWhiV1VsTWpJbE0wRWxNaklsUlRVbE9UQWxPRVFsUlRjbFFUY2xRakFsTWpJbE1rTWxNakowZVhCbEpUSXlKVE5CSlRJeWMzUnlhVzVuSlRJeUpUSkRKVEl5ZG1Gc2RXVWxNaklsTTBFbE1qSWxNaklsTWtNbE1qSmpZWFJsWjI5eWVTVXlNaVV6UVNVeU1tUmxabUYxYkhRbE1qSWxNa01sTWpKcFpDVXlNaVV6UVNVeU1uWnhkRVpsVjBKSGJtc3lOVEV4Tnp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HUm5ORWQwWkpXa1pETlRFek9UQXlKVEl5SlRkRUpUSkRKVGRDSlRJeWJtRnRaU1V5TWlVelFTVXlNaVZGT0NWQ1JpVTVSU1ZGTmlVNFJTVkJOU1V5TWlVeVF5VXlNblI1Y0dVbE1qSWxNMEVsTWpKc2FXNXJKVEl5SlRKREpUSXlkbUZzZFdVbE1qSWxNMEVsTWpJbE1qSWxNa01sTWpKallYUmxaMjl5ZVNVeU1pVXpRU1V5TW1SbFptRjFiSFFsTWpJbE1rTWxNakpwWkNVeU1pVXpRU1V5TWxGWVZXaFBjSGhDU1ZnNU9EQTNNekVsTWpJbE4wUWxNa01sTjBJbE1qSnVZVzFsSlRJeUpUTkJKVEl5SlVVMEpVSkZKVUpHSlVVM0pVRkRKVUpCSlRJeUpUSkRKVEl5ZEhsd1pTVXlNaVV6UVNVeU1uTjBjbWx1WnlVeU1pVXlReVV5TW5aaGJIVmxKVEl5SlROQkpUSXlKVEl5SlRKREpUSXlZMkYwWldkdmNua2xNaklsTTBFbE1qSmtaV1poZFd4MEpUSXlKVEpESlRJeWFXUWxNaklsTTBFbE1qSkpTa1pzWTFsMVVtVnFOall6TVRJeUpUSXlKVGRFSlRWRUpUSkRKVEl5Y0hKdmNITWxNaklsTTBFbE4wSWxNako0SlRJeUpUTkJORFU0SlRKREpUSXllU1V5TWlVelFUUTFKVEpESlRJeWR5VXlNaVV6UVRFd01DVXlReVV5TW1nbE1qSWxNMEUwTUNVeVF5VXlNbnBwYm1SbGVDVXlNaVV6UVRZ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NakppYjJ4a0pUSXlKVE5CZEhKMVpTVTNSQ1V5UXlVeU1uUmxlSFJDYkc5amF5VXlNaVV6UVNVMVFpVTNRaVV5TW5CdmMybDBhVzl1SlRJeUpUTkJKVGRDSlRJeWVDVXlNaVV6UVRBbE1rTWxNako1SlRJeUpUTkJNQ1V5UXlVeU1uY2xNaklsTTBFbE1qSjNKVEl5SlRKREpUSXlhQ1V5TWlVelFTVXlNbWdsTWpJbE4wUWxNa01sTWpKMFpYaDBKVEl5SlROQkpUSXlKVVUxSlRneUpVRTRKVVUxSlVGRUpUazROREUxTmpFdU56ZzF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NIQmFTR04yVldwYVJURTROVFF3TXlVeU1pVXpRU1UzUWlVeU1tbGtKVEl5SlROQkpUSXljSEJhU0dOMlZXcGFSVEU0TlRRd015VXlNaVV5UXlVeU1tNWhiV1VsTWpJbE0wRWxNakpzYVc1clpYSWxNaklsTWtNbE1qSjBaWGgwSlRJeUpUTkJKVEl5SlRJeUpUSkRKVEl5WjNKdmRYQWxNaklsTTBFbE1qSWxNaklsTWtNbE1qSnNhVzVyWlhKVWVYQmxKVEl5SlROQkpUSXlZbkp2YTJWdUpUSXlKVEpESlRJeWNHOXBiblJ6SlRJeUpUTkJKVFZDSlRkQ0pUSXllQ1V5TWlVelFUSTRPU1V5UXlVeU1ua2xNaklsTTBFeE1UTXVOU1UzUkNVeVF5VTNRaVV5TW5nbE1qSWxNMEV5T0RrbE1rTWxNako1SlRJeUpUTkJNVEV6TGpVbE4wUWxOVVFsTWtNbE1qSnNiMk5yWldRbE1qSWxNMEZtWVd4elpTVXlReVV5TW1SaGRHRkJkSFJ5YVdKMWRHVnpKVEl5SlROQkpUVkNKVFZFSlRKREpUSXljSEp2Y0hNbE1qSWxNMEVsTjBJbE1qSjZhVzVrWlhnbE1qSWxNMEV5SlRkRUpUSkRKVEl5YkdsdVpWTjBlV3hsSlRJeUpUTkJKVGRDSlRJeWJHbHVaVmRwWkhSb0pUSXlKVE5CTVM0MUpUZEVKVEpESlRJeVpuSnZiU1V5TWlVelFTVTNRaVV5TW5nbE1qSWxNMEV5TVRBbE1rTWxNako1SlRJeUpUTkJNVEV6TGpVbE1rTWxNakpwWkNVeU1pVXpRU1V5TWtkRGFVRk5TMlJFVkVJd016azRNakVsTWpJbE1rTWxNakpoYm1kc1pTVXlNaVV6UVRNdU1UUXhOVGt5TmpVek5UZzVOemt6TmlVM1JDVXlReVV5TW5SdkpUSXlKVE5CSlRkQ0pUSXlhV1FsTWpJbE0wRWxNakppWkUxeVkyTnFUa3RGTmpNek1qTXpKVEl5SlRKREpUSXllQ1V5TWlVelFUTTJPQ1V5UXlVeU1ua2xNaklsTTBFeE1UTXVOU1V5UXlVeU1tRnVaMnhsSlRJeUpUTkJNQ1UzUkNVeVF5VXlNblJsZUhSQ2JHOWpheVV5TWlVelFTVTFRaVUxUkNVM1JDVXlReVV5TW05MVNFRjJWRXA1WjFjd09UYzJNVFVsTWpJbE0wRWxOMElsTWpKcFpDVXlNaVV6UVNVeU1tOTFTRUYyVkVwNVoxY3dPVGMyTVRVbE1qSWxNa01sTWpKdVlXMWxKVEl5SlROQkpUSXliR2x1YTJWeUpUSXlKVEpESlRJeWRHVjRkQ1V5TWlVelFTVXlNaVV5TWlVeVF5VXlNbWR5YjNWd0pUSXlKVE5CSlRJeUpUSXlKVEpESlRJeWJHbHVhMlZ5Vkhsd1pTVXlNaVV6UVNVeU1tTjFjblpsSlRJeUpUSkRKVEl5Y0c5cGJuUnpKVEl5SlROQkpUVkNKVGRDSlRJeWVDVXlNaVV6UVRReE5TNDFKVEpESlRJeWVTVXlNaVV6UVRjMExqRTVNVE0wTnprMU16TXhOVEU1SlRkRUpUSkRKVGRDSlRJeWVDVXlNaVV6UVRRek55NHhPVEV6TkRjNU5UTXpNVFV5SlRKREpUSXllU1V5TWlVelFUWTFKVGRFSlRWRUpUSkRKVEl5Ykc5amEyVmtKVEl5SlROQlptRnNjMlVsTWtNbE1qSmtZWFJoUVhSMGNtbGlkWFJsY3lVeU1pVXpRU1UxUWlVMVJDVXlReVV5TW5CeWIzQnpKVEl5SlROQkpUZENKVEl5ZW1sdVpHVjRKVEl5SlROQk5TVTNSQ1V5UXlVeU1teHBibVZUZEhsc1pTVXlNaVV6UVNVM1FpVXlNbXhwYm1WWGFXUjBhQ1V5TWlVelFURXVOU1V5UXlVeU1teHBibVZUZEhsc1pTVXlNaVV6UVNVeU1tUmhjMmhsWkNVeU1pVXlReVV5TW1SeVlYZFVlWEJsSlRJeUpUTkJKVEl5Ym05dVpTVXlNaVUzUkNVeVF5VXlNbVp5YjIwbE1qSWxNMEVsTjBJbE1qSjRKVEl5SlROQk5ERTFMalVsTWtNbE1qSjVKVEl5SlROQk9UVWxNa01sTWpKcFpDVXlNaVV6UVNVeU1tSmtUWEpqWTJwT1MwVTJNek15TXpNbE1qSWxNa01sTWpKaGJtZHNaU1V5TWlVelFURXVOVGN3TnprMk16STJOemswT0RrM0pUZEVKVEpESlRJeWRHOGxNaklsTTBFbE4wSWxNakpwWkNVeU1pVXpRU1V5TW5OT1VsZGtWVkIwV25VMU1qRXhOVFlsTWpJbE1rTWxNako0SlRJeUpUTkJORFU0SlRKREpUSXllU1V5TWlVelFUWTFKVEpESlRJeVlXNW5iR1VsTWpJbE0wRXdKVGRFSlRKREpUSXlkR1Y0ZEVKc2IyTnJKVEl5SlROQkpUVkNKVFZFSlRkRUpUZEVKVEpESlRJeVkyOXRiV1Z1ZEhNbE1qSWxNMEVsTlVJbE5VUWxNa01sTWpKd2JIVm5hVzV6SlRJeUpUTkJKVGRDSlRkRUpUSkRKVEl5WVdsRGIyNTBZV2x1WlhKekpUSXlKVE5CSlRkQ0pUZEVKVEpESlRJeWFXNXpaWEowVUdGblpVOXdkSE1sTWpJbE0wRWxOMElsTjBRbE1rTWxNakp3YjNOMFVHRjViV1Z1ZENVeU1pVXpRU1UzUWlVM1JDVXlReVV5TW5Sb1pXMWxKVEl5SlROQkpUZENKVEl5Y0dGblpTVXlNaVV6UVNVM1FpVXlNbUpoWTJ0bmNtOTFibVJEYjJ4dmNpVXlNaVV6UVNVeU1uUnlZVzV6Y0dGeVpXNTBKVEl5SlRkRUpUZEVKVGRFIiwKCSJGaWxlSWQiIDogIjk3YjNmOWFkLTM5MWQtNGNhMS04YjMwLWNjOGI5ZjhjYmFmNCIKfQo="/>
    </extobj>
    <extobj name="ECB019B1-382A-4266-B25C-5B523AA43C14-4">
      <extobjdata type="ECB019B1-382A-4266-B25C-5B523AA43C14" data="ewoJIkZpbGVJZCIgOiAiNDA2ODg2NzY0NjkzIiwKCSJHcm91cElkIiA6ICIyNDg1ODg0MTkyIiwKCSJJbWFnZSIgOiAiaVZCT1J3MEtHZ29BQUFBTlNVaEVVZ0FBQkZvQUFBR0FDQVlBQUFDZG93WjlBQUFBQVhOU1IwSUFyczRjNlFBQUlBQkpSRUZVZUp6czNYZDhWRlgrLy9IM25aazBDQkNrQkdtTENBS1JGaEFwNG1MOUlSWlljQUVGQVJYRkZRUlIyQytMQzdJcnNNSXVJSXBnbzdpQUM4SUtxN0NvV0NsS0w2RWtZQUJEYjZHbGtETGwvdjZJdVR1VFRFSUNnMFBDNi9sNDhQRGVlODQ5NXpOZ2JtWStjNG9F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TGhlR01FT0FBQUFCRTcxbXh2WENnMXgzQnpzT0lDU0xpc3I2K2ZqUHljY0RIWWNRQ0RkZUZPajM0U0ZoZDBVN0RpQVFESk56OEdEZTNmOEhPdzR2SkZvQVFDZ2xLaFJyMm5ORUljeFQ0WWFCanNXb0JRNHBBeWpaMUxTOXFSZ0J3SUVRcDA2emVzb3d2eFlVdTFneHdJRWttSHF0TlBwNm5aay8rNTl3WTRsbHlQWUFRQUFnTUFJa1dyS1VFTkRScldJaUFnNUhQWmdod1NVT0c2WFd4bVptZktZWnJqQ1ZVY1NpUmFVRHVHcUl4bTMyQXdqS2lJOFhIWitSNkNFYzdzOXlzaklrTWYwUkRrYzlucVNTTFFBQUlDcm8weEVoRjU0Zm9DYU4yMGM3RkNBRWljK1lhK212Zk8renFla0JEc1U0S29vWDY2Y0JqOC9RREdOR2dRN0ZPQ0tKTzdicjJudmZLRFR5Y25CRGlVZkVpMEFBSlF5ZG9kZGpSclVWNXZiYnd0MktFQ0pGQklTRXV3UWdLc21KQ1JFTVkwYThEc0NKVjVZYUtqQ3drS0RIWVpmdG1BSEFBQUFBQUFBVUZxUWFBRUFBQUFBQUFnUUVpMEFBQUFBQUFBQlFxSUZBQUFBQUFBZ1FFaTBBQUFBQUFBQUJBaUpGZ0FBQUFBQWdBQWgwUUlBQUFBQUFCQWdKRm9BQUFBQUFBQUNoRVFMQUFBQUFBQkFnSkJvQVFBQUFBQUFDQkFTTFFBQUFBQUFBQUZDb2dVQUFBQUFBQ0JBU0xRQUFBQUFBQUFFQ0lrV0FBQUFBQUNBQUNIUkFnQUFBQUFBRUNBa1dnQUFBQUFBQUFLRVJBc0FBQUFBQUVDQWtHZ0JBQUFBQUFBSUVCSXRBQUFBQVpTWm1TbVB4eFBzTUFBQWtsd3VsdzRlUEhqRjdaaW1xWDM3OWlrek16TUFVYUcwY3dRN0FBQUFnRUNiT1hPbTNubm5uU3RxbzErL2Zob3laSWgxL3Roamp5a3hNVkh0MjdmWG0yKyttYS8rL1BuenRYVHBVaDA4ZUZCdnZ2bW03cmpqaml2cUh3QncrVnd1bDBhTUdLR05HemZLNlhUcWl5KytVRlJVMUdXMU5YLytmTTJlUFZzWExselFpQkVqMUtOSGp3QkhpOUtHUkFzQUFFQUFsQzlmWGtsSlNaS2t6ei8vdk5CRVMzSnlzajc1NUJPdFdiTkdCdzhlVkhaMnRpcFhycXkyYmR2cW1XZWVVYlZxMVFydDYrdXZ2OWFJRVNNdUdWTjRlTGgrK09FSDYvekNoUXY2OE1NUHRXclZLaDAvZmx5aG9hR3FWNitlSG5yb0lYWHAwa1YydTcySXJ4WUFnaTh6TTFOYnQyNHRzUHo0OGVPNmVQR2lKR25XckZscTI3YXQzM3F0VzdkV1JrYUdUTlAwVzE2dFdqVmR1SEJCa3ZUeHh4K3JVNmRPQmZZWkVSRWhoeVBuWS9iZXZYdjF5U2VmYU11V0xUcCsvTGhNMDFUTm1qVjEvLzMzcTIvZnZnb1BEeS8wOVUyY09GR0xGaTBxdEk2a2ZGOEFIRGh3UUI5KytLRTJiZHFrczJmUEtqSXlVczJhTlZQUG5qM1Z1blhyUzdhSEswZWlCUUFBbERxdFdyV3lrZ2JwNmVtYU0yZU9KS2wrL2ZycTJMR2pUOTJrcENRdFg3NWNrdFMyYlZ1MWJObFNrdFMwYWROQyt4ZytmTGhXclZybHQrenp6ei9YbDE5KzZYTnQ1TWlSNnRhdG05TFMwdFNsUzVkOHc4OVBuRGlocFV1WDZwdHZ2dEdjT1hOVXAwNmRJcjdhZ2htRzRkTisvLzc5ZGVMRUNldGFkbmEydG0vZnJ1M2J0MnYxNnRXYU1tV0tiRFptbGdNb0dVNmZQcTNCZ3djWHFlNi8vdlV2L2V0Zi8vSmJ0bWJOR3ZYczJkUG4rVmlRcEtRazNYWFhYUVdXVDVvMFNYZmZmYmZXcjErdlFZTUc1U3MvY09DQTNudnZQYTFldlZvelo4NjhaTEtsS0x5ZjlldldyZFBRb1VQbGNybXNhK2ZQbjllcVZhdTBhdFVxRFJreVJQMzY5YnZpUGxFNEVpMEFBS0RVYWRhc21abzFheVpKT25ueXBKVm91ZW1tbS9UVVUwLzUxRjJ6Wm8yVmFHblpzbVcrOHVYTGwrdmd3WU02YythTXBKdzMyWjk5OXBrOEhrK2hhN0hrTGNzOWQ3bGN5c3pNVk5teVpkVzJiVnZkZU9PTk9uVG9rSlcwU1VsSjBaUXBVL1RXVzI4VjJIYXRXclVLSExxK2I5OCs2eHZlZSs2NXg3bytmZnAwNjBQRVRUZmRwUDc5Kyt2czJiTjY1NTEzbEpHUm9UVnIxdWlycjc3S2w0Z0NnSklnSkNTa1NLUHlzck96RlJvYTZuUE5PMUVSS0dscGFaS2s2T2hvdFc3ZFd1WEtsVk5jWEp4Mjdkb2xTVXBJU05DaVJZdlV0Mi9mQXR0bzBhSkZnV1UvL3ZpampodzVJdWwvejNyVE5EVnUzRGdyeWRLaFF3YzkrT0NEaW91THM1Sk1NMmJNVU1lT0hTODVjaEpYaGtRTEFBQkFJYjc0NGd1dFc3Zk9Pajl5NUloV3JGaWhNbVhLU0pMS2xDbWo5OTkvWHhjdVhGRGx5cFd0ZW1mT25GRnljckplZmZYVmZHMTI2OVpOUTRZTVVibHk1YXhyMDZkUDErelpzeVZKR3pkdWxHbWFCYjc1YjlDZ2dkK3BReDZQUjA4ODhZU2tuQThkQXdjT3RNcHkzOXhMMG11dnZhYVltQmhKMHNXTEYvWHV1KzlLa3VMajQwbTBBQ2lSWG4zMVZiVnUzVnI3OSs5WGRIUzBmdk9iMzJqOCtQRktUVTFWeTVZdDFiMTdkeTFjdUZDVEprMVNqeDQ5TkdqUUlHdUtqeVJObXpaTlRxZlRPcy9PenRiZi8vNTN4Y2ZIUzhwNTdnNGJOa3doSVNFYU4yNmNUcDQ4cVdIRGhxbEJnd1krY2RTb1VVT1NGQllXcHVIRGg2dDc5KzQrL1R6MTFGUGFzV09ISkduRGhnMkZKbHJ1di85KzNYLy8vZm11bnpwMVNwOTk5cGtrcVc3ZHVucjQ0WWNsNWZ6ZXlVMm9seXRYVGhNblRsUklTSWp1dSs4K0pTWW1hdE9tVFhLNVhFcE1UQ1RSY3BXUmFBRUFBQ2hFWkdTa0tsU29vTlRVVkhrOEhqa2NEa1ZHUmlva0pFVGg0ZUV5REVQang0L1htVE5uTkdQR0ROMTAwMDNhc0dHRFhuNzVaVFZzMkZDaG9hR3kyV3pXRysyb3FDajkrYzkvenRkUDQ4YU5yV09uMHltMzIrM3o1cndvbGk5ZnJyMTc5MHFTSG4zMFVaODMwalZxMU5DaFE0ZXM5cjM3eW5YenpUY1hxejhBdUpaODg4MDNtamh4b3FwV3Jhb1ZLMWJveXkrL1ZIcDZ1cXBWcXlhUHg2T3RXN2ZLTkUzTm5UdFhDUWtKbWpGamhqVmRzbTdkdWxZN1I0NGMwZGl4WTVXUWtDQ2J6YVlubm5oQ0F3Y09WRWhJaURaczJLQ2pSNDhxTXpOVDQ4ZVAxNkJCZzlTblQ1OThpZkU3Nzd6VGI0eU5HemUyRWkwWkdSbVg5VHJmZnZ0dGEvcnB3SUVEcmRjUUZSV2xNbVhLNk9MRmkvSjRQSEs3M1FvSkNaSDB2MmU5WVJnQm1acUt3akVKRndBQW9CQVRKa3pRdDk5K2F5VWgyclJwbzBtVEptbnMyTEY2OXRsbjVYYTdsWkNRb0lzWEwxcUw0UzVhdEVpWm1abmF2bjI3cWxldnJnOCsrRUMvKzkzdkN1M25wNTkrc282clZhdFc3Q1JMUmthR3BrK2ZMaW5ubTlTOFU2QUdEaHhvclFVd2V2Um9MVnEwU08rKys2N216WnNuS1dkZG13Y2ZmTEJZZlFMQXRXVDM3dDJTcEZ0dXVVV2JOMjlXZW5xNkpLbFNwVW82ZXZTb0JnOGViRDNuR2pac3FLTkhqK3JZc1dQVy9TNlhTd3NXTE5Camp6Mm1oSVFFMWExYlYzUG16TkdRSVVOa21xYlMwOVBWb0VFRFRaa3lSWlVxVlpMTDVkS2JiNzZwNTU5L1hxZE9uU3BTakltSmlkWnhyVnExaXYwYUV4SVM5Ti8vL2xkU3ppaWJ1KysrMnlwek9Celdibm5wNmVrYU9uU28vdk9mLzJqTW1ESGF2bjI3Sk9uWlo1KzlySDVSUEl4b0FRQUFLS1lUSjA1bzhPREJPbkRnZ0NRcE5qWlc0OGFOczBhUVRKbzBTWFBtek5FNzc3eWpwS1FrUGZua2szcnh4UmZWdTNkdnYrMGRQSGhRSDMzMGtYVitPUW1QVHo3NVJNbkp5WktrTGwyNitFeGprcVNZbUJoOStPR0hHanAwcUk0ZVBhcUpFeWRhWlYyN2R0V0lFU09LbmR3QmdHdEo3aFRKdFd2WGF1M2F0ZGIxcVZPbmF1clVxVDUxNTgyYnAzbno1cWxLbFNyNjRvc3ZKRWxqeG95eGppWHAwS0ZEZXVxcHB3cGRqMHVTTm0zYXBKNDllMnJVcUZHNjk5NTdDNnozMVZkZmFkT21UZGI1NVR6cjMzdnZQZXU0Zi8vKytjcTdkKyt1cUtnb2pSbzFTcHMyYmJMNk13eERvMGFOdW1UU0g0SEJiMU1BQUZDcVRKOCtYUjkrK0tIZnNwVXJWK3JycjcvMnVlYTluZWYwNmRNMVk4WU02M3ppeElrK0M4cEswdUhEaC9YKysrOWJhN1JJT2Q4d1B2cm9vL242Q3cwTlZWaFltTkxTMG5UTExiZjRqU2srUGw0dnYveXlVbE5USmZsZnNQZFNYQzZYejI0YS9oSTZaODZjMFlRSkUvenVxdkhwcDUrcVFvVUtSZDY5QXdDdU5abVptY3JNekZTVktsVWtTV2ZQbnJXbVlGYXNXTEhBKzd5VDB1M2F0Zk5KdEhqdjNKT3JiTm15aW9pSVVFUkVoTUxEd3hVYUdxcTllL2NxSlNWRkgzMzBVWUdKbG1YTGxtbjgrUEhXK1lNUFBsanNyWmFUa3BLMFpzMGFTZEtOTjk3b001b2xWMXhjbktaT25ab3ZkdE0wOWNZYmI2aGN1WEtGSm9NUUdDUmFBQUJBcWVKMnU0dTFHNUEzMHpSOUVpOGVqMGYvL09jL3RXdlhMbXQ5azRNSER5bzlQVjN2dmZlZU5tN2NxSWtUSitiYnFqbFhoUW9WTkgvK2ZPM2F0VXV0V3JYS1YvN3BwNTlxd29RSnlzN09scFN6L2ZUYmI3L3RrOFFwaXBVclYrcmt5Wk9TcE5hdFc2dG16WnI1WHRlTEw3Nm9oSVFFU2RMVFR6K3RQbjM2S0RrNVdhTkhqOWFlUFh2MDRZY2ZLam82dXNEZGpBRGdXcFA3N0pSeUZpYlBuVkp6L1BoeGErUkdyMTY5OU95enovcTkzK0Z3K094QWRPKzk5MnJGaWhXcVc3ZXVhdFdxcFJ0dnZGR1ZLMWRXaFFvVlZMNThlWlV0Vzlidkl1VWZmL3l4SmsrZXJKRWpSK1lyY3pxZG1qSmxpaFl0V21SZGUrQ0JCelJtekpoaXY5NjVjK2RheDkyNmRiUFdac2wxK3ZScERSbzBTQmtaR1FvTkRkVnJyNzJtTys2NFEzRnhjWHJsbFZlVWtwS2lrU05IYXY3OCtRVW0veEVZSkZvQUFFQ3Awclp0VzU5RXhiRmp4L1RwcDU5S2twbzBhYUwyN2R2NzFEOTQ4S0JXckZnaEtXZjlsZGpZV0t1c1hyMTZldXV0dDNUMDZGR2ZlOExEdzFXblRoMVZyMTdkMm40ekxTMU5VNmRPMWM2ZE95Vko1Y3VYMStEQmcxVzllblZWcjE3ZDUzN1RORFZseWhTZlVTaWRPM2ZXaUJFanJIVlVpbVB4NHNYVzhTT1BQSkt2Zk92V3JWYVNwWDc5K2hvMGFKQVY0NmhSbzZ5ZGlqNzY2Q01TTFFCS2pLeXNMT3ZZZStyaisrKy9iNDNvbUR0M3JrK0N3bHVuVHAwMGJ0dzQ2enc4UE54YTYrcW5uMzdTRHovOG9IMzc5cWxUcDA2S2pJeTA2cDArZlZyTGx5K1hKTFZ2MzE0OWUvWlVyVnExVkw5K2ZaLzIwOUxTTkhUb1VHM2J0czJLY2VqUW9Ycjg4Y2VML1ZyVDA5UDErZWVmVytlNU93MTVXN3AwcWJYQWJ0ZXVYYTBkaTlxMmJhdW5uMzVhVTZkT2xkdnQxc0tGQy8zdWlJZkFJZEVDQUFCS2xWYXRXdm1NSHZucXE2K3NSRXViTm0zMHpEUFArTlJmczJhTmxXaTU3YmJiOGszYnVlbW1tM1RpeEFrWmhpR1h5NlhiYjcvZG1sNFVHaHFxZXZYcWFmMzY5ZnJMWC82aTA2ZFBTOHI1dG5MNDhPRUZEbGYvNElNUHJDUkxTRWlJUm8wYTVmZE5jMUdjT0hIQzJzRWlKQ1JFdi8zdGIvUFZ5VjJrVjFLKzBTN2VpeUllT1hKRUxwZUx0Vm9BbEFpNVV5NmxuQ2s5a3JSNTgyWnI2Mk1wSjduaC9VenplRHpXU0JoL28xTnl4Y1hGNmUyMzM1WWt0V3paMG1jWHR4TW5UbGhsbFNwVlV2MzY5ZFd1WFR1Zit6MGVqNFlQSDI0bFdhS2pvL1dQZi94RHQ5NTY2Mlc5MXUrLy85Nkt1Mm5UcHFwYXRXcStPai8vL0xOMW5IZkJXKy96M0JHYXVIcjRMUW9BQUVxMTNPMk9wWnczdXNVMWVQQmdqUjA3VmdNR0RGQmlZcUpDUTBOOTNweS85OTU3K3VDREQyU2FwaXBWcXFUUm8wZjdiT3M1ZGVwVVZhcFVTVzNhdEZIOSt2V1ZsSlNrbVRObld1V1RKMC9XSFhmY1VXZ011M2J0a3RQcDlCbHRrMnZseXBYV2NiTm16YXdQRzk0cVZLaGdIY2ZIeDh2cGRGcGJmdVorQ0pDa2N1WEtrV1FCVUdKNGp6YU1pb3BTY25KeXZwRWExYXBWMDZ4WnMxUzVjbVc1WEM2OThNSUwyclJwazJ3Mm03cDE2eVpKMnJsenArYk1tZU56bi9kdVJOT21UVk81Y3VXczg1U1VGT3Q0NGNLRit2Nzc3NjN6OXUzYnExdTNidnJzczgrc2hXaWpvcUkwZS9ac24yUk5YaTZYUzVzM2IxYTFhdFg4YnIvODVaZGZXc2R0MjdiMTIwWlVWSlIxdkdQSERwK1JNN203RHVXdGg2dUQzNlFBQUtCVTgzNERYSzlldldMZlg5ZzlreWRQdGthbXRHclZTcSsvL25xK1VTeGZmdm1sVHAwNnBabzFhK3JUVHovVnNtWEw1SGE3SmVVTVUvL21tMi8welRmZjVHdDcrUERoS2xPbWpONS8vMzFybDRrK2ZmcG82TkNoUHZXOGQ5WW82SnZTTm0zYXFFS0ZDcnB3NFlKT25qeXBvVU9IcWx1M2JqcHo1b3plZi85OXExNm5UcDBLKzZzQWdHdUs5d2lPc21YTGF1alFvZFo2VmIvNzNlKzBiTmt5SFRseVJQMzc5OWRmLy9wWHpadzUwMHArREI0ODJFcGVKeWNuYTlXcVZRWDJzM1hyMWdMTDl1N2Q2emVoLzUvLy9NZTZGaGtaNmZPc3pWVzFhbFg5NFE5L2tDUU5IRGhRVzdac2tXRVltakpsaXMvb3hPenNiRzNjdU5FNmI5eTRzZDlZT25ic2FLMEZzM0xsU2tWRlJhbDE2OWJhdlh1M0ZpeFlZTlY3NElFSENudzlDQXdTTFFBQW9OUmFzV0tGOVVhOGJObXlhdFNvVWNEYVRreE10SklzZDk5OXR5Wk9uQ2k3M2U1VEp6VTFWYWRPblpJa2ErSEIzQzJocFp4ZE1uS25OZVUxWk1nUWxTbFR4dWNOZnQ0Myt5NlhTN3QzNzdiT216UnA0cmV0eU1oSWpSczNUc09IRDFkV1ZwYldyMSt2OWV2WCs5UnAwcVNKdFhZTEFKUUV1VW1Uc0xBd0RSczJ6SHErUHZqZ2d4bzllclJhdG15cDBhTkhXOG1XWFAzNzkxZmZ2bjJ0ODVvMWErWmJOMlhseXBVNmMrYU1iRGFiZXZiczZWTjI1c3daYXpSaDY5YXRWYmR1WGFzc04zbmovYXcvY3VTSWpodzVraS8rdW5YcjZnOS8rSU04SG8vaTR1SWs1YXpodFczYk5wOUVTMEpDZ3B4T3AzVmVVRks5ZWZQbWV1NjU1NnprL0tKRmkzd1c0WlZ5dG4rKzc3NzcvTjZQd0NIUkFnQUFTcVdOR3pmNkxITFlzV1BISzVvV2szZTNJdTloNWRIUjBUcHk1SWpQUXJZcEtTaytDekEyYjk1Y2txeUZDb3ZxcWFlZVVsSlNrdHh1dDU1KyttbWZzc1RFUko4ZGp3cWIrOSt1WFRzdFhMaFFjK2ZPMWZyMTYzWDY5R2s1SEE3VnJWdFhuVHAxVW84ZVBaZzJCS0RFT0hyMHFCSVRFeVZKRFJzMlZIeDh2Q1NwVWFOR2V1V1ZWNVNhbXFyTXpFeFZyRmhSNTg2ZHMrNnoyV3c2ZlBpd1ZxeFlvWmlZR0ZXdlhsMzE2OWZYOE9IRHJUcUhEeCsyRmhuUFd5YmxURFhLVGJRODhNQUQ2dHk1Yzc3NGl2T3N0OWxzR2pSb2tENzQ0QVBkZU9PTjZ0cTFxMDk1N2pwY1VrNVN5SHM2YUY0REJneFFiR3lzRml4WW9CMDdkaWdsSlVWbHk1YlZyYmZlcXQvLy92ZTY2NjY3aWh3WExoKy9UUUVBUUttelpNa1NUWm8weWRxUklqSXlNdDhpdUVVMWZmcDBlVHdlYTBIWjNLMUFXN1Jvb2NxVkt5czVPVmtMRnk3VXdvVUxDMndqSkNURStnYngzWGZmTFZiL3JWdTMxaGRmZk9HM3JGR2pSdHF5WlV1UjI2cGR1N1pHalJwVnJQNEI0RnJrdmR0YTkrN2RsWlNVcEkwYk4rcTU1NTdUODg4L3IvajRlR3VhcGlUZGNNTU5PbnYyckR3ZWoxYXVYR2tsU2lwVXFLQmx5NVpaNjFzbEpDUm94SWdSMXE1RkR6MzAwR1hGbHp2YXBxajY5dTNyTThyR1c1OCtmZFNuVDU4aXQ1VjNVWGo4K2tpMEFBQ0FVbVh2M3IyYU1tV0tsV1J4T0J5YU1HSENaUzJFSytVTS8vWmU1NlZCZ3dhU2NoYU9uVFZybG1iTm1xVjE2OVpaT3c1NUN3ME5WZVBHamZYY2M4OWRkdjhBZ1B3ZWUrd3hiZHk0VVVlUEhsV0hEaDEwenozMzZNa25uNVROWnRQWnMyZXRKRXRNVEl6NjkrK3ZEaDA2S0NFaFFRc1dMTkIzMzMxbmpUaDU4c2tuVmJac1dabW1xZGRmZjExTGx5NjFSakEyYWRJazM3UWhvQ2hJdEFBQWdGS2xRWU1HbWoxN3RnWVBIaXpUTkRWaHdnUzFhTkhpaXRwYnUzYXR5cGN2cnpadDJxaFhyMTVXV2MyYU5UVm16QmhKa3RQcDlKbkc0M0E0RkJFUmNma3ZCQUJRb0dyVnFtbm16SmxhdjM2OXlwUXA0MU0yYXRRbzdkNjlXL2ZjYzQ5Kzg1dmZXTmRqWW1JMGR1eFl1ZDF1N2R1M1Q3dDM3OWJERHo4c0tXZXI1MTY5ZW1uejVzMDZlUENnN3IzM1h2M2xMMzloU2lVdUMvL1hBQUNBVXVlV1cyN1IzTGx6RlI0ZVh1aGNka202ODg0N0M1MStNMkRBQUEwWU1PQ1NmWWFFaEZoYkpnTUFycjR5WmNyb25udnV5WGY5OXR0djErMjMzMTdnZlhhN1hRMGFOTEJHS09hcVU2ZU81czZkcS8zNzk2dFpzMllGM3Qra1NaTmlUZHZFOVlkRUN3QUFLSldZcWdNQUtLN0l5TWhDa3l4QVVkaUNIUUFBQUFBQUFFQnBRYUlGQUFBQUFBQWdRRWkwQUFBQUFBQUFCQWlKRmdBQUFBQUFnQUFoMFFJQUFBQUFBQkFnSkZvQUFBQUFBQUFDaEVRTEFBQUFBQUJBZ0pCb0FRQUFBQUFBQ0JBU0xRQUFBQUFBQUFGQ29nVUFBQUFBQUNCQVNMUUFBQUFBQUFBRUNJa1dBQUFBQUFDQUFDSFJBZ0FBQUFBQUVDQWtXZ0FBQUFBQUFBS0VSQXNBQUFBQUFFQ0FPSUlkQUFBQUNDeTN5NjJFdllrS0N3c0xkaWhBaVJPZnNGZE9welBZWVFCWGpkUHBWSHpDM21DSEFWeXh4SDM3bFpXVkhld3cvQ0xSQWdCQUtaT1JtYWwzWjg1V2FFaG9zRU1CU2h5bjA2bVUxTlJnaHdGY05TbXBxWnIyenZzS0NRa0pkaWpBRlhHNVhOZnM4NXBFQ3dBQXBZVEhNRS9aWkJ6M21HYjRoWlJyODQwSFVHS1k1c2xzMHp3ZTdEQ0FRTWsyUGNkRFpaejBTRHFma2hMc2NJQ0FNUXdqeGVVMGp3UTdEbTlHc0FNQUFBQUJZNnRkNzlhR05rZEkxV0FIQXBSMGJzT1RmRGhoUjd3a1Q3QmpBUUxFVnJOaGsxc2RzbGNLZGlCQUlCa2U1N21mZjlxOVV6eXZBU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WNQVVp3UTRBQUFDVUxIVWFOcXdqTTdSaHNPTUFnc1h0OWlRZTNyZHJmN0RqQUlxclZyM0dOOXZ0dHZyQmpnTUlKSmZUdWYvSWdZVEVZTWZoalVRTEFBQW9zcHAxbTljUENUV1htRks5WU1jQ0JORnhWN2JSOGNpQjdkZlVHM3VnTURYck5xL3ZDRFcvbEhSanNHTUJBc21RVXR3dTE5Mkg5dTJPRDNZc3VSekJEZ0FBQUpRY2psRFZNQTFWdGhtMjhFbzMzS0N3c05CZ2h3VDhhckt5c25YMjNEbTVQWjZLamxEVmtFU2lCU1dHSTFRMVpCZ1Y3VFpiK0EwVksvTDhSb21YbmUzVTJYUG41SEs1WkxQYmEwc2kwUUlBQUVxdU1oRVJlbm5JUURWdGZHdXdRd0YrTlR0MjdkYmYzM2hMNTg1ZkNIWW93R1VyWDc0Y3oyK1VDbnQrU3RUZnA3eXBrNmRPQnp1VWZFaTBBQUNBWXJQWmJhcnptOXFLYWRRZzJLRUF2NXFVMUZRNTdMeDlSc25tc0R0NGZxTlV5TXJLVWtoSVNMREQ4TXNXN0FBQUFBQUFBQUJLQ3hJdEFBQUFBQUFBQVVLaUJRQUFBQUFBSUVCSXRBQUFBQUFBQUFRSWlSWUFBQUFBQUlBQUlkRUNBQUFBQUFBUUlDUmFBQUFBQUFBQUFvUkVDd0FBQUFBQVFJQ1FhQUVBQUFBQUFBZ1FFaTBBQUFBQUFBQUJRcUlGQUFBQUFBQWdRRWkwQUFBQUFBQUFCQWlKRmdBQUFBQUFnQUFoMFFJQUFBQUFBQkFnam1BSEFBQUFjQzFhdjM2OXlwUXBvNlpObStZcjgzZzh5c3pNVkVaR2hqSXlNcFNlbnE2MHREU2xwNmNySlNWRkZ5NWNrTXZsVXI5Ky9ZSVFPUUNVWEM2WFN5ZFBubFNOR2pXQ0hjb2x1ZDF1MmUzMkl0Vk5UVTFWVmxhV0tsZXVmSldqd3JXQVJBc0FBRUFlMjdadDA4c3Z2eXkzMjYwLy9lbFA2dHExcTRZTkc2YU5HemNxT3p0YkxwZnJrbTNZYkRiMTZ0VkxJU0VoaGRaNzQ0MDNOSC8rZkVuU2l5KytxTDU5K3dia05RREF0ZXpqanovVzMvLytkOWxzTm0zYXRNbTZ2bURCQWsyZE9sWFIwZEdhUDMrK2Jyamhob0QyZS83OGVkMTc3NzJTcEU2ZE9tbmN1SEZXV1ZaV2x0cTFheWRKZXZycHB6Vm8wQ0NyYk11V0xYcjExVmZWdkhselBmZmNjOXE0Y2FQKytjOS9xbmZ2M25yc3NjY3UyZStDQlF2MDNudnZLU29xU24vKzg1OTF6ejMzQlBSMTRkcENvZ1VBZ0ZLdWFkT21WUTNEcUJNWEY3ZEZranZZOFpRRVdWbFpNazFUTHBkTDQ4YU4wNkZEaDFTOWVuVmR2SGpSYjMyYnphYXlaY3NxTWpKU05wdE4wZEhSS2xldW5GSlNVbFNwVXFXckV1T2FOV3UwYk5reTdkcTFTMmZPbkZGb2FLanExNit2YnQyNjZlR0hIeTUyZTU5Ly9ybmVlT01OblRselJ2MzY5ZE9RSVVOOHlydDM3NjREQnc1Y3NoMlNSY0JWNTJqU3BFbWoxTlRVeEtTa3BNeGdCMU1jKy9idDAwOC8vYVRvNkdpLzVjbkp5ZnJnZ3c4a1NURXhNWmRNc3ZUcDAwY3BLU2wreXg1NjZDRU5HRERneWdMMnNtREJBcDA0Y1VKYnRteFJkSFMwRGg0OHFHUEhqbW5xMUttNi9mYmJWYmR1WGF2dTJyVnJkZlRvVVovN1AvLzhjMGs1aVo3NCtIaWRQbjI2U1AzKzduZS9VMWhZbUxLeXNyUnMyVEo5L2ZYWFNreE1WR3BxcXNxVks2ZW1UWnVxWDc5K2F0NjhlYkZlVDFaV2x1Yk1tYU1QUC94UVRxZFQwNlpOczVKTXVYSG1KcVF1WmQ2OGVZcUppU2xXLzZVZGlSWUFBRW81dTkzZXlEQ003Mk5qWXhOTjAzemY3WFl2VDA5UFAzN2d3SUUwa1hqeHEwMmJOcG95WllwZWV1a2xPWjFPcGFXbDZmSEhIMWVUSmsxMDd0dzVOV3JVU0pHUmtUcDU4cVMyYnQzcTg2M25ZNDg5cG5MbHltbmd3SUZYTGNreVk4WU16Wm8xeStlYXkrVlNYRnljNHVMaXRIUG5UbzBjT2ZLUzdXUmxaZW5iYjcvVjRzV0xGUmNYRjVEWURNTUlTRHNBL0l1SmlRa1BDUWw1T1NvcTZ0SFkyTmpGSG85bnZtbWF1NU9UazlNK0pndDZBQUFnQUVsRVFWU09IVHVXSWNrTWRvd0YrZjc3Ny9YT08rK29RNGNPYXQyNmRiN3lxVk9uS2owOVhWSk9zdUtPTys3dzI4NkxMNzZvSGoxNjZPalJvN3B3NFlMZk91Zk9uUXRZM01lT0hkT3FWYXNrU2M4ODg0ekN3c0kwY09CQWZmZmRkd29MQzlQeDQ4ZDlFaTFMbGl5eDZ2c3paODZjSXZmZHNXTkhxNy90MjdmN2xKMC9mMTZyVjYvV21qVnJORzdjT0Qzd3dBT1hiTy9zMmJQNjczLy9xMFdMRnVuWXNXTkZqcU13UFBmekk5RUNBTUIxd2pDTStvWmgvTU5tczQydVVLSEM1dWJObTI4MkRHTzcwK2xjdTJ2WHJzUEJqdTlhMDdadFcwMmFORWtMRnk3VWlCRWp0SC8vZnMyY09WUEhqaDNUMHFWTFpacW1ldlRvSWRNMDFiSmxTN1ZwMDBacjFxeFJZbUtpRWhNVFZiRmlSWTBlUGZxcXhKYWFtaXBKYXRDZ2dabzFheVpKV3IxNnRVNmNPQ0ZKK3ZlLy82M09uVHZyMWx0dkxiU2R6cDA3S3prNXVVaDlkdXJVcWNCdllELzk5Rk5sWldYSmJyZXJRNGNPUlgwWkFLNkF6V1lySitscHU5M2UxelROcE9qbzZNMVZxMVpkYnhqR0QxbFpXVHZpNCtPemd4MWpjWHoyMldmV3FBOUpjanFkY2pxZGZ1dm1uYjVacjE0OXRXclZTcEswZVBGaXEzellzR0ZhdjM1OWdYMnVYTGxTMzMzM25hWk1tYUxObXpmTDQvRllaVnUzYnRYMDZkTjEvLzMzYS9iczJWYlpHMis4b1RmZWVNT0t3K0Z3NlAvKzcvK3MrNFlORzZhd3NEQ0ZoNGRiMTNKSFNVcnl1VjRjS1NrcHN0dnR1dTIyMjFTdlhqMmxwcWJxcTYrK1VrWkdoa3pUMU1TSkUzWFBQZmNvTkRTMHdEYjI3OSt2WHIxNkZXbjZhMWhZbUhyMDZGRmdMRjk4OFlVa3FXYk5tcXBmdi81bHZhYlNqRVFMQUFEWEVkTTBaUmhHZWNNdzdwRjBsMkVZcVNFaElhZWFOMisreldhenpkKzZkZXZua2k3OUR1dzZZSnFtMnJkdnIvYnQyMHVTYnJ6eFJwMDZkVW9aR1JtYU1XT0d4b3dabzdadDIrckhIMy9VdkhuejFMcDFhNzM3N3J1U3BJaUlDRDMvL1BOWExiYXFWYXZxN2JmZlZ0dTJiYTFyenozM25CNTU1QkZyZXRPR0RSc3VtV2hKUzB1ejRxMWV2YnIyNzk5ZllOMm5uMzdhNy9YdnZ2dE9peFl0a3BRenhMMTI3ZHJGZWkwQUx0OHZIOTRkaG1IVWsxVFBNSXpmU1RvZEZoWjJPRFkyZG1GbVp1YS9FeElTamdjM3lrdmJ2WHUzL3ZhM3YwbksrWUQveWl1djZQdnZ2OWZQUC8rc1o1OTlWZzZINzhmV0JnMGErSnczYmRwVXc0Y1BseVF0VzdiTWVyWmxaV1VwTTdQZzJWVnV0MXR1dDF0WldWbWFQWHUyVDluMjdkdTFmZnQyblR0M1RsOTk5WlYxUFc5N2VaTVdUcWRUcjcvK3VuVis2TkFoZGUvZVhTNlhTN1ZyMTlZbm4zd2ltNjM0bS84MmI5NWNreWRQOW5uR2R1elkwUnBSbVpLU29qMTc5dmhkd0QxWFZsYVdGVy8xNnRXVm1abXBzMmZQK3EwYkVSR2hFU05HK0MzN3h6LytZUjBQR2pRbzM3OFBTTFFBQUhEZHlmMVdUWkxOTk0wS2tpclliTGI2a25yRXhzWWVsN1RBN1haL2xKMmRmVEF6TXpPOXBLMEJFQWdaR1JsNjRZVVhkUGZkZCt1Sko1NlFKSlV2WDE1OSsvYlY5T25UZGZUb1VibmRiajMyMkdQYXRXdVhtalZycG0rKytVWjc5dXlSSlBYdjM5OW5aNG5UcDA5cnlwUXBmdnZhdTNldmRmejU1NThySVNIQmI3MVJvMGFwYk5teWtxU25ubm9xWDNsVVZKUnExYXBsdFplUmtYSEoxOW1xVlN2RnhzYXFTNWN1bWpselpxR0pGbjljTHBmZWZQTk5TVGtmanA1OTl0bGkzUThnTUx5ZTYrR1NhaG1HVVV0U3U0aUlpTGVhTjIrKzFEQ00vNlJrdXJQZEt2NEgvS3ZOTkUyTkhEblNHcjB5ZVBCZzNYenp6ZnJyWC84cWo4ZWpoUXNYYXNLRUNhcFdyVnF4Mi83dGIzK3JXclZxK1Z6THlzclNwNTkrS2ttcVhidTIyclJwb3lwVnFxaENoUXFTWkUxRkNnc0xVMGhJaVA3em4vOVk5elpvME1DYWx2bmYvLzVYaXhjdmxpUzkrKzY3MWtpVjZ0V3IrL1QzajMvOHcwcHU5T3JWcTlBcFJYazFhOWJNV3FmbXozLytjNzd5eG8wYis1eGY2cmtmSGg2dXUrNjZTM2ZmZmJjNmR1eW9QbjM2Rkpob0tjakJnd2YxNzMvL1c1SjB5eTIzNlA3Nzd5L1cvZGNMRWkwQUFGeEh2T2RSZTcweHQ0NE53N2hSMHNzT2gyT2czVzdmSFI0ZXZpTTJOdllIdDl1OVljZU9IYnQrN1hpRDVkVlhYN1crell5TGk5UFlzV01WSGg2dW1qVnI2dUdISDlaZGQ5MmwxYXRYUzVMKytNYy9LaUlpUWhjdlh0UXR0OXlpUTRjT3FVYU5Hbkk2bmRhT1ErbnA2VnE1Y3VVbCsvM3BwNS8wMDA4LytTMHI2SnZGWEJrWkdUcHk1SWgxbnZmRGhUOVRwMDY5WkozQ0xGcTBTSWNQNTh3NmUvVFJSMVdsU3BVcmFxK2tNRDJtUXUyZW0ySmpZMDFKcG1FWXBpUzUzVzdyT1BlNllSaW15K1V5SlNuMzNQdTRzREtuMCtsenpXYXorWlJuWjJkYng3bjFiRGFiYVJpR21aV1ZaWlhsWHNzdHo4cks4cW1iMjY3TlpqTXpNaktzWTV2Tlp0cnRkdXM4UFQzZGxDUzczVzdkWTdmYlRidmRibDY0Y01HcWE3ZmJUWWZEWVVwU1NFaUllZkxrU2V2YzRYQ1lvYUdocGlSRlJFU1lXN1pzeWYzN1lpVGRaY3A5cnZ0N3BrdVN6V2JyS3FsclJJanRRcnBUWlg3dCtDN0ZNQXhObWpSSm8wZVBWbFJVbEI1NzdERVpocUdubjM1YU0yZk8xTTZkTzlXdlh6OHRYYnBVWmNvVUwvd2VQWG9vSXlOREVSRVIxclh6NTg5YmlaWmJiNzNWZXJaKysrMjNQcnNPOWU3ZFc5bloyZGF1Y0pKVXRteFpOV25TUkpLMGVmTm02L3F0dDk3cU43YlZxMWZyeHg5L2xDVFZyVnRYSFRwMFVLZE9uWW9jZjk0RmF2TktURXowT2IvVWM3OXUzYnFhUEhseWtmdjM1ODAzMzdRU1I4ODk5eHpyc3hTQVJBc0FBRmRSa3laTkdqb2NqanNrRmI3SDc5WGxkL0swdjZTTFY4SWwzRENNbHBKYVNPcGh0OXRQeDhiR0psek05dXpJOHFqVXY2dDY5dGxuRlI4ZnJ4TW5UdWpiYjc5VjllclY5ZEpMTDJuOCtQRktTMHZUOHVYTEM3MS81TWlSK3VhYmJ4UVZGZlVyUlN5OTlkWmIxaUtTWmN1V3ZlcHJwWGdQdFhjNEhOZlZUa09HcElnUVIyL0RNSHkyMmNoTlBuZ3hUZE9VM1c2WDhpeFFtcHY0K0dYSWZiNzd2TXJ5bFpzNTVIQTQ1SlhZOGVuVGE1MEcwK3REdCtueGVMeTNITGNLRE1Nd1RkUE11MzdFLzI0MFRkUDd3NnAzbWNmak1jdVZLNWZ2dGYxeW42cFdyV3I2dTg4MFRmMlNyTXIzR2d2aE1nekQ5Y3VMeXYzajhUbzJUZFBNVFN4NW4zdHlqM1ByZTljeERNUGozYVpoR0tiSDQvR3VZNVgvOG5mbDhhNmIyNFpYSC83YXlkdEh2blB2OXZLMjQ5Vm5pR21hVGZOK3dDMUNJcjNDdGJwTzdpMjMzS0s1YytjcVBUM2RlaDNQUC8rOGJyamhCazJaTWtValJvd29OTW15Wjg4ZXpadzVVNUtVbmYyL3BXbCsrT0VIalI4L1hqMTc5bFMvZnYyS0haZjNsQ0VwWnpwUjdyUFZ1eC92NU1tOGVmTlV1M1p0SFQ5K1hLKzk5cHAxZmVEQWdYSTRISVd1MGVKeXVYeW1JaFdXeE1qTXpQUVpLZG1zV2JOOG8ya0NMU0Vod1JxUlU2OWVQZDExMTExWHRiK1NqRVFMQUFCWGtjUGhXUG5MRU80UzVaZTFYR1Rrdk1zTGx4UnBtbVo1bTgwSWxlZmFmS01lU0xsditnY1BIcXp3OEhCcnZaV0lpSWdDRnhITXpzNzJXVWpSVzUwNmRiUmh3d2EvWlcrOTlaWSsrdWdqU2RLUUlVUFV1M2R2di9VS21nUHZjcmswZWZKa2E1MFVLV2N4eHR4aDhGZkw4dVhMclYwOS90Ly8rMy9YeldnV2kyR0dtS1lpcFA5OUdETDhmeW9xNkpOU3Z1dW1hUmI1L2dMNjhsdS9vTHJlL1hsOU1DL3dmai9OWE9scnkyMisyTW5id200cExBRlJuUHZ5cnFNUmlIWUtpKzFTN2ZnYnVWS2FMRjY4V08rODgwNis2NlpwYXZUbzBkYmk0bVhLbE1tWEFJbVBqMWQ4Zkx6UE5iZmJyUmt6WnVqa3laTjYrKzIzRlJNVFl5MllXMVFQUC95dzFxMWJwN0N3TUczYnRrMGVqOGRhLzhXYjl6V1B4Nk9MRnk5cTZOQ2hQanNmUlVkSDY0WWJidEFQUC96Z3Q2OWx5NVpweXBRcFNrbEprY1BoVVAvKy9RdU05OXk1Yy9yakgvOW92ZWJ3OFBBaTdUUjNwZWJPbldzZDkrclY2NnIzVjVLUmFBRUE0Q3J5U3JLc05VMHpXRVBqb3d6RGFKNzNZa0Z2MW45NU0rOHlUZk8wcEpPR1lmems4WGdtYmQrK2ZWT2RoczN2a3FISHIyNjQxNFpLbFNycC9mZmZsL2UzL0xtN0xIaTdlUEdpWnM2Y3FZOCsra2dlajBkUlVWRWFObXhZdnRFc0JTVks4bjU0Szg2aWdzbkp5ZnJUbi82a2JkdTJTY3I1UURkczJEQjE2ZEtseUcxY0RvL0g0ek9jL3ZlLy8vMVY3ZTlhWTBxNm1PMzZaOWtRKzgrbWFSb09oeU0za1dCSU9VbUYzUE5mUnJQa25sdjFUTk0wN0haNzN2cnlWK2FuWGRuKzkrbmQ1MTZielphdm4wdVU1YmJuMDQvMzhTK0pFTDlsdWZmbGpkKzdUMzlsWHZmWmM5dTc1Tis3YVRwKzZkTzdMWC94NUMyWDkydklHNk5YV2I3WG1LZTh3REx2OXZMMldWaVpuMWl0dkphZlBuUExRZ3pEdUZXU1R4TC9FczkwbWFhWmFacG1xSFFOTHRTaW5FVmtDMXE0MXUxMkYzcXYzVzYzUm1ybHRtRzMyelYrL0hqMTd0MWJtWm1aZXVXVlY3Umd3WUppUFdPN2R1MnF6cDA3YTl5NGNaSnkxa1RKWGVoMjhlTEZWdUpoOGVMRjF1K0pxbFdyYXV6WXNkcTNiMStSK2poMzdweis3Ly8rVDF1M2JwVWt4Y1RFYU15WU1hcFhyNTdmK2p0Mzd0U0lFU04wOHVSSlNWSzVjdVgweGh0dlhQV2RmNDRkTzZhdnYvNWFraFFaR2FtT0hUdGUxZjVLT2hJdEFBRDhDdHh1ZDMrbjA1a1NqTDdEdzhQYlNsb2lGZW1OK0VuVE5KZDRQSjdGa280Nm5jNU1qOGVUdm1mUG51S3RsbGNLSkNVbGFkU29VWHJnZ1FmVXNXTkh2eU0ydG0zYnBqLzk2VS9XRnNsZHUzYlZDeSs4OEt0TUdUcHc0SUNlZi81NXErL0tsU3RyL1BqeHV1MjIyNjU2M3hzM2J0U2hRNGNrNWF3SmtMdkY5UFhDc0JseWVSd0g0dUsyZngvc1dLNHpScDcvNXIzdTc5eVFwSll0VzBxU01qSXlmT3BtWjJkYjV5Nlh5NmZNKzl6ajhSaFN6dTVqa3VSME9ndXNLMGx1dDl2d2Q1emJWc1dLRll0Y04yK1p6V1lyR3hZV05zRXdqTWNsLzgvMVBOT0lWcGltK2Q5TXB5ZGJzazJXVkQ3ZkRkZVFxS2dvVFp3NFVkOTk5NTBXTGx5b0prMmE2SVVYWHJETy9lblNwWXUxV0d5SERoMnNFU1oxNnRUUlN5KzlwTmRmZjExbno1N1Z5SkVqTldIQ2hDTEhrdnZ2blNzME5OU2FubE8rL1AvK0dxdFZxK1l6dFNsMzZwN2RicmVTUk9mUG45ZVhYMzZacjQvRGh3OWJTWmI2OWV2cjhjY2YxLzc5KzYzRnlkdTFhNmZjcVhsZmZmV1ZSbzBhWlkyc2JOeTRzU1pNbUpBdnpxdGg2ZEtsMXFqTisrKy8vN0szcWI1ZWtHZ0JBT0JYNEhBNFRzYkZ4VjBJUnQreHNiRm4vUTE1LzJXK2Y0WmhHQ21tYVc2WE5IdmJ0bTJmU25JR0k4NXJ6WjQ5ZTVTUWtLQ0VoQVJWcWxSSnMyYk5zbmFqeUpXWm1XbHRwK3h3T0xScTFTcWZIU1dhTld1bVNaTW1CVHkyNU9Sa255UkxpeFl0TkdIQ0JGV3FWQ25nZmZuai9XR0JIU2Z3S3lydWVpNldMVnUyQkNTQVk4ZU9CYVNkS3hFVEU1TmxHRWFXOXpXdlo3eFRVb3FrNDI2M2U3NmsrWEZ4Y1VjbDZaY1JpZjduTjE1RFFrSkNkTnR0dDFtSmhnb1ZLdmljRjllamp6NnFsU3RYYXN1V0xUcDkrclNPSDcvODNhNjNiZHVtTys2NFE1THZ0czdlejhGLy9ldGZhdHEwcWJadjM2NUhIbm5FMnBrdEtTbnBrZ3ZSSmlZbVdsT2t2TnRyMEtDQk5tM2FwRmRlZWNWS2R2VHMyVk12di96eXI3YTFzdmVDN3ZmZGQ5K3YwbWRKUnFJRkFJRHJ5Qzl2eGxNa2JaYTB5ZVB4YkhVNm5ldmo0K01QQlRleWE0LzN0c3N4TVRFNmUvWnN2a1NMTjVmTGxXK2J6TUxxWDRrMzMzelRKOGt5ZmZwMDc4VlA4emwvL3J6aTQrUFZvRUdESzA3R09KMU9mZmZkZDlaNTI3WnRyNmc5QUpmUGE2cm5Ya203VE5OY0orbkg3T3pzdVBqNCtPekM3NzQrR0lhaFYxOTlWU3RXck5DVFR6NXBKY2N2WmRPbVRSbzRjS0JxMXF4cFhUTk4wKy8wSnU5cnBtbXFYYnQydXZQT082MGRoNlNjcVozK1JvR1lwcW1zckp5OG1jUGh5SmM0c2Rsc2NybGNHanQyckpWazZkZXZuNFlNR1ZKby9FZU9ITkhodzRmVm9rVUxoWVdGRmVFVkYyejM3dDNXcm5ZaElTSFdDREVVakVRTEFBRFhDWS9IYzhBd2pIOTZQSjR2M0c3M3dWMjdkcDBSVzZvV0tEZlJFaGtacWRxMWEydjQ4T0hXbStGYzY5ZXZ0K2FzOStuVFI3LzV6Vzk4eWl0WHJoend1UEp1RlcyYXB0K2g4SzFhdFZLblRwMTA3dHc1L2Y3M3Y5ZjU4K2NWR1JtcHhZc1hxMnJWcXBmZC80NGRPNVNhbWlvcDV3TkFvMGFOTHJzdEFKZlBOTTEwU1o5SytsaFMzSVVMRjg0Zk9IQWdSZGZxMWtKWFVXSmlvclZlaXZkdVFMbHExcXlwQVFNR1NKTGZSTXY1OCtlMWNPRkNuNUZQTzNmdWxDU2Y1SFNUSmswMGNlSkVTVG5yc3N5Wk0wZVN0R1RKRWl1SlVxbFNKYitqVEpvMmJlcDNJZHlkTzNmcXlTZWZsSlN6NDkwenp6eVRyODY2ZGV0MDlPaFI2L3pZc1dNK094cmw2dDY5dXhvMWFxU05HemRxMEtCQjhuZzhpb21KMGJ4NTgvTFZMUTd2dUJzMGFPQzljeGtLUUtJRkFJQlNMaXNyYTI5b2FPZ2QyN2R2M3lDcDhCVUZZY2xOdERScTFFaUdZZWpCQngvTVZ5YzFOZFZLdExSdjM5N3YraWd1bDh2dkczL3ZjdS9qd3I1dERRc0wwK0hEaDMzdTJiWnRtN1VZYnQ2Nm5UcDFVbEpTa3M2ZlB5OHBaMmVNeE1URUswcTB4TVhGV2NjMzMzeXo4bXo1QytBcWk0K1B6MnJXck5sYkZ5NWNlRDRwS2NuLzZySFhtWjA3ZDFxSmtjdmhjcm4wd1FjZjVMdGVwa3daM1hUVFRUcDkrclNrbk5FYzBkSFJrcVN5WmN0YTlhcFVxVkxvOXROWDZzQ0JBejduZVhkZHl0V3VYVHMxYXRSSWNYRngxdWlYK1BoNFpXWm1YdEdhS3R1M2I3ZU9HemR1Zk5udFhFOUl0QUFBVU1yRng4ZWZrSFFpMkhHVUpELy8vTE9WbkNoc3hFWlJ0bG45NXB0djlNb3JyeFNwMytuVHAydjY5T2tGbGsrY09MSFlVMythTkdtaSsrNjdUMnZXckZHclZxMnVlTEhjSFR0MldNZTMzbnJyRmJVRjRMSTQ0K0xpOG1kWFM0blRwMCtyUTRjT2NqcHpsZ3RidDI2ZHovbVZPbmp3b0hYOHk2NWdxbHk1c2lwV3JLaTB0RFExYTlaTXJWdTNWcXRXclJRVEV5TzczYTZOR3pkS0t0b2FMYjE2OWRLZ1FZT0tIRTlCT3kxNXk4aklLSEo3a3RTNWMyZDkvLzMzT25qd29IcjM3bjFGU1JhUHg2TmR1M1paNXp6M2k0WkVDd0FBUUI3ZUkwUmlZbUo4eXBZc1dhTDA5SFJGUkVUNGZLdjRheTFJR0JzYlc2eUZQUjBPaHpYVXZURERody9YOE9IREwxbHY2dFNwUmU0YkFMeTFhTkZDQXdZTVVKMDZkYXhrdGorNXV3WkpPVnM3ZTUvNzA2VkxGK3Y1MWFsVEo1LzZXN2R1MVQvLytVK0ZoSVRJTUF4cmh4OUpQcVA3M25yckxkV3RXN2ZRcEVSUjFtZ3BiQVJqcmhrelpsaXZmOE9HRGRiMWdrYkZQUFBNTTM2bkZCVWtPanBhSDMzMDBTWHJGYlNMa3plYnphYlZxMWNYdVcva0lORUNBQUNRaC9jdzZieUpsbTNidG1uRmloVSsxMncybTJyVnF1VzNyZXJWcSt2aGh4OE9TRnk1MjRvQ1FFblVva1VMdFdqUlFwTDA4Y2NmKzYwVEZSV2xzV1BINXJ1K2V2VnFMVjY4Mk9mYUUwODhvWXlNRERWdTNOaEtVZ3diTmt6WjJkbTYrZWFiSlVrMWF0VFEyclZyL2ZiMTI5LysxanJPKzZ6M3AwR0RCaG81Y21TaGRhcFVxWExKZGs2ZE9xVmx5NWI1WERNTXcvcTdRY2xIb2dVQUFDQ1BoeDkrV0dGaFlkcTVjNmRxMUtqaFUxYS9mbjFKT1hQMXk1UXBvK2pvYVBYdTNidkFLVDFObWpSUmt5Wk5ybnJNQUZDU2xTMWJWbFdxVkZIbHlwWFZybDI3Zk9YSnljbXFVcVdLejdwUVR6LzlkTDU2blR0MzlqbVBqbzVXcFVxVmRPYk1HZXRhdFdyVjFLOWZ2MkkvbTh1V0xSdVE1M21MRmkwVUh4K3YwTkJRaFlXRnFXclZxbnJra1VmVXNHSERLMjRiMXdiajBsVUFBTURsYXRHaWhTbEpobUZFYmRteTVlcnM5ZnNycXRPdytWMHl6QVhseTVXcjl0NjBOOVRtOWl0Yjc2TWtNazB6ZDB0VlhHZldiOXlzSWNQK3BOTm56cHlYcWE1SmU3Wi9IK3lZZ0tMS2VYNXJhWlZLbGFMZW1qemh1bnArWjJabXlqUk4yV3cyT1J3T2EyMFdsR3pidHUvUWtPRi8wcEdqeHpKbG1sMlQ5dTc0SXRneDVXSkVDd0FBUURHUVpBR0FrdVZLRm9NRkxvY3QyQUVBQUFBQUFBQ1VGaVJhQUFBQUFBQUFBb1JFQ3dBQUFBQUFRSUNRYUFFQUFBQUFBQWlRYTNJeDNEb05HOWFSR2NyZVZyaHNicmNuOGZDK1hmdURIY2YxaUo5ZlhDbCtmZ0VBQUZDU1hYT0psbHIxR3Q5c0dQWi9tWVp4UzdCalFjbmxNSXdqdGVvMS9oMGYxbjVkL1B3aUVQajVCUUFBUUVsMnpTVmE3QTVITFZObWJadGhSRlc2NFFhRmhZVUdPeVNVSUZsWjJUcDc3cHpjSG8vc0RrY3RTWHhRK3hYeDg0c3J3Yzh2QUFBQVNvTnJMdEdTS3lJaVFvT2ZmMWFOWXhvRk94U1VJTHZpRS9UR3RIZDA3c0tGWUlkeVhlUG5GNWVEbjE4QUFBQ1VCdGRzb3NWdXQ2bCt2WnNWMjd4cHNFTkJDWktWblMySDQ1cjkzL3E2d2M4dkxnYy92d0FBQUNnTjJIVUlBQUFBQUFBZ1FFaTBBQUFBQUFBQUJBaGp0QUVBUUxGNVBCNGRQWFpjK3cvOEhPeFFnRi9OMFdQSDVYYTdneDBHY0VYY2JqZlBiNVFLUjQ0ZGw4dmxDbllZZnBGb0FRQUF4WmFSa2FFcGI4MVFSRVI0c0VNQmZqVVpHWmxLU1UwSmRoakFGVWxKVGVINWpWSWhNek5MWjg2ZURYWVlmcEZvQVFBQVJlWTJQTWwyMDVicDhaZzZmdUpFc01NQmdzSXc1WFFabnVSZ3h3RVVoOXZ3SkR0TW05UHQ5dkQ4UnVsaUdHN1RaWjRLZGhqZVNMUUFBSUFpTzV5d0k2RldnOGJkN1I1SHpXREhBZ1NONlRsK09IRkhRckREQUlyamNNS09oRHIxbW5hV3pWWXQyTEVBZ1dUYVhLY083dHNWRit3NHZKRm9BUUFBeGVFK3ZIZlhaa21iZ3gwSUFLQlkzRW43ZHF3UGRoREE5WUJkaHdBQUFBQUFBQUtFUkFzQUFBQUFBRUNBa0dnQkFBQUFBQUFJRUJJdEFBQUFBQUFBQVVLaUJRQUFBQUFBSUVCSXRBQUFBQUFBQUFRSWlSWUFBQUFBQUlBQUlkRUNBQUFBQUFBUUlDUmFBQUFBQUFBQUFvUkVDd0FBQUFBQVFJQ1FhQUVBQUFBQUFBZ1FFaTBBQUFBQUFBQUJRcUlGQUFBQUFBQWdRQnpCRHFBMHlNek0xSHZ2dmFkejU4N3BMMy81UzBEYlRrNU9Wc1dLRldXMzJ3UGFMb0Jyajh2bFVuWjJ0cHhPcDdLenM1V1ZsYVdzckN4bFptWXFJeU5ER1JrWlNrdExVMXBhbWx3dWx4NS8vUEZnaHd3QUFBQWdEeEl0QVRCaXhBaXRYYnRXa3RTc1dUTjE3ZHBWa2pSbXpCZ3RYNzY4U0cxczJMQkJEb2Z2UDhmWnMyZlZ2MzkvVmFwVVNlUEhqOWVOTjk1WTdOajI3ZHVubmoxN1NwSSsrZVFUMWFsVFI1TFVvVU1IcGFXbDZjVVhYMVRmdm4zMTBFTVA2Y1NKRTM3Ym1EcDFxdTY4ODg1aTl3MWNDKzY0NHc1bFptWmU5djFyMXF4Um1USmxKRWt2di95eVZxMWFkZGx0Tld2V1RMTm56NVlrTFYyNlZKTW5UNWJiN2JiK0ZGZnIxcTFWdDI1ZDYveUZGMTdRdW5YclZMOStmUzFjdUZDUzFMSmx5eUsxdFdYTGxtTDNEd0FBQUNBL0VpMEI4TlJUVDFtSmxyLy8vZTlxM0xpeDZ0ZXZmMFZ0SmljbjZ3OS8rSU9PSERtaUkwZU9hTlNvVVpvMWE1YWVmUEpKSlNZbVh2TCtaY3VXS1RzN1cxdTNicld1YmQ2OFdZY1BINWFVODgyNUpQMzg4ODlLU2txNm9saFI4c1hHeG5aMnU5M2Y3Tml4SXozWXNRVGFrMDgrcWV6czdIelhrNU9UOWRsbm4wbVNldmZ1cmJDd01MLzNoNFNFWEpXNEdqZHVySXlNak11KzMyYXo2ZnZ2di9kSnRBQUFBQUFJUGhJdEFkQzhlWE4xNjlaTlM1WXNVWFoydHNhT0hhdTVjK2ZxdnZ2dXMwYVFYSXIzMUtBREJ3NW84T0RCMWdpVG1qVnJhc0tFQ1pKeXBpa1Y1ZHQ1ajhlamRldldhZUxFaWRhMTExOS9QVis5eno3N1RCVXJWclRPNzd6elR0MSsrKzNLek16VTlPblRpeFE3U2o3RE1ENTFPQndubWpkdlB0L3RkaTkwT3AxSmUvYnNTWkhrREhac1YyTHUzTG55ZUR6NVJvdEp2ajl6ZHJ2ZGJ4MUpXckJnZ2ZyMjdTdEphdCsrdmFLam8vM1dXN0praVZ3dWw4cVhMNjhISG5qQWI1MmFOV3RheC9YcTFWTy9mdjFrdDlzVkdocXFzTEF3aFlXRktUUTBWT2ZPbmRPc1diTTBkT2hRMWExYlZ4RVJFZFlmdDl1dGloVXJXcU5zTG1YcTFLays1NW1abVpvMmJacU9IajFxWGV2U3BVdVIyZ0lBQUFCd2FTUmFBdVRGRjEvVTZ0V3JWYmx5WmYzdGIzK1RsSk8wS082VW0rKysrMDZ2dnZxcUxsNjhLRW1xWGJ1MjNudnZQVldwVWtXUzFLMWJONTArZmZxUzdaUXBVMFlPaDBOaFlXSEt5c3FTSklXSGgxdmx1Y2thaDhPaDBOQlE2M3F6WnMzVXExY3ZwYWFta21pNS9sU3oyV3pERGNNWTRuQTRkalp2M255OXBEaVB4N051eDQ0ZHV5V1p3UTZ3dU9iTm02ZXpaODllc3Q3Y3VYTUxMTHZoaGh1c1JFdTNidDBLckxka3lSSkpVbzBhTlRSaXhJaEw5bWtZaG9ZTUdhSnZ2LzFXdDkxMm04cVhMeTlKU2t0TDAwTVBQYVRNekV6Rng4ZXJlL2Z1UHZlOS9QTExPblhxbE1hTUdWT2trWFBlejZCang0NXArUERoVnBMRmJyZnJwWmRlWXEwWEFBQUFJSUJJdEFSSVpHU2twazJicGpwMTZ2Z2tMb3JyeHg5L3RKSXNNVEV4MWhvT3VYcjA2RkhrdGg1NTVCRTFhdFRJV3FQbG80OCt5cmRHeTZCQmc5UzNiMTh0Vzdic3NtTkc2V0dhcGd6RENKWFUwakNNbHFacFhyVGI3YWRpWTJQM21LYjVjVnBhMnBKOSsvYWxCRHZPNGhvOGVMQnV2dmxtbjJ2bnpwM1RYLy82VjBuUzIyKy9iVTJueTNYaXhBbHJKTm1sT0oxTzYvNmlqalNScEhIanhtbnAwcVc2L2ZiYk5XM2FORGtjRGtWR1JxcDU4K1phdTNhdGxpOWZycWVlZWtxMWE5ZVdKUDM3My8rMjFvaVpOMitlWG52dE5VblNwRW1UdEhmdlhtdGE0ZUgvMzk2ZHg4ZDA5WDhBLzV3N2s0M3NFcUpvVlVWSmkwelUrdFRhUmRWU2JSLzExTlpONDJtcXJUN1JWaWpxUWZGVVVWcHRVVnRWa0ZMVlBtblJIeWxhS2lXeE5MWWc5aTFJUXRhWnVlZjN4MlRPTTVOTUlnZ0pQdS9YeXl0enp6MzMzak1qOTJidTk1N3pQY2VPNGRWWFgwV2JObTN3MGtzdkFiRGxnWXFKaVVGbVppWUF3TmZYRjVNbVRVS0xGaTNLM0Y0aUlpSWlJcm95QmxyS1VZTUdEZFRyTjk1NEEwZVBIcjJxN1dmUG5vMTMzbmtIdTNidFFwMDZkVEIyN0ZoTW16WU5QL3p3QTE1Ly9YWDg0eC8vZ0taZCs0emNmZnYyVmE5TEduNjBZOGNPTEY2OCtMcVNoOUt0U3dnQktaMDZybFFCVUZjSVVWY0k4WVNQajgvSEpwUHBSeW5sTENIRS9uUG56bDArZnZ6NHRTY2F1VWwwWFhjS21oaU5ScWVoZEkwYU5YSTZQd0FVNjBsU21veU1EUFg2YWdJdGdZR0JBSUN0VzdkaTd0eTVpSXlNQkdETEs3TnAweWJvdW81NTgrWmg5T2pSU0V0THc5U3BVd0hZaGlDOSsrNjdhai83OXUxenlzZVVsNWVIN2R1MzQ2Njc3Z0pnNjdFelk4WU02TG9PQUtoWHJ4Nm1UcDNxTkpTSmlJaUlpSWpLQndNdDEybmx5cFg0NktPUDFIS1ZLbFd3ZHUxYW5ENTlHc2VQSDcrcWZWa3NGcmk3dTJQbXpKa0lDQWpBenovL2pMaTRPQUMyRzZVNmRlb2dKU1dsVFB0eWQzZFhUN0x0eWhJODJiaHhJelp1M0hoVjdhNlVkQWszZzk3QVpETHB1cTdyUWdnSlFHcWFwbHNzRmltRWtKcW02VmFyVlJkQ3FHV3oyU3lGRU5KZ01PZ1dpMFd0TXhnTWVrRkJnWG90aEpCbXMxblhORTBLSWFUUmFOUnpjM09scG1uU3pjMU56ODdPbG01dWJycW1hZExkM1YzUHpNeVVCb05CZW5oNDZHNXVidkxNbVRQUzA5TlQ5L1B6MDdkdDJ5WUJXSzcwbG00V0lZUjZiUWtUQVpzQUFDQUFTVVJCVkErNjJIOEtJUUlCREFEd1BJRFU0T0RnSFVGQlFadWtsSWs3ZHV6WWV2TmJXN3BseTViQmFyVWlOallXVHo3NXBDcDNOVjI2NDNvQXlNek14SC8vKzErVkpOZGlzWlE0TTVEampGMWVYbDVxdUo0cmp2bGdJaU1qc1dYTEZ2ejExMS80NnF1djBMRmpSNFNHaHNKa01xRmh3NFpJVDA5SGx5NWRBQUJqeDQ1RlhsNGUzTjNkTVhIaVJIaDdlNWZwTTRpSmljR2FOV3ZVY2xCUUVGNTU1UlVjUG53WWh3OGZkcXJidUhGaitQdjdsMm0vTjVKdTFWSEZxSGNJRHc4UGwxSmFwSlJXQUdZcHBjVmdNSmlGRUZhcjFXcTJXQ3dXZzhGZ2xsSmFORTJ6d0paVHlLenJ1a1hYZFV2aGF6T0Fnc3VYTDV2ZDNOd3M1OCtmTjN0NGVCU2NPM2N1SDdkNERpSWlJaUlpcXB3WWFMbE9Gb3ZGWlFEamdRY2VVRGNzKy9mdngrWExsd0VBOTk1N3IxUHlXVWYySVVlQmdZRklUVTNGdUhIakFOaHV6Q1pNbUlBOWUvWmcxcXhaWldxWHQ3ZDNzVURMckZtejFCUHNYcjE2SVR1NytBUXpRZ2gxbzIxLytuMHJFZ0tpaXBzeFVnaHhsOEZna0lXQkFpbWxoTUZna0xZNlFoYmU4TnE3Y0RndEc0MUdWUThBM04zZFZUMHBwU3ljalVidHVEQUhqZ1FBYjI5dmRVeGQxK0hqNDZQMkphVkU5ZXJWcGIwOUpwTkpvdVQ4SjNrQWRDR0VMcVcwU2luVjY4S2Z1aERDNmxCSHJRT2dBN0JLS1hYSDlVSUlxNzJPRUVMWFMvbVB0djh1dUFpNHVBRm9CS0NSRUtLbmxETGRaRElkempYclNYbFdpQkoyZDlQWno3WHExYXM3QlVtRUVLaGR1elltVFpxRW8wZVBZdnYyN1RoNjlDaWFObTNxdEgxUVVKQUtpZ3dlUEJpSmlZbFhQT2FhTld1Y0FodEZOVy9lSEY5ODhRVUFXOCthY2VQR29YLy8vdWpac3lmcTFLa0RBRGg0OENDTVJpTWlJaUpVYnFWaHc0Wmg2TkNoaUl5TVJLTkdqWnoyK2E5Ly9RdFpXVm1ZTVdNRzl1elpnOXExYTJQNDhPRUlEZzVXUXdmdDB0UFRNV0xFQ0pkdG16MTdOaUlpSXE3NEhtODBneER3ZERkR0NTR0NIQU4vZGtJSUdBd0dsd0V6QU5KVnVaZVhGd0RBMzk4ZlFnanAySnVuOEx6VVlUc1BkU21scm1tYS9keFE1eGhzNTVNVmdQcFh1R3dQOUtpZ0VHekJVM3V3QjBJSXA1NVBSRVJFUkhUN1lxRGxPb1dHaHVMNTU1L0h4bzBiblhxd2ZQREJCd0NBYytmT29VZVBIZ0JzTjIwTEZpeUFwNmNuVnE1Y2laOSsrZ21mZmZaWnNXbGwwOUxTRUJVVnBRSTR6ejMzSEV3bUUvYnUzZXR5NkpEamZiSjl2YXNiallNSER5SXJ5NVplbzZRbjg2Ky8vanBlZXVrbFhMcDBDUjA2ZENqejUxQVpDUTF1VWtvdllhT0tIYXZZWDBncGk1VUw1enM4cDljT0FRaFIrTk9wenBXT1dmUjR3dFhkWk5IMzR4QUVLL3JUVlIzSHNxS3ZIY3V1WlRoYVlTNFgrMnQzQU41Q0NIOEFIcENWSjlDU2taRlI0Z3hBOWV2WFI5dTJiZEdyVnkrY09IRUMvdjcrVGpQeEFFQjhmRHlpbzZOaE1wbkt2VzJMRmkxUzUyN3YzcjNoN2UyTlpjdVdBYkJOdTc1NzkyN3MzcjBidXE0ak9Ua1pBTkNqUncrY1AzL2VLWGx2ang0OVZPRGw2NisvQm1BTEtyUnMyUktBN1ZvZ3BWUkJNazNUaWkzYjIzR2pwcksrV2xKS1NBZ0poOSt6b3VzZEZLMVE2dStmNC9BNFYrZUc0MnRYNThhVlR0V1Mxa3NwWVRRYXZRRmtscm9ESWlJaUlycmxNZEJ5blpvMmJZcW1UWnZpekprekxvY0t6Wnc1RXdVRkJRQ0FJVU9Hb0dyVnF2ajk5OS9WekVTelpzM0NHMis4b2VvZk9YSUVnd1lOd3ZuejUxVlp0V3JWQUFEUFAvKzh5OWxCK3ZYcmh6MTc5c0ROelExYnRtd3BzYTJPVXozZjdxU0V6TXZYWjdvYjVRR0R3U0NrbEpxVVVqaThWc3U2cm1zQWhKUlNhTFk3SzZIcnVsWllWMGdwTlFCQzB6UzFIMDNUTkZmcjdQc1JRbWdPZFozVzJZOWhMd1BnNXVybVROZDF0OEp0QlFDbjQ4SVduRkg3QktBVkhyT2tkWTV0MEJ6M1cxaS9kN0VHb05nTkxRQjFJMm1WVXA0SGNFWUljVkJLT1cvNzl1MnI2allNN3dBaEs5VmN3V2F6R1hYcTFFSHIxcTBCQUNrcEtTcUE4Zm5ubitQRWlSTVFRaUEwTkZUMVhzbkl5TUNlUFhzQVFKMi83ZHExVXoxT2lvcVBqM2ZxMlJZYUdvckdqUnU3ckh2dnZmY0NBRDc1NUpNeTlScjc1WmRmOE1zdnY1UzR2azJiTnFVTzk5bXlaUXMrKyt3enpKMDdGOEhCd2ZqNTU1OHhhZElrTEZ1MkRFMmFOTUhvMGFQeDdMUFBBc0IxSmZJdVR6cUEzQUxyVkE4RExob01CcU1Rd21DeFdJd0dXL2MwVFVwcE5CZ01CdHZJSWR2NnduSkQ0V3YxRTRDaDhId3d3UGI3YnRCMTNhQnBtcUh3M0ljUXdnREFyY2oybXBUU1dQalRvTm02dUdqMll3a2hOQ0dFb2JCTUs5eTNoc0p6dFhDZjl2T3R1aEFDdXE0WFZNd25Ta1JFUkVRM0V3TXROMUJpWWlKV3JWb0ZBR2pXckpuS3RkQ21UUnVZVENZa0pTWGg2NisveHVPUFA0Nzc3NzhmVWtxOC92cnJTRTlQdnlIdENRc0xVOE1Ra3BPVG5XN3k3RGVKTzNmdXhOS2xTMHZOTVhGTDBBVHlkT3pidTNOSFFrVTM1VG9JL08vcHZOUFBaczJhQ1FESXpjMFZBRkJRVUNBc0Zvc0FBUHRQWGRkRnpabzFZVGFibmNxdFZxdlRUMTNYaGIrL3Z3cTB1QXF1QUtvblFJYVVjaldBQlZhcjlaREZZc20xV0N3NSsvZnZyOVJQNlVORFExVkFjOEdDQmRpOWV6ZFdyMTZONzcvL0hqNCtQcmgwNlJMeTh2SVFIUjJObEpRVWZQNzU1d0NBUG4zNnFKNGhmZnIwY2JudkF3Y09xS21kN1M1Y3VJQzMzMzY3MU1TNFZhcFVLVGJURVZCeUxpWEg2ZGtkbFRCOFJyRllMSWlQandjQVBQend3d0JzTXhBQnRpVEFqbTJvTElFV3phQ2hRTWVXL1NuSk4vUDh0UWMrN2Yvc3k3QXZCd2NIQ3ltbHNGcXQ5a0NyMEhWZHExbXpwdEIxWFpVRHRsNXJIaDRlbXE3cnd0Zlg5eGdBK1BuNU1kQkNSRVJFZEFkZ29PVUdPWG55SklZUEg2Nld1M1RwZ3MyYk55TTdPeHZaMmRtb1Zhc1drcEtTWUxWYThkRkhIMkhPbkRrUVFxQlJvMFk0ZGVvVXFsV3I1dFNyNVZyazVlV3BxYUlCVzQ0SCt6U3hYYnQyUlhaMk5nb0tDcENmbjYrZTJtL1lzQUViTm15NHJ1TlN1U2t4ZDh1MmJkdkt0SU9USjArV3FaNDlMNGNzUGxRalQwcDVDVUNxbFBMcnpNek14WWNPSGFyVVFSVlgxcTFiaDNYcjFqbVZ0V3JWQ2xKS1JFWkdZdno0OGRpOGVUTmVmUEZGdGI1RGh3NTQvdm5ub2V0NmljT3JwSlJxSmlBQWFOMjZOVFp2M296ejU4OWp6cHc1ZVBQTk4wdHNrMzJhWmtkVHBrekJOOTk4NDdMK004ODhnK2pvNkZMZnB5c3JWcXhReVhvN2QrNk00OGVQNDhpUkl3Q0E4UEJ3ZGU0RGxXZm9VQVc1WXZlaWMrZk91U3kvZE9sU3FkdFZocnczUkVSRVJIVHpNTkJ5ZzB5ZlBoMFhMbHhReS9iRXRxNGtKU1hobDE5K3dhT1BQb3B1M2JyaDJMRmplT2VkZDlSVXI5ZHEzTGh4K09tbm45VHlnQUVEaXRYNS9QUFBrWm1acVFJeUVSRVJ1T3V1dTJBMm03RjY5ZXJyT2o3ZGVncDdyUlFBMkNXRTJLTHIrcDlXcTNYYnJsMjdkcVBraEwyVmxxZW5KMTU3N1RVQXdPclZxM0hvMENFTUdEQUFYbDVlV0xac0dTNWN1SUFlUFhxbzNsMUJRVUhJeXNwQ1FVRUJFaElTa0pDUUFLUFJpSkVqUjZKYnQyN0Y5ajl6NWt6Vk82UlpzMmI0NktPUDhOUlRUK0g4K2ZOWXNHQUJRa05EVlUrMjBsaXRWbno4OGNkWXVuUXBBRnYrbU5UVVZBQzIzamdIRGh6QTRzV0xjZm55WlF3Yk5xeFlYcWVTbkR4NUVwOSsraWtBMjVUT3paczN4My8rOHg4QXR2d2pyVnExd3NHREIxWDl5dEtqaFlpSWlJam9Wc1pBeXczU3RXdFhyRjI3dGxpNXdXQ0FuNThmZkgxOTRlUGpnNzE3OThKc05tUDY5T25vMkxFajJyUnBnNlpObTk2dzRVT3VuRHAxU3IxKzVaVlgwS3BWSzF5NmRJbUJsanVNbFBLc0VDSk8xL1hsVXNvRE9UazU1MUpUVTIvcE1XU0hEaDNDd1lNSEVSVVZoWDM3OXVIUW9VUEl6YzJGRUFMKy92NUlTa3BDU0VnSVdyVnFoUTRkT2lBaUlnSzV1YmxJU0VqQTFxMWJrWnljakt5c0xEWGt4czVxdFdMYXRHbFl2SGd4QUZ0UGtMZmZmaHRlWGw0WU5HaVF5c0gwd1FjZndHQXc0UEhISHkreGplZlBuOGY3NzcrUHJWdHRzMk8zYk5rU3p6MzNuT3E5MHJ0M2IyemZ2aDN4OGZGWXRXb1Y5dTNiaC9Iang2dGNMeVU1ZCs0YzNuampEVFc3V0ZSVUZESXlNdkQ5OTkrcjQvajYraUkzTjFkdGM0ZjNhQ0VpSWlJaUtoY010SlNEL1B4OEhEMTZGSUF0OGViUm8wZng4TU1QWThDQUFhaFJvd1pxMWFxRm1qVnJJaWdvQ0g1K2ZrNURNOGFNR1lPTkd6ZGk2TkNoYXJwU2YzLy9jZ20wREI0OEdQMzc5OGV1WGJ2dzNYZmY0ZjMzMzRlbWFTZ29LTUFubjN5Q3dZTUh3OHZMQ3p0MjdNRDY5ZXNCQUNFaElkZDlYTHIxU0NsNzVlZm4vNXlTa25LNW90dFNuczZjT1lNMWE5WTQ1VmVKaTRzREFLeGN1UkplWGw2SWo0L0h5cFVyc1hMbFNwZjcrUEhISDUyU3phYWxwZUdERHo3QXJsMjdWTm1JRVNQVXpEL1BQdnNzRWhNVHNYYnRXbGdzRnNURXhHRGp4bzE0NTUxMzRPdnJxN2JSZFIwLy92Z2pwazZkcW1ZRE01bE1tRHg1Y3JHaFlhTkhqNGJaYk1iYXRXdXhiOTgrL09NZi8wRGZ2bjN4NG9zdnd0ZlhGN3F1NC9EaHc3aDQ4U0lBVzRDcFM1Y3VLdC9Pd3c4L2pJNGRPeUltSmtibGdIbjY2YWNCT0E5N1lhQ0ZpSWlJaU9qNk1kQnluWFJkeDRnUkkxUTNmNnZWaXJmZWVndlRwMC9IVzIrOWRjWHRYM25sRmJ6NTVwc0lDQWk0cHVOTEtWVXVsNkpKTVVOQ1FoQVFFSURodzRjakxTME5YMy85TlVhUEhvMmhRNGNpS1NrSnk1Y3Z4OWl4WTlVTnBxZW5wOHJoVXRMMHozUjdTa3BLK3JhaTIzQ3p4TWZIbzBhTkdwQlN3dHZiR3dEUXFWTW4xSzFiMTZuZWloVXJrSkdSQVM4dkx3QzJIaUx6NXMzRDh1WExuUkxJRGg0OEdOMjdkM2ZhOW9NUFBzQ3hZOGV3ZCs5ZWRjeGZmLzBWWGJwMHdUUFBQQU5OMHhBVEU0UERodytyYmRxMmJZdUpFeWU2VEhwck5Ccng0WWNmb2xxMWFsaXlaQWtzRmdzV0xGaUF1TGc0dlB2dXU1Zy9mejdTMHRKVWZmdjUyN1JwVS9qNStlR0REejVBZkh3ODFxeFpBd0M0NTU1NzFQVHRqbTBvS2VFdUVSRVJFUkdWSFFNdDEybjU4dVdxTjRqZDBhTkgwYXRYTDNUcTFBbjE2OWVIcDZlblV4QkVTZ21yMWFyK1dTd1dXQ3dXZE9qUVFUMFZMOG54NDhmeDdiZmZvbXJWcW5CM2Q4ZWVQWHR3OXV4WkFFQ05HaldLMVo4MGFaSzZBVE1ZREhCemMxTlB1ZVBqNDlHb1VTT1Z4OFZrTXVHUFAvN0FuajE3bkc2K1hFMDlURlRaU1NuVnNKakV4RVNWR0hqRWlCRTRkZW9VSG5ua0VWVzNjK2ZPZVBUUlI1MjJUMGhJUUVaR2hscWVPM2N1bGkxYnBwYmQzZDB4WnN3WWw4T0NQRDA5TVd2V0xJd1lNUUliTjI0RUFHUm5aK1BiYjc5RnJWcTEwTHQzYnpXVnRCQUNMNy84TWw1NzdiVlN6elZOMC9ET08rOGdQRHdjNDhhTncrWExsK0hwNlluV3JWdGo3ZHExVG9FV0FQRHo4OE5ERHoyRXFLZ28vUEhISDA1NW9obzJiSWo1OCtmandvVUwrTzY3N3dEWUFyUDJOaEVSRVJFUjBiWGp0K3JyMUxoeFkvWDZ6VGZmeEpZdFc3QjE2MWFWVFBacThwell1L0tYSmpBd0VMR3hzUzZuaFMxNm83aHUzVHFWanlFc0xFd05IWm93WVFMNjlldUg0OGVQNCtPUFAxYjFIMy84Y1dSblorT3p6ejV6MnM5ZGQ5MVY1dmRBVkZta3BhVmg1TWlSQU9EME81MlVsQVRBTmt6R2JEWURBSDc0NFFja0p5YzdiVjkwMXEraFE0Zml6Smt6K1BYWFh4RWVIbzRSSTBhZ1hyMTZKUjYvYXRXcW1ESmxDdWJQbjQ5NTgrWWhKeWNIWGJ0MlZVbXB4NDRkaTVpWUdJd1lNUUltazZuTTcrdXh4eDVEczJiTk1IWHFWSFRxMUFsQlFVRm8wS0FCenA4L2p5Wk5tcUJKa3labzNMZ3hhdGV1RFFEWXYzOC8zbjc3YlRWbGU1OCtmZURsNVlXWk0yYzY3YmZvOVlPSWlJaUlpSzROQXkzWHFXSERocWhYcng1NjlPaUIvdjM3bzArZlBxcUwvdG16WjVHVGs0UDgvSHhZTEJiVmcwVktxWHFWQ0NFZ2hFQ1RKazNLbEIrbFNwVXFlUERCQjUxdUNvT0NndkRZWTQ5aDRNQ0JUblhidDIrUG5qMTdZdnYyN1pnK2ZicWFxY1RIeHdkVHBrekI4T0hERVJNVGcxOS8vUlUvL2ZRVE9uZnVySEk4R0kxRytQdjc0Nm1ubmlyMVpwS29zcXBidHk0Q0FnTGc0ZUdCd01CQVZLdFdEUUVCQWZEMzkwZEFRQUNhTjIrT1ZhdFdBUUEyYmRwMHhmMFpEQWFNSHo4ZTY5ZXZSNWN1WGNyVTAwdlROTHo4OHN0NCt1bW5zWHo1Y3ZUcjEwK3RDdzBOUlZ4YzNEWDFHQXNNRE1UWXNXUFY4dURCZ3pGNDhHQ1hkVU5EUXhFVkZZVVpNMmFnWThlT2VPdXR0NXltdWpZYWplalVxZE4xejNKR1JFUkVSRVEybFc1TVNOMkc0UjBnWkt5dmowL0lsek9tb2xXTGh5cTZTVmQwL1BoeDlmVDRac2pOellYRllvR2JteHZjM2QyaGFWcXA5Yk95c3B5U2NOcEpLZFZOWG1abUp2ejgvRzVJZTIrbUxWdi94SnZSdzNEdS9Qa01TRHlkdGpjNW9hTGJkQ2U1RmMvZk8wVmFXaHJxMUtrRGc4R0FuSndjbkRoeEFsNWVYZ2dPRGk3emRORTMydTE2L2taRVJFZ0FFRUw0Yjl1MkxiT2kyME5FUkVSRU54Wjd0SlNEbXhsa0FhQ1NjNWFWcXlBTDRKeDc1WFlJc2hCUnlSeVQvVmFwVWdXaG9hRVYyQm9pSWlJaW90dFg2VjBoaUlpSWlJaUlpSWlvekJob0lTSWlJaUlpSWlJcUp3eTBFQkVSRVJFUkVSR1ZFd1phaUlpSWlJaUlpSWpLQ1FNdFJFUkVSRVJFUkVUbGhJRVdJaUlpSWlJaUlxSnl3a0FMRVJFUkVSRVJFVkU1WWFDRmlJaUlpSWlJaUtpY01OQkNSRVJFUkVSRVJGUk9HR2doSWlJaUlpSWlJaW9uRExRUUVSRVJFUkVSRVpVVEJscUlpSWlJaUlpSWlNb0pBeTFFUkVSRVJFUkVST1dFZ1JZaUlpSWlJaUlpb25MQ1FBc1JFUkVSRVJFUlVUbGhvSVdJaUlpSWlJaUlxSnd3MEVKRVJFUkVSRVJFVkU2TUZkMkFrdWhXSFdsSGpzTFh4NmVpbTBLM2tMUWpSMkd4V2lxNkdYYzhucjkwTFhqKzNqcEM2dGNQOWhUZXRTcTZIVVFWSmNkaU9YWDI4TzR6RmQwT29xdFYvZDRIYTFReEdtdFdkRHVJeXBNc3lEOXo1TWllVXhYZERrZVZOdENTbTVlTEdaL1BocGVYWjBVM2hXNGh1Ymw1dUhUcFVrVTM0NDdIODVldUJjL2ZXMFB0QmsxcnVXbGltb1I4c0tMYlFsUlJxaG9NcWJVYk5QM244ZjA3VGxSMFc0akt5bmI5eGhjU3NuNUZ0NFdvUEdsVjNFL2NWUy9zNVpPSFVvNVdkRnZzS2wyZ1JiZVl6MnBHWTRiVnF2dWZQRldwZ2xKMEN4RkNaRmt0NXJNVjNZNDdEYzlmS2c4OGZ5czNveVpDcFpBUEM0aVFpbTRMVVVXUlFJaFJReWdBQmxyb2xtRzdmdU5oQWZoWGRGdUl5cE9Vc3E2N216RU1BQU10SlRtYSt0ZStPdmMvMk44Z2piVXJ1aTEwNjVKU1AzVTA5YTk5RmQyT093M1BYeW9QUEg5dkRaNmVuaGo0WW4rRTNsZXZvcHRDZE5NY09IZ0lDeGJGSXV2eTVZcHVDdEUxOC9IMnhndjludWYxbTI1NWg0OGN4WUp2WW5IaHdzV0tia294bFM3UUFzQjZiTi91UHdIOFdkRU5JYUtyeHZPWDZBN2g1bVpFbTFZdDBLckZReFhkRktLYlpzdldQN0VrYmdYQVFBdmR3anc4UEhqOXB0dENVdkpPeEsxWWlRdW9mSUVXempwRVJFUkVSRVJFUkZST0dHZ2hJaUlpSWlJaUlpb25ETFFRRVJFUkVSRVJFWlVUQmxxSWlJaUlpSWlJaU1vSkF5MUVSRVJFUkVSRVJPV0VnUllpSWlJaUlpSWlvbkxDUUFzUkVSRVJFUkVSVVRsaG9JV0lpSWlJaUlpSXFKd3cwRUpFUkVSRVJFUkVWRTRZYUNFaUlpSWlJaUlpS2ljTXRCQVJFUkVSRVJFUmxSTUdXb2lJaUlpSWlJaUl5Z2tETFVSRVJFUkVSRVJFNVlTQkZpSWlJaUlpSWlLaWNzSkFDeEVSRWRGdHhtS3hJQzh2cjZLYlFVUjAxU3dXQzA2Y09GSFJ6U2dUcTlWYTVycVhMbDFDZW5yNkRXd05WU1lNdEJBUkVkRnRiOVdxVldqV3JCbWFOV3VHOWV2WFg5ZStjbkp5MUw3KzlyZS9sV21iZi8vNzMycWIwdjY1K2hMZXRXdFhOR3ZXREFzWExyemljWktTa3ZDM3YvME5MVnUyeE1zdnYzelY3NDJJNkdaWnVuUXBtalZyaHViTm16dVZ4OGJHb2tlUEhuanl5U2R4NGNLRmNqOXVSa2FHdXVhKy8vNzdUdXZ5OC9QVnVzOCsrOHhwM2JadDI5QzFhMWVNR0RFQ1I0OGV4YmZmZm91ZVBYdGl5WklsWlRwdWJHd3NPbmZ1akVjZWVRVHIxcTBydC9kRGxaT3hvaHRBUkVSRU4xYmp4bzBEM056Y1FyWnYzNzRQZ0Y3UjdibFJKazZjaUlTRUJKZnJISHQzakIwN0ZwTW1UWEpacjIzYnRoZ3hZc1FOYVY5WnVMbTV3V3ExNHRLbFN4QkN3TS9QejJsOWVubzZYbm5sbFZMM1lYK3YrL2J0UTQ4ZVBTQ0VjRm52N3J2dnhvd1pNOVR5OGVQSE1YdjJiR3pac2dVWkdSbW9WcTBhMnJadGkwR0RCaUV3TVBDcTNzZjY5ZXZ4M1hmZlljK2VQY2pLeWtMVnFsWFJvRUVEVEo4K0hlN3U3c1hxbnp0M0RsT21UTUdhTldzQUFMLy8vanM4UER5dTZwaEV0Nk1tVFpwVUYwTFUzYkZqUnlJQVdkSHR1VjZwcWFuWXYzOC9hdFNvNFhKOWVubzZacytlRFFBSUN3dTc0clduZi8vK3lNcktjcm11YTlldWlJeU12TDRHTzRpTmpjWHAwNmV4YmRzMjFLaFJBMGVPSE1ISmt5Y3hiZG8wdEdqUkF2WHExVk4xTjIzYVZLeFh6azgvL1FUQUZ1aEpTVW5CdVhQbnluVGNuajE3cXV0aFRrNE81czJiaDE5KytRV25UcDFDbFNwVllES1o4T3FycjZKaHc0Wlg5WDcyN3QyTDJOaFkvUG5ubjBoUFQ0ZUhod2ZxMUttRFVhTkc0Zjc3N3k5V1B6OC9IL1BtemNQOCtmTmhOcHN4WThZTXRHblQ1cXFPZVNkaG9JV0lpT2cyWnpRYW13QklNSmxNS1ZMS2p5NWZ2cndpTlRYVjlUZlRXMWhtWm1hWnZyaG1abWFXdUM0akk2TThtNlFNR3pZTVE0Y09kYmx1OSs3ZGVPMjExd0RZQWkzSGpoM0RzODgrQzI5dmIvejY2NjlPZGExV0s0NGZQMTdtNDViVy9kNHg0SkdTa29KQmd3WWhKeWRIbFowNWN3YmZmdnN0Tm0zYWhBVUxGaUFvS09pS3g3TmFyUmc1Y2lSV3IxN3RWSjZabVluRXhFUllMQmFuNHg0K2ZCamZmLzg5bGk5ZjduUnNJckl4R0F5TmhCQUpKcE5wcjVUeUM2dlZ1am83Ty92VW9VT0hMZ01vKzdpVlNpSWhJUUdmZi80NTJyZHZqNVl0V3haYlAyM2FOR1JuWndPd0JTdEs2alg0MWx0djRibm5uc09KRXlkS3ZLWmZ2SGl4M05wOTh1UkpkVDBlT0hBZ1BEdzhFQlVWaGZYcjE4UER3d09uVHAxeUNyU3NXTEdpMlBYYjBieDU4OHA4N002ZE84UER3d09abVprWU9IQWdEaDA2cE5abFptWWlJU0VCbXpadHdxZWZmbHFzZDFCSlltTmpNV1hLRk9qNi81NjlXQ3dXN04yN0YyZlBublVLdEZ5NGNBSC8vZTkvc1d6Wk1wdzhlYkxNN2I3VE1kQkNSRVIwaHhCQ2hBa2g1dm42K2s0T0R3Ly9HY0JhWGRmM1dxM1dBMy85OVZmNTk4Kyt5UVlOR29Ubm5udk81YnJmZi84ZGMrZk9CUUM4L3Zyck1KbE1MdXNGQkFUY2tMYTV1N3ZqWC8vNmw4dDFqamNKYm01dXBlNm5ldlhxMkxoeEk2U1U2Z3V5d1dEQTRzV0w0ZTN0alVjZWVRUlZxMVlGQU9pNmp2ajRlQ3hldkJoVHAwNUY5ZXJWbmJiUk5Oc0ljclBaakppWUdCWG9hTmV1SFV3bUU1WXVYWXJUcDAvajlPblQrT1NUVHpCMjdOZ3J2cytwVTZlcUlJdTN0emU2ZHUyS09uWHFJQ3NyQzl1M2IxZkhCR3czSXVQSGo3L2lQb2tJRUVJMEZFSk0welF0eTgvUDcwK1R5YlFWd0U2ejJieHA5KzdkeHlxNmZlVmgxYXBWcXRjSFlMczJtYzFtbDNVdEZvdlRjdjM2OVZXUUlTNHVUcTJQam83R2xpMWJTanptbWpWcnNINzlla3laTWdWLy92bW5VK0JoKy9idCtPeXp6L0RZWTQ5aDd0eTVhdDNVcVZNeGRlcFUxUTZqMFloMzMzMVhiUmNkSFEwUER3OTRlbnFxc3Z6OGZFaHA2NURrV0g0MUprK2VySUlzOWV2WFIvZnUzWkdRa0lDa3BDUllMQmFNSFRzV0sxYXNnTkZZK2kzKyt2WHJNWG55WkFDQXBtbDQ5TkZIMGJoeFkrVGw1V0gvL3YxTzdUdDQ4Q0Q2OU9sVDdQT21LMk9naFlpSTZBNGlwWVFRb3BxbWFYMmxsTThiamNZekJvTWhOVHc4Zkp1VWN0V09IVHMyQXJnbHYxSFZyVnNYbXFhaG9LQ2cyRHJITDQ1ZVhsN3c4ZkZ4V2FkMjdkbzNySDJiTjIrK1lwMHJCVnFFRUtoU3BRcFdyVnFGTVdQR0FBQisvUEZIL1Bqamp6aDI3QmltVDUrT2R1M2E0YUdISGtKY1hCeFNVMU1oaE1DdnYvNktSbzBhSVNvcUNvQXROMEw5K3ZVQkFQLzNmLytuZXNtRWhZVmh5cFFwRUVMZ29ZY2VRdi8rL1FIWWJrYmVlKzg5ZUh0N2w5aTIvZnYzcTF3RklTRWgrT3FycnhBU0VsSmkvY3VYTDZ2WGpSczN4cTVkdTY3MDhSRGQwUXF2Mzc1Q2lFNVN5ZzVDaUV0dWJtNW53OFBEdDJxYXRtajc5dTIvNEJhOWZ2LzExMS80OE1NUEFRQWVIaDRZUG53NEVoSVNjUGp3WWJ6NjZxdkZnZ2RGaDdZMGFkSkU5UnI4NFljZjFQVWxQeisvMU1UZ1Zxc1ZWcXNWK2ZuNUtoaHZsNXljak9Ua1pGeThlQkZyMTY1VjVVWDNWelFJWVRhYk1XSENCTFY4OU9oUjlPclZDeGFMQlhmZmZUZVdMMS91RkhRdWk3Tm56eUkrUGg2QTdXL1Z6Smt6VWExYU5Uejc3TFBvM3IwN0xsNjhpQk1uVHVDUFAvNG9OWGRZUVVFQkprNmNDQUF3R28yWU1XTUdXclJvVVdMOS9QeDg5Zjd1dXVzdTVPWGwzWkM4T2JjakJscUlpSWp1TVBhbmFrSUlEVUJOSVVSTklVUmJBRVBDdzhPUEN5Rm01ZWZuejA1SlNUbGRvUTI5QmtPR0RNR1JJMGRLcldOL2tsZlVndzgraUFVTEZxamwyTmhZN055NXMxZzl4eS9WOXQ0Z3JyUnUzUm85ZXZSUXl5WDFDTm0xYXhlV0xWdDJ4YWVRSmZIMjlzYWlSWXZ3MVZkZllkR2lSVmk3ZHEyNktmRDA5TVQ0OGVQUm9VTUgvUEhISHk2M2QremUzcTFiTjVYVEpTd3NETFZxMWNLSkV5ZGdzVmlRbEpTRXRtM2JsdGlPdUxnNDlidjEzbnZ2bFJwa0FZQ2dvQ0QwNk5FRFR6enhCTUxDd3RDaFE0ZXJldDlFZHlMN09RWkFrMUw2QWZEVE5DMFVRRitUeVhRS1FLeVU4dXU4dkx4amVYbDUyV2xwYVpWKytqRXBKV0ppWWxUdmxUZmVlQVAzM1hjZnhvd1pBMTNYc1dUSkVreWNPUEdLMXhSWDJyVnJoenAxNmppVjVlZm40L3Z2dndkZ3kxWFZxbFVyQkFjSHE1eFk5bDZHSGg0ZWNITnp3OHFWSzlXMjk5OS92N3JtLy9lLy8wVmNYQndBNElzdnZsQUIvYnZ1dXN2cGVCOTk5Skg2dTlHblQ1OVNoeFFWMWJScFV3UUdCbUxqeG8ycXJFMmJOcWhXclJvQTI0T0R0bTNiWXRXcVZRQ0F4TVRFVWdNdDY5ZXZWMG5YZS9mdVhXcVFCYkQ5RGVuUW9RTTZkdXlJenAwN28zLy8vZ3kwbEJFRExVUkVSSGNReDhTb0RsL1lGVTNUYWdQNHQ0ZUh4N0RDcnVtYnBaU2JkRjNmczNQbnpzTTNyNlhYeHN2THkyVzNiS3ZWcXI3RXU3dTd1M3lhV0hTN25UdDNxdVNzSmJGYXJTWFc4ZmYzUjQ4ZVBiQm56eDdzM2J1M3hIM2s1K2VyMTk5OTl4MzgvZjFMUFdaUlAvMzBFeVpQbmd5cjFRcE4wOUM4ZVhPRWg0ZGo3ZHExU0V0TFEzUjBOQm8zYmx4aUV0MzkrL2VyMXcwYU5IQmFkOTk5OTZrOEwwZU9IQ2sxMFBMYmI3OEJzSDJPZGV2V1JYUjBOQklURTJHMVdtRXltZkRXVzI4aE5EUlUxWC95eVNmeDVKTlBBckJOZTNvcmticUV1MEcvMTJReVNRQlNDQ0VCd0dxMTJsK3JNaUdFdEZnc1RzdGxXV2V4V1BTaVpacW1TZnR5UVVHQjB6cUR3YURxRnhRVXFQM1p0d0dBL1B4OHFXbWFVMzFOMDZTbWFUSW5KMGZWZDZpalh1Zmw1YW42Qm9OQnJjL016SFJhTmhxTkVnQXVYTGlnQTREUmFGUmw3dTd1MHN2TFMyN2J0czErOGJrbGUxOVVsSkt1M3c3Qjg1b0EvaVdFZU0zTHl5dkYwOU56WjlPbUtabVVpUUFBRnRsSlJFRlVUVGRLS1JOMzd0eTUrMmEzdDZ5RUVKZzhlVEpHamh3SmYzOS8vT01mLzRBUUFpKy8vRExtekptRFhidDI0WVVYWHNCMzMzMkhLbFdxWE5XK24zdnVPZVRtNXNMTHkwdVZaV1JrcUVETEF3ODhnUGZlZXc4QXNHN2RPdVRuNTZzRXIzMzc5a1ZCUVFFV0xWcWt0cTFhdFNvYU4yNE1BUGp6eno5VitRTVBQT0N5YlJzMmJNRHZ2LzhPQUtoWHJ4N2F0MitQTGwyNmxMbjk5b1N6anRmcG9yMTU3TDBUQVNBdExhM1UvVzNhdEVtOWZ2amhoekY1OG1Tc1diTUdXVmxacUZldkhnWU9ISWhPblRxcE92WHExY1BISDM5YzV2YlMvekRRUWtSRWRCUG91djZzeVdTcXFHeWZqVndWdXZyUzd2Q0Z2UXFBRGxMSzlrS0lpd2FENFZCNGVIaFNybGtlemEvRTh4Wjk4ODAzTHNzZGg5cDgrT0dINk5peDQwMXIwN3AxNjRwMVNYZkZZckZnM0xoeGVQNzU1NjlxL3hFUkVRZ0xDME9uVHAzUXFWTW5OVXZIZ0FFRHNIWHJWaXhkdXJURW1ZY0FPQ1VRTHBydzFqRm5UV2xKaERNek0zSG16QmtBdGtETFAvLzVUN1VNMklaTjdkeTVFNHNXTGNMZGQ5OTlWZSt2TWhJQXZOeU1mWVVRWVk3bDlxQkVJUW5ZemltRHdhQ1dBVnNBeFA2NnNDZFQwYWluZE9qaDVMUk8yc0JvTkRydHgyRzE0eEEwNlhCRExvdk01Q1FkS3puY2lCWTdIdUNVUEZtdDEzVWRQajQrTHQ5WDllclZpN1d0Y0g4b0RGQVZPMVlwckVJSWk1UlNMOXhHQ2lIMHdyYXB3SmJqZWltbENub0JVSFVkeXFTVVVpOWN0ditVRHZzc3RvMTkvNDc3Y0hGY3RTOWQxNlVRUW0xVHVPeDB2Q0xyZE1jMkZDN1hkZldCWE9INjdTV0VhQVlnUWdqUkMwQzZ5V1RhVTJEUmQyWVhIMWxaS1RSbzBBQUxGeTVFZG5hMmVtK3Z2ZllhQWdNRE1XWEtGTHozM251bEJsbjI3dDJMT1hQbUFJRFQ4TkhmZnZzTjQ4ZVBSKy9ldmZIQ0N5OWNkYnNjaHd3QnR1RkU3ZHUzTDNZY3grREoxMTkvamJ2dnZodW5UcDNDdi8vOWIxVWVGUlVGbzlGWWFvNFdpOFhpMUd2Uy9sbWNQWHRXbGRsN3M5aVY5VG9OT0FmV3AwMmJobjM3OXFubGZmdjI0WjEzM3NHSEgzNkl6cDA3bDdvZnVqSUdXb2lJaUc0Q0ljUlhGZDJHMHRpL3pEbCtZUmRDUU5oV0JBSUlGRUpVMXpSOU5YUlo4bDE3QmZuOTk5L3h6anZ2bExqZWF2M2Y1QnpEaHc4dmRYejhsQ2xUMExKbFM0d2ZQOTdsY0orOHZEejFSZHZUMDdQRWJ1RDJZOVNzV1JOTm16YUZydXVxN1BUcDB6aHo1Z3c4UER5Y3B1U1VVcFpwZGg5SHZYdjNCbUFiZ3ZUSko1K1VXSytrb1VPNXVibnFkZEVjTVk3THJuTGYyRG5PN3BHUmtRRi9mMzlFUjBmRFlEQmc0Y0tGT0gzNk5MS3pzekZ6NWt5VkgrQ1dKNlNibFBBQy9uZitDTmNSclRLVlNWbmllZVZVWG5pSXNoN0haWnVLSHNzaEdGT3NybjM3SXJzcFUxdGRIY3RodDFkOUhTbTZTV25MVjZwYmxyS3k3S08wYlFvRGJDVXVPM0s4SmwzRFIrT2t5UFhiQzRDM2xOSVhFTzZWZVlib3VMZzRmUDc1NThYS3BaUVlPWElrUm80Y0NRQ29VcVZLc1FCSVNrb0tVbEpTbk1xc1ZpdG16cHlKTTJmTzROTlBQMFZZV0ZpWlorV3g2OWF0R3padjNnd1BEdzhrSlNWQjEzV24vRkoyam1XNnJpTW5Kd2REaGd4eHVqYldxRkVEZ1lHQnF2ZGZVVC84OEFPbVRKbUNyS3dzR0kxR3ZQTEtLNnE5anRkcHg1bmJBRGdOT3kwcGViQ2Q0N0NmMU5SVURCZ3dBUGZjY3c5Ky9QRkhKQ1VsQWJEOURYemtrVWV1ZVRncjJmRFRJeUlpdXJIaUFOUXY1U2JxWnZBV1F0UXZXdWhxNkJDZ3Z1UmJwWlFaQUM0S0lRN3B1ajRoT1RrNW9XN0Q4QTRRNkg1am0zdjFyRlpycVFrUEhaVVdNTER2QzdEZCtMZ0t5QlF0dTlLWDBXZWVlUVpHb3hIejU4L0h3SUVEMGJselozenh4UmVZTzNjdVFrSkNNSGZ1WEp3NmRRb0xGeTdFb1VPSDBLRkRCOHlZTWFQVWZmcjUrVGtOdzdFem04MnE2M2hJU0lqTHBMK0E4ekFwbzlHb1BoTlhTUjN0U251YVhQUXpuVGh4b3JwQmFOaXdJVjUrK1dVQXRxZkw5cHZBVzVrRWtGTmdXVkRWelhCWVNpbU1ScU05b0NEczU3cDkyV0F3UUVxcE9aYlpYeHNNaG1MMUFVQXIvQ1VyV3QrK2phdDFBSVNtYVU3TFJmWXBISzVEeGRZVkxiTy90c2RaU2pxZWkzMmlsSFgyY2cxQW1iS0JTaW1OVWtxaGFacjZIQXZib2RwaWIzL1J6NlV3RDFXeHRoVytLVmZ0MXV3VlhPeFB1RmluRmRsbnNjK3E2THFpYlNuYW5xTGJBZ2dTUXJSMjhibTQvTHlFRUpCU21xV1U1NlNVWjRRUWU2U1UwNUtUa3hQck5nenZBRTI4NUhMRFNzQnNOcGQ0SFhjTWxydGlNQmhVWU5pK0Q0UEJnUEhqeDZOdjM3N0l5OHZEOE9IREVSc2JlMVVCaEtlZmZobzlldlRBdUhIakFOaHllZGtUM2NiRnhXSGh3b1hxdGYyNldyMTZkWXdkT3hhcHFhbGxPc2JGaXhmeDdydnZZdnYyN1FCcytiRkdqeDd0TkNUSXNjMUZyOU9PeTQ1RHBGeHh2RmEvOU5KTGVPMjExd0RZcHBEdTBxVUxMbDI2aFBUMGRCdzRjQUNOR3Juc0RFdGx4RUFMRVJIUkRWUlFVUENHcG1uK0ZSbG9NUnFOelFFc0JLNFlYSUdVOHJ5VWNnMkFuNlNVeDNSZHp6SVlET2VUazVNcjlmU2hFUkVSV0xwMHFWUFppUk1uTUhic1dLY25pZ0RRdG0xYkRCNDhXQzN2MkxFRG4zenlDVWFPSElsNzc3MjNXQ0xENjVXYm00dVpNMmZpM0xsekdEbHlKQklTRW5EUFBmZW85YXRYcjhhb1VhUFVsK1d5ekU3VW9rVUxsMDltdi9ubUczenh4UmZ3OWZYRjNMbHpTd3kwT0FhTGZIMTlWWExFakl3TXA1bVhISjkrbHRiVHhqNmx0SDNmRVJFUmF2bkJCeCtFcG1ucUtXOTJkbmFwc3hmZENvUW1ZTkdOaDNic1NFNm82TGJjQVVTUm4wWExTMXpYckZrejVPYm1PcTByS0NoUXl4YUx4V2xkMFdWZDEwWE5talVCQUdhenVjUzZWcXZWYVYzUlpUOC92ekxWMVhXOTJEb3ZMNisvQWZnZUtOUDErNHlVY2dXQXBicXVuN0phcmJsU3l1eS8vdnJyb3NzTkt5bC9mMzlNbWpRSjY5ZXZ4NUlsUzlDNGNXTU1IanhZTGJ2eTFGTlBZY1NJRVFDQTl1M2JxeDRtZGV2V3hkdHZ2NDBKRXliZ3dvVUxpSW1KdWFwZWRmYi9menQzZDNmMU44TFgxMWVWaDRTRU9BV2o3YjFPREFhRENoSmxaR1JnOWVyVnhZNXg3Tmd4RldRSkRRM0Y4ODgvajRNSEQrTGd3WU1BYk1sdkhZK1ZrWkhodEgxWnI5T0FMWG02L2JOeFRJVHI1ZVdGME5CUTFZNnpaODh5MEhLZEdHZ2hJaUs2Z1hidjNuMEd3SmtyVnJ5QlRDWlREY2RsaHkvbEVvQlpDSkd2Ni9vT0FKOGJESWE0YmR1MmxkNzN1QktxV3JXcTA5Ty8zMzc3RGFOSGoxWkpWcnQzN3c1UFQwL0V4Y1ZoNDhhTmVPcXBwOUNtVFJ2TW1UTUg4K2ZQaDY3cm1EMTdOaFl1WEZqcStQbHI0ZVhsaFdYTGxtSDI3Tm1JaTR0RHYzNzluR2FRaUlpSWdCQUMvdjcrNk5tekorclZxM2ZGZlQ3NjZLT2w5dURKeXNwU2lXWmRxVjI3dGtvR1diZHVYUlZvU1UxTnhZTVBQcWpxT1Q2UmRkV0R4aTRrSkFRZUhoN0l6OCtIcnV2SXk4dFR3UmVMeFFKZC8xOWluL0wrZk9tMmQ3WDVYSlJ0MjdaZDk4RlBuang1M2Z1NEhpYVR5U25waHNQMVd3ZVFLNFRJa2xMK0NXQk9VbExTVHdCdXVldDNVVzV1Ym5qb29ZZFVvTUhQejg5cCtXbzkrK3l6V0xObURiWnQyNFp6NTg3aDFLbFQxOXkycEtRa05hdVBZMCtTeHg1N1RMMWV2SGd4bWpScGd1VGtaSFR2M2wwTjZVeExTN3RpWXRrREJ3Nm9JVktPKzZ0YjkzK3Blb3IybENucmRSb0E3cm5uSHB3K2JadFFNRHM3MjJsZFdYc3dVdGt3MEVKRVJIUUhLZXhXbmlPRTJDdWxUQUd3UlVxNUpqazUrVUJGdDYwOFhMcDBDWFBtek1FMzMzeWpudjRHQlFWaDFLaFJ5TW5Kd2JwMTYzRCsvSG1NR0RFQ3djSEJPSDc4T0FEYnpYKzdkdTJ1MkQzOVd2bjYraUk2T2hyOSt2VXI5bFE2T0RnWXMyYk5Rc09HRGVIdTduN0ZXU01jK2ZqNElEZzRHQUJ3Nk5BaEFMYjM2K3ZyQzEzWGtaYVdoc0RBUURXVDBlblRwNUdUNDV5VHVYbno1bXIyalBqNGVQVHMyUk9BYmRZbCt3MUpRRUFBSG5qZ0FiWE43dDI3WVRhYllUS1pBTmllMmpacjFrek5yaEVmSDQ5ZXZYb0JzQ1VEdG12VXFCSEgvUk5kbzhJZ1N4YUFQNFVRVzZ4VzZ3NnoyYndsSlNYbGFBVTNyVklUUW1EVXFGR0lqNC9IaXkrK1dPd2FXSkxFeEVSRVJVVTU5ZktUVXJvTWNqdVdTU25ScGswYnRHM2JWbDBUQVZ0dlAxZUJaaW1sbW4zT2FEUVd1MGJhWjVQNzhzc3ZBZGhtTXJwMDZSSjhmSHlRbloyTkRSczJxTHJ0MnJWVHI0OGZQNDVqeDQ0aElpSUM5a1RZTFZ1MlZQbTY0dVBqVmYxVHAwNWh6NTQ5QUd6WGM4ZmNZWFJ0K0plT2lJam9EaUdsUEFKZ0NZQzFVc3JVZ29LQ1V5a3BLWlYwRG9xcll6YWJFUmNYaHpsejVoU2JkY0ZvTkVMVE5IaDdlK1Bqano5R1pHUWs4dlB6VlpEbDczLy9PeUlqSTR2TjVGQmVjbkp5c0huelppUWtKR0REaGcyb1ZhdVdlaUlLMko2UWZ2bmxseGcwYUpBS1hKUlZwMDZkTUdyVUtNeWFOUXRmZnZrbGF0U29nZGpZV1BqNStTRStQaDRqUjQ2RXA2Y25acytlRFg5L2Y3ejExbHRPMDNzQ3RtU1BYMzMxRlFvS0NyQnQyemJFeE1TZ1ljT0dpSTJOVlhYNjlldW5Fbm5handVQS9mdjN4NUFoUXdBQWZmcjBVVGNWa3lkUHhva1RKK0RtNW9iRml4ZXIvVnp0akVwRVpDT2xUQlZDekxOYXJiOVlyZFlqdTNmdlBnOU9qNjBjT0hCQTVVdHhsWWVyZHUzYWlJeU1CQUNYZ1phTWpBd3NXYkxFcVJmVXJsMjdBRGpQOHRPNGNXTk1talFKZ0Mwdnk3eDU4d0FBSzFhc1VFR1VhdFdxdVF3b04yblN4R1VpM0YyN2R1SEZGMThFQUx6NjZxc1lPSEJnc1RxNnJxTisvZnBJVFUzRjVjdVhFUlVWaFNlZWVBSnIxNjVWZi9OYXQyNnRlblp1M2JvVnI3LytPblJkUjFoWUdMNysrbXNBdHQ2ZGMrZk94ZVhMbDFWQzRRWU5HdUQ3Nzc5WFBYUzZkdTFhNHJCVEtqc0dXb2lJaUc1L0I2U1U3Wk9Ta240RGNHTzZiRlN3SDM3NHdhbExkdTNhdGVIbDVZVURCLzdYVVNjN094dnA2ZW1vVjY4ZTl1N2RxOHEzYk5tQ0J4NTRBRjI2ZEhGS3B1ZzQzTVdSNCt3UGdPc3Y3WGFhcHVITEw3L0Vva1dMVk5tK2ZmdlVlSHVMeFlKUm8wYmg1TW1UU0V4TVJMdDI3VEJreUJDc1hyMjYxSm1SSE0yWU1RUHo1ODhIWU91Wjg5NTc3NmxjS0lCdDZNT3dZY1B3MldlZnVkdytKQ1FFMGRIUktzSGptalZyc0diTkdyVytSWXNXNk5ldm4xcTJqK0V2K3JwMTY5Ym8zYnMzbGk1ZENvdkZvcjdZMi9YczJSTmR1M1l0MDNzaUlwdjgvUHg5N3U3dWYwdE9UdDZNeWp4bFVBWGJ0V3VYQ294Y0M0dkZndG16WnhjcnIxS2xDdTY5OTE2Y08zY09nRzFZVTQwYXR0RzRqcm1wZ29PRGIraHdHMDNUTUhyMGFFUkdSaUkzTjdmWUxFdlZxMWZIKysrL3I1WjM3TmloL29hbHBLUWdMeThQbnA2ZUNBd014UHZ2djQrWW1CaElLYkYyN1Zxbkdad2FObXlJNk9qb0cvWSs3aVFNdEJBUkVkM21rcEtTVGdLbzJFUUROMWluVHAwd1ljSUVhSnFHM3IxN0l5b3FTczJta0pXVmhYLys4NTlJU2twU1Qrd21UNTZNano3NkNHZk9uTUh4NDhjeFpzd1kvT2MvLzBHclZxMFFGUldGb1VPSDRzaVJJMWM4Ymw1ZUh0cTJiVnZpK25yMTZtSGN1SEVxMEJJY0hJekl5RWdjT1hJRWlZbUpNQnFOZU8rOTl6QnExQ2lrcDZkanc0WU4wRFROS1doazcxSmVrb0NBQVBYNnlKRWpxdDBlSGg0SUNBaUEyV3hHWW1JaXBrMmJWdUkrL3Y3M3Y2TldyVnBZc0dBQjl1elpnNEtDQXRTdVhSdmR1blZEMzc1OW5aN092dlRTUzBoTFM0UFZhbFd6Q2RtOSsrNjdDQXNMdzdmZmZxdUNYUFhyMTBldlhyM1FyVnUzVXQ4SEVSV1hrcEp5R3NEcGltN0h6WFR1M0RtMGI5OWU1UXpadkhtejAvTDFjcnkyMjN2cUJRVUZJU0FnQUpjdlgwYlRwazNSc21WTE5HL2VIR0ZoWVRBWUROaTZkU3VBc3VWbzZkT25EMTUvL2ZVeXQ2ZXNNK2FGaFlWaDBhSkZtRFZyRmhJVEU1R1ZsWVdnb0NDMGE5Y09rWkdSVG44TGV2VG9nWVNFQkJ3NWNnUjkrL1oxR3JMMDJHT1BvVWFOR3BnN2R5NTI3TmlCbkp3YzFLcFZDMDg4OFFRR0RCakFQRnJsaElFV0lpSWl1dVg1Ky9zak1qSVNqei8rT082NTV4NWtaV1dwcDVzNU9UbElURXgwcWg4ZUhvNjR1RGpNbWpVTHk1WXRRMEZCQVhKemMzSHk1RW1uOGZqbDRmNzc3MGRFUkFRaUlpTFVWTW9KQ2JiSmFyeTh2TkN5WlVzc1diSUV3NFlOUTNKeU1vWU1HWUtSSTBjaU56Y1htWm1aYXRha2txYnQ3TmF0R3c0Y09JRHc4SERjZSsrOUNBa0pRV0Jnb0pyMVl0ZXVYWWlLaWtLVEprM1UySHhYM2RwYnQyNk4xcTJMelNKYlRNdVdMZkh6enorWHVMNWJ0MjVYSFZUeDhmRXBsOFNsUkZTNVJVUkVJREl5RW5YcjFpMDJlNDRqKzh3NGdHMXFaOGRsVjU1NjZpa01IVG9VQU5DbFN4ZW4rdHUzYjhlQ0JRdmc1dVlHSVlSVFQ3enExYXVyMTlPblQwZTlldlZLRFRTVUpVZUxxNkZMUmMyY09WTzlmL3QxR2JoeUV0cTZkZXZpd3c4L3ZPTCthOVNvZ1crKythYkU5VTJhTkNrMStGNlNrbVo5b3VJWWFDRWlJcUxid3F1dnZxcGUrL3I2b2tPSERsaS9majBBMjVmVEZpMWE0S0dISG9MSlpGSlAvdDUrKzIzMDc5OGZ5NWN2eDdwMTZ6Qmh3Z1M0dTd1alk4ZU9haWFlNjJIL0VqOXIxaXdJSWZESUk0ODQzVnpZcDg4TUNBakF6Smt6c1czYk50U3BVd2ZwNmVucUNhcGRnd1lOWEI3RDM5OGZZOGFNS2JFTlk4YU1RVUZCQWQ1Ly8zMzFCTFpPblRyWDliNklpSzZGUGVnTUFFdVhMblZaeDkvZkgyUEhqaTFXdm1IREJzVEZ4VG1WOWV2WEQ3bTV1WGp3d1FkVmtDSTZPaG9GQlFXNDc3NzdBQUMxYXRVcWxwdkt6akY1YkZoWTJCWGJmLy85OXlNbUpxYlVPdllFNWFVNWUvWXNmdmpoQjZjeUlZVDZiT2pXeDBBTEVSRVIzWmFpb3FMUXZIbHp0R3ZYRGpWcjFpeXhYbEJRRUFZTkdvUkJnd2Fwc2pmZWVLTmMyMktma3ZXQkJ4N0FsaTFiNE8zdGphWk5tNnJoVFlDdEMzdUxGaTBBMk1iSjJ3TXRucDZlK1B2Zi80Nm1UWnRlMDdFaklpSnc3Tmd4Q0NGUXRXcFYzSDMzM1U3SEpTS3FES3BXcllyZzRHQUVCUVdoVFpzMnhkYW5wNmNqT0RqWXFYZGYwZUdMZ0czWWpLTWFOV3FnV3JWcU9ILyt2Q29MQ1FuQkN5KzhnTWFORzE5MUc2OTJHMWNpSWlLUWtwSUNkM2QzZUhoNG9IcjE2dWpldlR0bis3bU5pSXB1QUJFUkVkMDY2allNN3dBaFkzMTlmRUsrbkRFVnJWbzhWTkZOdW0zcHVnNnoyUXczTjdkaWlYRXZYTGdBWGRmaDZla0piMi92Q21yaG5XZkwxai94WnZRd25EdC9QZ01TVDZmdFRVNm82RFlSbFpYdCtvM3ZncXRWODUvKzhjUTc2dnFkbDVjSEtTVTBUWVBSYUZTNVdlaldscFM4RTI4T0hZYmpKMDdtUWNxbjAvYnRMSGxjNjAzR0hpMUVSRVJFbFpDbWFmRHc4SEM1TGpBdzhDYTNob2pvMXNVRXIzU3psVzNlUUNJaUlpSWlJaUlpdWlJR1dvaUlpSWlJaUlpSXlna0RMVVJFUkVSRVJFUkU1WVNCRmlJaUlpSWlJaUtpY3NKQUN4RVJFUkVSRVJGUk9XR2doWWlJaUlpSWlJaW9uRERRUWtSRVJFUkVSRVJVVGhob0lTSWlJaUlpSWlJcUp3eTBFQkVSRVJFUkVSR1ZFd1phaUlpSWlJaUlpSWpLQ1FNdFJFUkVSRVJFUkVUbGhJRVdJaUlpSWlJaUlxSnlZcXpvQmhBUkVkR3R4Mkt4SUhGYkVyS3lMbFYwVTRodW1uMEhVbEZRVUZEUnpTQzZMZ1VGQmJ4KzAyM2hVRm9hY3ZQeUtyb1pMakhRUWtSRVJGY3ROemNQbjM0K0MwSmo1MWk2YzBoZGg5bGlxZWhtRUYyWHJFdVhlUDJtMjRLVUVtYXp1YUtiNFJJRExVUkVSRlJtdXRWNlZETm9LUkxJS3pEemhwUHVXQ2QxcS9Wb1JUZUM2R3JZcnQrR1BSS295ZXMzM1ZZRU1zd1FoeXE2R1k1RVJUZUFpSWlJYmlsYTdYcU43ak5xYnRVcXVpRkVGVVV6aWd1SDl1NUlCYUJYZEZ1SXJvSjI3LzFOUXFVVkFSWGRFS0x5SklXZWVlVEE3bjNnTlpt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k2R3I4UDJmOFo0QkgwYVAxQUFBQUFFbEZUa1N1UW1DQyIsCgkiVGhlbWUiIDogIiIsCgkiVHlwZSIgOiAiZmxvdyIsCgkiVXNlcklkIiA6ICIxNjgwNTQ3MjgyIiwKCSJWZXJzaW9uIiA6ICIyMCIKfQo="/>
    </extobj>
  </extobj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31bc3786-c96d-471e-ba4d-0a31f15b59c8</errorID>
      <errorWord>：</errorWord>
      <group>L1_Format</group>
      <groupName>格式问题</groupName>
      <ability>L2_HalfPunc</ability>
      <abilityName>全半角检查</abilityName>
      <candidateList>
        <item>:</item>
      </candidateList>
      <explain>文本全半角错误。</explain>
      <paraID>5FEC1A65</paraID>
      <start>2</start>
      <end>3</end>
      <status>ignored</status>
      <modifiedWord/>
      <trackRevisions>false</trackRevisions>
    </reviewItem>
    <reviewItem>
      <errorID>ef930276-58ae-414d-8270-5e43c5ed7094</errorID>
      <errorWord>，</errorWord>
      <group>L1_Format</group>
      <groupName>格式问题</groupName>
      <ability>L2_HalfPunc</ability>
      <abilityName>全半角检查</abilityName>
      <candidateList>
        <item>, </item>
      </candidateList>
      <explain>文本全半角错误。</explain>
      <paraID>5FEC1A65</paraID>
      <start>16</start>
      <end>17</end>
      <status>ignored</status>
      <modifiedWord/>
      <trackRevisions>false</trackRevisions>
    </reviewItem>
    <reviewItem>
      <errorID>c145dd0a-7934-405f-87d7-15eb7bb4c7ef</errorID>
      <errorWord>：</errorWord>
      <group>L1_Format</group>
      <groupName>格式问题</groupName>
      <ability>L2_HalfPunc</ability>
      <abilityName>全半角检查</abilityName>
      <candidateList>
        <item>:</item>
      </candidateList>
      <explain>文本全半角错误。</explain>
      <paraID>5FEC1A65</paraID>
      <start>18</start>
      <end>19</end>
      <status>ignored</status>
      <modifiedWord/>
      <trackRevisions>false</trackRevisions>
    </reviewItem>
    <reviewItem>
      <errorID>a2a1e6c6-dcd5-4643-96d7-654f5a298013</errorID>
      <errorWord>。</errorWord>
      <group>L1_Punc</group>
      <groupName>标点问题</groupName>
      <ability>L2_Punc</ability>
      <abilityName>标点符号检查</abilityName>
      <candidateList>
        <item/>
      </candidateList>
      <explain>标题文本后不使用标点符号。</explain>
      <paraID>7F816E4F</paraID>
      <start>40</start>
      <end>41</end>
      <status>ignored</status>
      <modifiedWord/>
      <trackRevisions>false</trackRevisions>
    </reviewItem>
    <reviewItem>
      <errorID>0187a42f-e351-4ce2-8599-dee830eb1e0a</errorID>
      <errorWord>。</errorWord>
      <group>L1_Punc</group>
      <groupName>标点问题</groupName>
      <ability>L2_Punc</ability>
      <abilityName>标点符号检查</abilityName>
      <candidateList>
        <item/>
      </candidateList>
      <explain>标题文本后不使用标点符号。</explain>
      <paraID> 5541F09</paraID>
      <start>10</start>
      <end>11</end>
      <status>ignored</status>
      <modifiedWord/>
      <trackRevisions>false</trackRevisions>
    </reviewItem>
    <reviewItem>
      <errorID>6bb1c5a7-1f83-4d13-8667-e6531a10dc85</errorID>
      <errorWord>；</errorWord>
      <group>L1_Punc</group>
      <groupName>标点问题</groupName>
      <ability>L2_Punc</ability>
      <abilityName>标点符号检查</abilityName>
      <candidateList>
        <item/>
      </candidateList>
      <explain>标题文本后不使用标点符号。</explain>
      <paraID>39347301</paraID>
      <start>23</start>
      <end>24</end>
      <status>ignored</status>
      <modifiedWord/>
      <trackRevisions>false</trackRevisions>
    </reviewItem>
    <reviewItem>
      <errorID>c59559a2-1242-49df-912b-62a0a8e4f11b</errorID>
      <errorWord>：</errorWord>
      <group>L1_Punc</group>
      <groupName>标点问题</groupName>
      <ability>L2_Punc</ability>
      <abilityName>标点符号检查</abilityName>
      <candidateList>
        <item/>
      </candidateList>
      <explain>标题文本后不使用标点符号。</explain>
      <paraID>1CE9EF85</paraID>
      <start>33</start>
      <end>34</end>
      <status>ignored</status>
      <modifiedWord/>
      <trackRevisions>false</trackRevisions>
    </reviewItem>
    <reviewItem>
      <errorID>e9ecdeec-47d8-45b2-9767-f954f0cd0a28</errorID>
      <errorWord>。</errorWord>
      <group>L1_Punc</group>
      <groupName>标点问题</groupName>
      <ability>L2_Punc</ability>
      <abilityName>标点符号检查</abilityName>
      <candidateList>
        <item/>
      </candidateList>
      <explain>标题文本后不使用标点符号。</explain>
      <paraID>133D4351</paraID>
      <start>43</start>
      <end>44</end>
      <status>ignored</status>
      <modifiedWord/>
      <trackRevisions>false</trackRevisions>
    </reviewItem>
    <reviewItem>
      <errorID>3cfce891-a112-426d-8eaa-0fb30fe4c6cf</errorID>
      <errorWord>：</errorWord>
      <group>L1_Punc</group>
      <groupName>标点问题</groupName>
      <ability>L2_Punc</ability>
      <abilityName>标点符号检查</abilityName>
      <candidateList>
        <item/>
      </candidateList>
      <explain>标题文本后不使用标点符号。</explain>
      <paraID>29D88E13</paraID>
      <start>16</start>
      <end>17</end>
      <status>ignored</status>
      <modifiedWord/>
      <trackRevisions>false</trackRevisions>
    </reviewItem>
    <reviewItem>
      <errorID>b50d1d77-c25d-46a3-8d01-3a3cf615bcb6</errorID>
      <errorWord>，</errorWord>
      <group>L1_Word</group>
      <groupName>字词问题</groupName>
      <ability>L2_Typo</ability>
      <abilityName>字词错误</abilityName>
      <candidateList>
        <item>，具</item>
      </candidateList>
      <explain/>
      <paraID>2D752A7F</paraID>
      <start>48</start>
      <end>49</end>
      <status>ignored</status>
      <modifiedWord/>
      <trackRevisions>false</trackRevisions>
    </reviewItem>
    <reviewItem>
      <errorID>9ec27ad2-29be-4a95-9251-e2fa9b398744</errorID>
      <errorWord>。</errorWord>
      <group>L1_Punc</group>
      <groupName>标点问题</groupName>
      <ability>L2_Punc</ability>
      <abilityName>标点符号检查</abilityName>
      <candidateList>
        <item/>
      </candidateList>
      <explain>标题文本后不使用标点符号。</explain>
      <paraID>722E2B64</paraID>
      <start>16</start>
      <end>17</end>
      <status>ignored</status>
      <modifiedWord/>
      <trackRevisions>false</trackRevisions>
    </reviewItem>
    <reviewItem>
      <errorID>804565fd-bede-4b29-9a4b-96801290e1e7</errorID>
      <errorWord>态</errorWord>
      <group>L1_Word</group>
      <groupName>字词问题</groupName>
      <ability>L2_Typo</ability>
      <abilityName>字词错误</abilityName>
      <candidateList>
        <item>态化</item>
      </candidateList>
      <explain/>
      <paraID>1EF6659B</paraID>
      <start>4</start>
      <end>5</end>
      <status>ignored</status>
      <modifiedWord/>
      <trackRevisions>false</trackRevisions>
    </reviewItem>
    <reviewItem>
      <errorID>838d1a8b-f173-497d-ad8d-7c234ef733ee</errorID>
      <errorWord>。</errorWord>
      <group>L1_Punc</group>
      <groupName>标点问题</groupName>
      <ability>L2_Punc</ability>
      <abilityName>标点符号检查</abilityName>
      <candidateList>
        <item/>
      </candidateList>
      <explain>标题文本后不使用标点符号。</explain>
      <paraID>1EF6659B</paraID>
      <start>15</start>
      <end>16</end>
      <status>ignored</status>
      <modifiedWord/>
      <trackRevisions>false</trackRevisions>
    </reviewItem>
    <reviewItem>
      <errorID>a271511e-4ccf-41b1-bec8-c9f5642080b9</errorID>
      <errorWord>。</errorWord>
      <group>L1_Punc</group>
      <groupName>标点问题</groupName>
      <ability>L2_Punc</ability>
      <abilityName>标点符号检查</abilityName>
      <candidateList>
        <item/>
      </candidateList>
      <explain>标题文本后不使用标点符号。</explain>
      <paraID>5ACA0E9D</paraID>
      <start>11</start>
      <end>12</end>
      <status>ignored</status>
      <modifiedWord/>
      <trackRevisions>false</trackRevisions>
    </reviewItem>
    <reviewItem>
      <errorID>3ccbd5bd-1f4c-4e8c-acb1-b36294a2bcdd</errorID>
      <errorWord>。</errorWord>
      <group>L1_Punc</group>
      <groupName>标点问题</groupName>
      <ability>L2_Punc</ability>
      <abilityName>标点符号检查</abilityName>
      <candidateList>
        <item/>
      </candidateList>
      <explain>标题文本后不使用标点符号。</explain>
      <paraID>5D0F040C</paraID>
      <start>13</start>
      <end>14</end>
      <status>ignored</status>
      <modifiedWord/>
      <trackRevisions>false</trackRevisions>
    </reviewItem>
    <reviewItem>
      <errorID>175c11af-4126-405b-bb10-c998054be8d9</errorID>
      <errorWord>，</errorWord>
      <group>L1_Word</group>
      <groupName>字词问题</groupName>
      <ability>L2_Typo</ability>
      <abilityName>字词错误</abilityName>
      <candidateList>
        <item>，有</item>
      </candidateList>
      <explain/>
      <paraID> C73FA37</paraID>
      <start>53</start>
      <end>55</end>
      <status>modified</status>
      <modifiedWord>，有</modifiedWord>
      <trackRevisions>false</trackRevisions>
    </reviewItem>
    <reviewItem>
      <errorID>2c92ccba-ba6e-477f-86ae-734407b33d38</errorID>
      <errorWord>地面</errorWord>
      <group>L1_Word</group>
      <groupName>字词问题</groupName>
      <ability>L2_Typo</ability>
      <abilityName>字词错误</abilityName>
      <candidateList>
        <item>底面</item>
      </candidateList>
      <explain/>
      <paraID> BEAD9AF</paraID>
      <start>9</start>
      <end>11</end>
      <status>ignored</status>
      <modifiedWord/>
      <trackRevisions>false</trackRevisions>
    </reviewItem>
    <reviewItem>
      <errorID>fa09ec86-8d82-4387-bcbb-388dedeaaac6</errorID>
      <errorWord>整形</errorWord>
      <group>L1_Word</group>
      <groupName>字词问题</groupName>
      <ability>L2_Typo</ability>
      <abilityName>字词错误</abilityName>
      <candidateList>
        <item>整型</item>
      </candidateList>
      <explain/>
      <paraID>7A023A3A</paraID>
      <start>85</start>
      <end>87</end>
      <status>ignored</status>
      <modifiedWord/>
      <trackRevisions>false</trackRevisions>
    </reviewItem>
    <reviewItem>
      <errorID>61b3b9ec-eb58-4f06-91ee-0b9867578a2e</errorID>
      <errorWord>；</errorWord>
      <group>L1_Punc</group>
      <groupName>标点问题</groupName>
      <ability>L2_Punc</ability>
      <abilityName>标点符号检查</abilityName>
      <candidateList>
        <item/>
      </candidateList>
      <explain>标题文本后不使用标点符号。</explain>
      <paraID>3940CD13</paraID>
      <start>15</start>
      <end>16</end>
      <status>ignored</status>
      <modifiedWord/>
      <trackRevisions>false</trackRevisions>
    </reviewItem>
    <reviewItem>
      <errorID>8f1c106e-ef0d-4ca5-a8e7-af756ec0face</errorID>
      <errorWord>；</errorWord>
      <group>L1_Punc</group>
      <groupName>标点问题</groupName>
      <ability>L2_Punc</ability>
      <abilityName>标点符号检查</abilityName>
      <candidateList>
        <item/>
      </candidateList>
      <explain>标题文本后不使用标点符号。</explain>
      <paraID> 15B4998</paraID>
      <start>13</start>
      <end>14</end>
      <status>ignored</status>
      <modifiedWord/>
      <trackRevisions>false</trackRevisions>
    </reviewItem>
    <reviewItem>
      <errorID>be860db9-640d-4c70-81f1-98e19b754da7</errorID>
      <errorWord>；</errorWord>
      <group>L1_Punc</group>
      <groupName>标点问题</groupName>
      <ability>L2_Punc</ability>
      <abilityName>标点符号检查</abilityName>
      <candidateList>
        <item/>
      </candidateList>
      <explain>标题文本后不使用标点符号。</explain>
      <paraID>3A989907</paraID>
      <start>34</start>
      <end>35</end>
      <status>ignored</status>
      <modifiedWord/>
      <trackRevisions>false</trackRevisions>
    </reviewItem>
    <reviewItem>
      <errorID>a5e74243-8079-490d-addc-d6170aac456a</errorID>
      <errorWord>；</errorWord>
      <group>L1_Punc</group>
      <groupName>标点问题</groupName>
      <ability>L2_Punc</ability>
      <abilityName>标点符号检查</abilityName>
      <candidateList>
        <item/>
      </candidateList>
      <explain>标题文本后不使用标点符号。</explain>
      <paraID>64F2425E</paraID>
      <start>29</start>
      <end>30</end>
      <status>ignored</status>
      <modifiedWord/>
      <trackRevisions>false</trackRevisions>
    </reviewItem>
    <reviewItem>
      <errorID>5d2e05d2-e187-444b-857e-b22d8824898e</errorID>
      <errorWord>；</errorWord>
      <group>L1_Punc</group>
      <groupName>标点问题</groupName>
      <ability>L2_Punc</ability>
      <abilityName>标点符号检查</abilityName>
      <candidateList>
        <item/>
      </candidateList>
      <explain>标题文本后不使用标点符号。</explain>
      <paraID> 6C02141</paraID>
      <start>42</start>
      <end>43</end>
      <status>ignored</status>
      <modifiedWord/>
      <trackRevisions>false</trackRevisions>
    </reviewItem>
    <reviewItem>
      <errorID>e9c7fed5-92c9-4c7d-bc19-db5fc4155774</errorID>
      <errorWord>；</errorWord>
      <group>L1_Punc</group>
      <groupName>标点问题</groupName>
      <ability>L2_Punc</ability>
      <abilityName>标点符号检查</abilityName>
      <candidateList>
        <item/>
      </candidateList>
      <explain>标题文本后不使用标点符号。</explain>
      <paraID>660EC7BD</paraID>
      <start>12</start>
      <end>13</end>
      <status>ignored</status>
      <modifiedWord/>
      <trackRevisions>false</trackRevisions>
    </reviewItem>
    <reviewItem>
      <errorID>9a2d4e56-7714-4794-b243-9f577c12eb47</errorID>
      <errorWord>；</errorWord>
      <group>L1_Punc</group>
      <groupName>标点问题</groupName>
      <ability>L2_Punc</ability>
      <abilityName>标点符号检查</abilityName>
      <candidateList>
        <item/>
      </candidateList>
      <explain>标题文本后不使用标点符号。</explain>
      <paraID>49EF5B32</paraID>
      <start>21</start>
      <end>22</end>
      <status>ignored</status>
      <modifiedWord/>
      <trackRevisions>false</trackRevisions>
    </reviewItem>
    <reviewItem>
      <errorID>095d1b0b-bf51-4a5f-8d29-042207e14dd8</errorID>
      <errorWord>。</errorWord>
      <group>L1_Punc</group>
      <groupName>标点问题</groupName>
      <ability>L2_Punc</ability>
      <abilityName>标点符号检查</abilityName>
      <candidateList>
        <item/>
      </candidateList>
      <explain>标题文本后不使用标点符号。</explain>
      <paraID>2DC72303</paraID>
      <start>19</start>
      <end>20</end>
      <status>ignored</status>
      <modifiedWord/>
      <trackRevisions>false</trackRevisions>
    </reviewItem>
    <reviewItem>
      <errorID>cf098d0a-7fe5-48d7-a523-6fb647f4b4a1</errorID>
      <errorWord>生态与环境保护</errorWord>
      <group>L1_Political</group>
      <groupName>政治性问题</groupName>
      <ability>L2_Keyword</ability>
      <abilityName>固定表述</abilityName>
      <candidateList>
        <item>生态环境保护</item>
      </candidateList>
      <explain>词汇“生态环境保护”在特定场景下为固定表述形式，请确认此处的“生态与环境保护”是否存在不当。</explain>
      <paraID>521BE04F</paraID>
      <start>19</start>
      <end>26</end>
      <status>ignored</status>
      <modifiedWord/>
      <trackRevisions>false</trackRevisions>
    </reviewItem>
    <reviewItem>
      <errorID>08572a47-f728-43f7-99d2-15060a38a70d</errorID>
      <errorWord>。</errorWord>
      <group>L1_Punc</group>
      <groupName>标点问题</groupName>
      <ability>L2_Punc</ability>
      <abilityName>标点符号检查</abilityName>
      <candidateList>
        <item/>
      </candidateList>
      <explain>标题文本后不使用标点符号。</explain>
      <paraID>25993EB8</paraID>
      <start>39</start>
      <end>40</end>
      <status>ignored</status>
      <modifiedWord/>
      <trackRevisions>false</trackRevisions>
    </reviewItem>
    <reviewItem>
      <errorID>4c58a2e1-3f3b-4d3c-a3c8-f78accebf4c7</errorID>
      <errorWord>。</errorWord>
      <group>L1_Punc</group>
      <groupName>标点问题</groupName>
      <ability>L2_Punc</ability>
      <abilityName>标点符号检查</abilityName>
      <candidateList>
        <item/>
      </candidateList>
      <explain>标题文本后不使用标点符号。</explain>
      <paraID>1BE1DDA7</paraID>
      <start>45</start>
      <end>46</end>
      <status>ignored</status>
      <modifiedWord/>
      <trackRevisions>false</trackRevisions>
    </reviewItem>
    <reviewItem>
      <errorID>55c96eec-84f7-4fc7-af9a-c0bf9868735a</errorID>
      <errorWord>。</errorWord>
      <group>L1_Punc</group>
      <groupName>标点问题</groupName>
      <ability>L2_Punc</ability>
      <abilityName>标点符号检查</abilityName>
      <candidateList>
        <item/>
      </candidateList>
      <explain>标题文本后不使用标点符号。</explain>
      <paraID>7BD7BEAD</paraID>
      <start>19</start>
      <end>20</end>
      <status>ignored</status>
      <modifiedWord/>
      <trackRevisions>false</trackRevisions>
    </reviewItem>
    <reviewItem>
      <errorID>f7f5d706-1e26-476d-a18a-66431e0386f2</errorID>
      <errorWord>。</errorWord>
      <group>L1_Punc</group>
      <groupName>标点问题</groupName>
      <ability>L2_Punc</ability>
      <abilityName>标点符号检查</abilityName>
      <candidateList>
        <item/>
      </candidateList>
      <explain>标题文本后不使用标点符号。</explain>
      <paraID> 2321808</paraID>
      <start>28</start>
      <end>29</end>
      <status>ignored</status>
      <modifiedWord/>
      <trackRevisions>false</trackRevisions>
    </reviewItem>
    <reviewItem>
      <errorID>6e8bb61f-d095-4829-abca-a294ab817a64</errorID>
      <errorWord>。</errorWord>
      <group>L1_Punc</group>
      <groupName>标点问题</groupName>
      <ability>L2_Punc</ability>
      <abilityName>标点符号检查</abilityName>
      <candidateList>
        <item/>
      </candidateList>
      <explain>标题文本后不使用标点符号。</explain>
      <paraID>62E6E72A</paraID>
      <start>34</start>
      <end>35</end>
      <status>ignored</status>
      <modifiedWord/>
      <trackRevisions>false</trackRevisions>
    </reviewItem>
    <reviewItem>
      <errorID>6f6cab34-e4bb-492e-ae18-b932b0693ac9</errorID>
      <errorWord>。</errorWord>
      <group>L1_Punc</group>
      <groupName>标点问题</groupName>
      <ability>L2_Punc</ability>
      <abilityName>标点符号检查</abilityName>
      <candidateList>
        <item/>
      </candidateList>
      <explain>标题文本后不使用标点符号。</explain>
      <paraID>7AFD796A</paraID>
      <start>37</start>
      <end>38</end>
      <status>ignored</status>
      <modifiedWord/>
      <trackRevisions>false</trackRevisions>
    </reviewItem>
    <reviewItem>
      <errorID>f0f87fc1-a634-4d69-97c0-0ea70819609d</errorID>
      <errorWord>。</errorWord>
      <group>L1_Punc</group>
      <groupName>标点问题</groupName>
      <ability>L2_Punc</ability>
      <abilityName>标点符号检查</abilityName>
      <candidateList>
        <item/>
      </candidateList>
      <explain>标题文本后不使用标点符号。</explain>
      <paraID>573BB103</paraID>
      <start>43</start>
      <end>44</end>
      <status>ignored</status>
      <modifiedWord/>
      <trackRevisions>false</trackRevisions>
    </reviewItem>
    <reviewItem>
      <errorID>84f4a79d-e213-4cad-8598-30330380e33c</errorID>
      <errorWord>。</errorWord>
      <group>L1_Punc</group>
      <groupName>标点问题</groupName>
      <ability>L2_Punc</ability>
      <abilityName>标点符号检查</abilityName>
      <candidateList>
        <item/>
      </candidateList>
      <explain>标题文本后不使用标点符号。</explain>
      <paraID>35F43CB7</paraID>
      <start>33</start>
      <end>34</end>
      <status>ignored</status>
      <modifiedWord/>
      <trackRevisions>false</trackRevisions>
    </reviewItem>
    <reviewItem>
      <errorID>63ded4d4-146e-417b-b129-f31be6d6236b</errorID>
      <errorWord>。</errorWord>
      <group>L1_Punc</group>
      <groupName>标点问题</groupName>
      <ability>L2_Punc</ability>
      <abilityName>标点符号检查</abilityName>
      <candidateList>
        <item/>
      </candidateList>
      <explain>标题文本后不使用标点符号。</explain>
      <paraID>4E1DFD10</paraID>
      <start>30</start>
      <end>31</end>
      <status>ignored</status>
      <modifiedWord/>
      <trackRevisions>false</trackRevisions>
    </reviewItem>
    <reviewItem>
      <errorID>22bcd27d-f5cb-48ef-bd6c-d32aecd65ac5</errorID>
      <errorWord>得</errorWord>
      <group>L1_Word</group>
      <groupName>字词问题</groupName>
      <ability>L2_DDD</ability>
      <abilityName>的地得用法</abilityName>
      <candidateList>
        <item>的</item>
      </candidateList>
      <explain>“的”常用于连接修饰语与名词性中心语，表示属性、所属或描述。</explain>
      <paraID>675CE229</paraID>
      <start>20</start>
      <end>21</end>
      <status>modified</status>
      <modifiedWord>的</modifiedWord>
      <trackRevisions>false</trackRevisions>
    </reviewItem>
    <reviewItem>
      <errorID>aa1d7075-1a01-4d4b-8120-f934f0fad7b8</errorID>
      <errorWord>2019年05月08日</errorWord>
      <group>L1_Knowledge</group>
      <groupName>知识性问题</groupName>
      <ability>L2_Time</ability>
      <abilityName>日期时间</abilityName>
      <candidateList>
        <item>2019年5月8日</item>
      </candidateList>
      <explain>根据日常书写习惯，月份和日期一般会省略前导零。</explain>
      <paraID>31F28418</paraID>
      <start>66</start>
      <end>75</end>
      <status>modified</status>
      <modifiedWord>2019年5月8日</modifiedWord>
      <trackRevisions>false</trackRevisions>
    </reviewItem>
    <reviewItem>
      <errorID>3f162966-40d9-4b95-a658-94ff096f144f</errorID>
      <errorWord>2021年05月08日</errorWord>
      <group>L1_Knowledge</group>
      <groupName>知识性问题</groupName>
      <ability>L2_Time</ability>
      <abilityName>日期时间</abilityName>
      <candidateList>
        <item>2021年5月8日</item>
      </candidateList>
      <explain>根据日常书写习惯，月份和日期一般会省略前导零。</explain>
      <paraID>31F28418</paraID>
      <start>76</start>
      <end>85</end>
      <status>modified</status>
      <modifiedWord>2021年5月8日</modifiedWord>
      <trackRevisions>false</trackRevisions>
    </reviewItem>
    <reviewItem>
      <errorID>4fe60e26-6881-4ffd-82cd-13c6a7e7f227</errorID>
      <errorWord>采石厂</errorWord>
      <group>L1_Word</group>
      <groupName>字词问题</groupName>
      <ability>L2_Typo</ability>
      <abilityName>字词错误</abilityName>
      <candidateList>
        <item>采石场</item>
      </candidateList>
      <explain/>
      <paraID>31F28418</paraID>
      <start>146</start>
      <end>149</end>
      <status>ignored</status>
      <modifiedWord/>
      <trackRevisions>false</trackRevisions>
    </reviewItem>
    <reviewItem>
      <errorID>495501f8-94f1-478e-8c7a-d76a7e0eca00</errorID>
      <errorWord>：</errorWord>
      <group>L1_Word</group>
      <groupName>字词问题</groupName>
      <ability>L2_Typo</ability>
      <abilityName>字词错误</abilityName>
      <candidateList>
        <item>：一</item>
      </candidateList>
      <explain/>
      <paraID>23485175</paraID>
      <start>4</start>
      <end>5</end>
      <status>ignored</status>
      <modifiedWord/>
      <trackRevisions>false</trackRevisions>
    </reviewItem>
    <reviewItem>
      <errorID>da618eb4-49fb-40e0-aa17-0c0ae7a9d7bd</errorID>
      <errorWord>，，</errorWord>
      <group>L1_Punc</group>
      <groupName>标点问题</groupName>
      <ability>L2_Punc</ability>
      <abilityName>标点符号检查</abilityName>
      <candidateList>
        <item>，</item>
      </candidateList>
      <explain/>
      <paraID>211DC54E</paraID>
      <start>98</start>
      <end>99</end>
      <status>modified</status>
      <modifiedWord>，</modifiedWord>
      <trackRevisions>false</trackRevisions>
    </reviewItem>
    <reviewItem>
      <errorID>d66d53bb-cff0-456d-9c60-4afaad843c31</errorID>
      <errorWord>＜</errorWord>
      <group>L1_Format</group>
      <groupName>格式问题</groupName>
      <ability>L2_HalfPunc</ability>
      <abilityName>全半角检查</abilityName>
      <candidateList>
        <item>&lt;</item>
      </candidateList>
      <explain>文本全半角错误。</explain>
      <paraID> FD69712</paraID>
      <start>0</start>
      <end>1</end>
      <status>modified</status>
      <modifiedWord>&lt;</modifiedWord>
      <trackRevisions>false</trackRevisions>
    </reviewItem>
    <reviewItem>
      <errorID>53573c36-b8fc-4e69-ae79-1f644d8e111d</errorID>
      <errorWord>＜</errorWord>
      <group>L1_Format</group>
      <groupName>格式问题</groupName>
      <ability>L2_HalfPunc</ability>
      <abilityName>全半角检查</abilityName>
      <candidateList>
        <item>&lt;</item>
      </candidateList>
      <explain>文本全半角错误。</explain>
      <paraID>366E5625</paraID>
      <start>0</start>
      <end>1</end>
      <status>modified</status>
      <modifiedWord>&lt;</modifiedWord>
      <trackRevisions>false</trackRevisions>
    </reviewItem>
    <reviewItem>
      <errorID>6a149c16-5d7f-4bb2-9918-4357ae73b0ea</errorID>
      <errorWord>＜</errorWord>
      <group>L1_Format</group>
      <groupName>格式问题</groupName>
      <ability>L2_HalfPunc</ability>
      <abilityName>全半角检查</abilityName>
      <candidateList>
        <item>&lt;</item>
      </candidateList>
      <explain>文本全半角错误。</explain>
      <paraID>41EBA3A8</paraID>
      <start>0</start>
      <end>1</end>
      <status>modified</status>
      <modifiedWord>&lt;</modifiedWord>
      <trackRevisions>false</trackRevisions>
    </reviewItem>
    <reviewItem>
      <errorID>bd91248d-aa7f-4965-a6c5-62a6bfe73ae8</errorID>
      <errorWord>石灰岩矿</errorWord>
      <group>L1_Word</group>
      <groupName>字词问题</groupName>
      <ability>L2_Typo</ability>
      <abilityName>字词错误</abilityName>
      <candidateList>
        <item>石灰岩</item>
      </candidateList>
      <explain/>
      <paraID>7CF007FC</paraID>
      <start>20</start>
      <end>24</end>
      <status>ignored</status>
      <modifiedWord/>
      <trackRevisions>false</trackRevisions>
    </reviewItem>
    <reviewItem>
      <errorID>09eb8106-b566-4fb3-89fa-2e46e0c9961e</errorID>
      <errorWord>矿权</errorWord>
      <group>L1_Word</group>
      <groupName>字词问题</groupName>
      <ability>L2_Typo</ability>
      <abilityName>字词错误</abilityName>
      <candidateList>
        <item>矿区</item>
      </candidateList>
      <explain/>
      <paraID>2A27BEBF</paraID>
      <start>85</start>
      <end>87</end>
      <status>ignored</status>
      <modifiedWord/>
      <trackRevisions>false</trackRevisions>
    </reviewItem>
    <reviewItem>
      <errorID>0751279b-2f00-42ba-8a68-2779696e818d</errorID>
      <errorWord>拌和</errorWord>
      <group>L1_Word</group>
      <groupName>字词问题</groupName>
      <ability>L2_Typo</ability>
      <abilityName>字词错误</abilityName>
      <candidateList>
        <item>拌合</item>
      </candidateList>
      <explain/>
      <paraID>5D445F8F</paraID>
      <start>25</start>
      <end>27</end>
      <status>modified</status>
      <modifiedWord>拌合</modifiedWord>
      <trackRevisions>false</trackRevisions>
    </reviewItem>
    <reviewItem>
      <errorID>b3cd5ba7-8a83-4eaa-a551-80a861c86aac</errorID>
      <errorWord>；</errorWord>
      <group>L1_Word</group>
      <groupName>字词问题</groupName>
      <ability>L2_Typo</ability>
      <abilityName>字词错误</abilityName>
      <candidateList>
        <item>；是</item>
      </candidateList>
      <explain/>
      <paraID>2B542927</paraID>
      <start>142</start>
      <end>144</end>
      <status>modified</status>
      <modifiedWord>；是</modifiedWord>
      <trackRevisions>false</trackRevisions>
    </reviewItem>
    <reviewItem>
      <errorID>4eb32294-e435-4655-8651-a214b1196665</errorID>
      <errorWord>；</errorWord>
      <group>L1_Word</group>
      <groupName>字词问题</groupName>
      <ability>L2_Typo</ability>
      <abilityName>字词错误</abilityName>
      <candidateList>
        <item>；是</item>
      </candidateList>
      <explain/>
      <paraID>2B542927</paraID>
      <start>168</start>
      <end>170</end>
      <status>modified</status>
      <modifiedWord>；是</modifiedWord>
      <trackRevisions>false</trackRevisions>
    </reviewItem>
    <reviewItem>
      <errorID>61f7cd95-e1dd-4dee-9990-d39381d63a7b</errorID>
      <errorWord>速</errorWord>
      <group>L1_Word</group>
      <groupName>字词问题</groupName>
      <ability>L2_Typo</ability>
      <abilityName>字词错误</abilityName>
      <candidateList>
        <item>速度</item>
      </candidateList>
      <explain>〈名〉❶运动物体在某一个方向上单位时间内所通过的距离。❷泛指快慢的程度：高～｜放慢～。</explain>
      <paraID>1D411D8D</paraID>
      <start>8</start>
      <end>9</end>
      <status>ignored</status>
      <modifiedWord/>
      <trackRevisions>false</trackRevisions>
    </reviewItem>
    <reviewItem>
      <errorID>a5d4703a-4a34-4cbf-ab6f-450279f74541</errorID>
      <errorWord>种草</errorWord>
      <group>L1_Official</group>
      <groupName>公文问题</groupName>
      <ability>L2_Official</ability>
      <abilityName>公文问题</abilityName>
      <candidateList/>
      <explain>公文中禁止出现该词语</explain>
      <paraID>399B10B8</paraID>
      <start>70</start>
      <end>72</end>
      <status>ignored</status>
      <modifiedWord/>
      <trackRevisions>false</trackRevisions>
    </reviewItem>
    <reviewItem>
      <errorID>a8ac7257-3bdf-4cf1-9c51-b233cdbe3e88</errorID>
      <errorWord>ug/m3</errorWord>
      <group>L1_Word</group>
      <groupName>字词问题</groupName>
      <ability>L2_Typo</ability>
      <abilityName>字词错误</abilityName>
      <candidateList>
        <item>μg/m3</item>
      </candidateList>
      <explain/>
      <paraID>3634D255</paraID>
      <start>0</start>
      <end>5</end>
      <status>modified</status>
      <modifiedWord>μg/m3</modifiedWord>
      <trackRevisions>false</trackRevisions>
    </reviewItem>
    <reviewItem>
      <errorID>b692642f-b45a-4fd5-8893-c95688049806</errorID>
      <errorWord>ug/m3</errorWord>
      <group>L1_Word</group>
      <groupName>字词问题</groupName>
      <ability>L2_Typo</ability>
      <abilityName>字词错误</abilityName>
      <candidateList>
        <item>μg/m3</item>
      </candidateList>
      <explain/>
      <paraID>20CB0710</paraID>
      <start>0</start>
      <end>5</end>
      <status>modified</status>
      <modifiedWord>μg/m3</modifiedWord>
      <trackRevisions>false</trackRevisions>
    </reviewItem>
    <reviewItem>
      <errorID>f626f102-f5c3-4280-98a4-dd39828b1992</errorID>
      <errorWord>冲流</errorWord>
      <group>L1_Word</group>
      <groupName>字词问题</groupName>
      <ability>L2_Typo</ability>
      <abilityName>字词错误</abilityName>
      <candidateList>
        <item>径流</item>
      </candidateList>
      <explain>〈名〉降水除蒸发的、被土地吸收的和被拦堵的以外，沿着地面流走的水叫径流。渗入地下的也可以形成地下径流。</explain>
      <paraID>254544D6</paraID>
      <start>26</start>
      <end>28</end>
      <status>ignored</status>
      <modifiedWord/>
      <trackRevisions>false</trackRevisions>
    </reviewItem>
    <reviewItem>
      <errorID>5befa79c-275b-40a2-b3d7-00e4d858ad61</errorID>
      <errorWord>返回破碎机</errorWord>
      <group>L1_Knowledge</group>
      <groupName>知识性问题</groupName>
      <ability>L2_Term</ability>
      <abilityName>专业术语</abilityName>
      <candidateList>
        <item>旋回破碎机</item>
      </candidateList>
      <explain/>
      <paraID> 282F37A</paraID>
      <start>58</start>
      <end>63</end>
      <status>ignored</status>
      <modifiedWord/>
      <trackRevisions>false</trackRevisions>
    </reviewItem>
    <reviewItem>
      <errorID>202c84f5-b0b0-4859-b58c-29a5b3868946</errorID>
      <errorWord>不辗压</errorWord>
      <group>L1_Word</group>
      <groupName>字词问题</groupName>
      <ability>L2_Typo</ability>
      <abilityName>字词错误</abilityName>
      <candidateList>
        <item>不碾压</item>
      </candidateList>
      <explain/>
      <paraID>29AA7EF9</paraID>
      <start>54</start>
      <end>57</end>
      <status>ignored</status>
      <modifiedWord/>
      <trackRevisions>false</trackRevisions>
    </reviewItem>
    <reviewItem>
      <errorID>e2de6eef-bfee-49cf-a440-bc8c4da98fbf</errorID>
      <errorWord>石灰石</errorWord>
      <group>L1_Word</group>
      <groupName>字词问题</groupName>
      <ability>L2_Typo</ability>
      <abilityName>字词错误</abilityName>
      <candidateList>
        <item>石灰</item>
      </candidateList>
      <explain/>
      <paraID>3CA25C68</paraID>
      <start>3</start>
      <end>6</end>
      <status>ignored</status>
      <modifiedWord/>
      <trackRevisions>false</trackRevisions>
    </reviewItem>
    <reviewItem>
      <errorID>0e42d04e-f6c0-402b-91ae-ea8a888f0551</errorID>
      <errorWord>：</errorWord>
      <group>L1_Format</group>
      <groupName>格式问题</groupName>
      <ability>L2_HalfPunc</ability>
      <abilityName>全半角检查</abilityName>
      <candidateList>
        <item>:</item>
      </candidateList>
      <explain>文本全半角错误。</explain>
      <paraID>1E808FCF</paraID>
      <start>1</start>
      <end>2</end>
      <status>ignored</status>
      <modifiedWord/>
      <trackRevisions>false</trackRevisions>
    </reviewItem>
    <reviewItem>
      <errorID>8f0e9106-bc14-40aa-ae8d-ce9fe6478478</errorID>
      <errorWord>：</errorWord>
      <group>L1_Format</group>
      <groupName>格式问题</groupName>
      <ability>L2_HalfPunc</ability>
      <abilityName>全半角检查</abilityName>
      <candidateList>
        <item>:</item>
      </candidateList>
      <explain>文本全半角错误。</explain>
      <paraID>2E9FEBC9</paraID>
      <start>1</start>
      <end>2</end>
      <status>ignored</status>
      <modifiedWord/>
      <trackRevisions>false</trackRevisions>
    </reviewItem>
    <reviewItem>
      <errorID>c486bcfb-d395-4580-8828-32e5bd1f458f</errorID>
      <errorWord>产尘</errorWord>
      <group>L1_Word</group>
      <groupName>字词问题</groupName>
      <ability>L2_Typo</ability>
      <abilityName>字词错误</abilityName>
      <candidateList>
        <item>产生</item>
      </candidateList>
      <explain/>
      <paraID>360564C9</paraID>
      <start>147</start>
      <end>149</end>
      <status>modified</status>
      <modifiedWord>产生</modifiedWord>
      <trackRevisions>false</trackRevisions>
    </reviewItem>
    <reviewItem>
      <errorID>28fd658f-9b31-4822-b6c2-01acb0a07d29</errorID>
      <errorWord>不辗压</errorWord>
      <group>L1_Word</group>
      <groupName>字词问题</groupName>
      <ability>L2_Typo</ability>
      <abilityName>字词错误</abilityName>
      <candidateList>
        <item>不碾压</item>
      </candidateList>
      <explain/>
      <paraID>39AD51EA</paraID>
      <start>53</start>
      <end>56</end>
      <status>ignored</status>
      <modifiedWord/>
      <trackRevisions>false</trackRevisions>
    </reviewItem>
    <reviewItem>
      <errorID>830f2c8c-6a07-43cd-a98b-08f97862ebac</errorID>
      <errorWord>＝</errorWord>
      <group>L1_Format</group>
      <groupName>格式问题</groupName>
      <ability>L2_HalfPunc</ability>
      <abilityName>全半角检查</abilityName>
      <candidateList>
        <item>=</item>
      </candidateList>
      <explain>文本全半角错误。</explain>
      <paraID>492C40D8</paraID>
      <start>2</start>
      <end>3</end>
      <status>modified</status>
      <modifiedWord>=</modifiedWord>
      <trackRevisions>false</trackRevisions>
    </reviewItem>
    <reviewItem>
      <errorID>91d4c890-f3dc-4c9c-bc38-939ee5f362f2</errorID>
      <errorWord>逸出</errorWord>
      <group>L1_Word</group>
      <groupName>字词问题</groupName>
      <ability>L2_Typo</ability>
      <abilityName>字词错误</abilityName>
      <candidateList>
        <item>溢出</item>
      </candidateList>
      <explain/>
      <paraID>5133BEE2</paraID>
      <start>122</start>
      <end>124</end>
      <status>ignored</status>
      <modifiedWord/>
      <trackRevisions>false</trackRevisions>
    </reviewItem>
    <reviewItem>
      <errorID>21ac5e3a-3a49-4dc2-87ef-a939d7a9b3cf</errorID>
      <errorWord>分隔</errorWord>
      <group>L1_Word</group>
      <groupName>字词问题</groupName>
      <ability>L2_Typo</ability>
      <abilityName>字词错误</abilityName>
      <candidateList>
        <item>分割</item>
      </candidateList>
      <explain>存在发音相同字词的误用。</explain>
      <paraID> FE4E89C</paraID>
      <start>171</start>
      <end>173</end>
      <status>modified</status>
      <modifiedWord>分割</modifiedWord>
      <trackRevisions>false</trackRevisions>
    </reviewItem>
    <reviewItem>
      <errorID>d43e23af-8117-40ab-aa75-9db255b3b0de</errorID>
      <errorWord>砂</errorWord>
      <group>L1_Word</group>
      <groupName>字词问题</groupName>
      <ability>L2_Typo</ability>
      <abilityName>字词错误</abilityName>
      <candidateList>
        <item>沙</item>
      </candidateList>
      <explain>存在发音相同字词的误用。</explain>
      <paraID>  B29C7D</paraID>
      <start>62</start>
      <end>63</end>
      <status>ignored</status>
      <modifiedWord/>
      <trackRevisions>false</trackRevisions>
    </reviewItem>
    <reviewItem>
      <errorID>a31143e7-f762-4a80-97a7-0237ce5ce01a</errorID>
      <errorWord>自流</errorWord>
      <group>L1_Word</group>
      <groupName>字词问题</groupName>
      <ability>L2_Typo</ability>
      <abilityName>字词错误</abilityName>
      <candidateList>
        <item>径流</item>
      </candidateList>
      <explain>〈名〉降水除蒸发的、被土地吸收的和被拦堵的以外，沿着地面流走的水叫径流。渗入地下的也可以形成地下径流。</explain>
      <paraID>4F9BF14C</paraID>
      <start>53</start>
      <end>55</end>
      <status>ignored</status>
      <modifiedWord/>
      <trackRevisions>false</trackRevisions>
    </reviewItem>
    <reviewItem>
      <errorID>30c8a5d8-f9b7-4dc0-a27e-2310cec8a126</errorID>
      <errorWord>雨水水</errorWord>
      <group>L1_Word</group>
      <groupName>字词问题</groupName>
      <ability>L2_Typo</ability>
      <abilityName>字词错误</abilityName>
      <candidateList>
        <item>雨水</item>
      </candidateList>
      <explain/>
      <paraID>483EE7DB</paraID>
      <start>46</start>
      <end>48</end>
      <status>modified</status>
      <modifiedWord>雨水</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A89299-2CD6-4F77-9349-9838A8914EE8}">
  <ds:schemaRefs/>
</ds:datastoreItem>
</file>

<file path=customXml/itemProps3.xml><?xml version="1.0" encoding="utf-8"?>
<ds:datastoreItem xmlns:ds="http://schemas.openxmlformats.org/officeDocument/2006/customXml" ds:itemID="{D55FC89D-C5C7-4134-A7B4-898A91C532CD}">
  <ds:schemaRefs/>
</ds:datastoreItem>
</file>

<file path=docProps/app.xml><?xml version="1.0" encoding="utf-8"?>
<Properties xmlns="http://schemas.openxmlformats.org/officeDocument/2006/extended-properties" xmlns:vt="http://schemas.openxmlformats.org/officeDocument/2006/docPropsVTypes">
  <Template>Normal.dotm</Template>
  <Pages>156</Pages>
  <Words>539</Words>
  <Characters>564</Characters>
  <Lines>4112</Lines>
  <Paragraphs>3002</Paragraphs>
  <TotalTime>3</TotalTime>
  <ScaleCrop>false</ScaleCrop>
  <LinksUpToDate>false</LinksUpToDate>
  <CharactersWithSpaces>656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2021-02-25T03:40:00Z</dcterms:created>
  <dc:creator>aa</dc:creator>
  <cp:lastModifiedBy>方</cp:lastModifiedBy>
  <cp:lastPrinted>2025-12-21T09:16:00Z</cp:lastPrinted>
  <dcterms:modified xsi:type="dcterms:W3CDTF">2026-09-30T08:57:58Z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eyJoZGlkIjoiYWM4OTdjYmM5OTc1ZTExMjliOThhNWZiOGFiODE3Y2QiLCJ1c2VySWQiOiIxMTIxMzIwNzkyIn0=</vt:lpwstr>
  </property>
  <property fmtid="{D5CDD505-2E9C-101B-9397-08002B2CF9AE}" pid="4" name="ICV">
    <vt:lpwstr>D0F18799396F4994884E923139F86CDC_13</vt:lpwstr>
  </property>
</Properties>
</file>